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2026Z05118</w:t>
        <w:br/>
      </w:r>
      <w:proofErr w:type="spellEnd"/>
    </w:p>
    <w:p>
      <w:pPr>
        <w:pStyle w:val="Normal"/>
        <w:rPr>
          <w:b w:val="1"/>
          <w:bCs w:val="1"/>
        </w:rPr>
      </w:pPr>
      <w:r w:rsidR="250AE766">
        <w:rPr>
          <w:b w:val="0"/>
          <w:bCs w:val="0"/>
        </w:rPr>
        <w:t>(ingezonden 13 maart 2026)</w:t>
        <w:br/>
      </w:r>
    </w:p>
    <w:p>
      <w:r>
        <w:t xml:space="preserve">Vragen van de leden Lahlah en Kröger (beiden GroenLinks-PvdA) aan de minister van Sociale Zaken en Werkgelegenheid over een snelle oplossing voor het Noodfonds energie</w:t>
      </w:r>
      <w:r>
        <w:br/>
      </w:r>
    </w:p>
    <w:p>
      <w:pPr>
        <w:pStyle w:val="ListParagraph"/>
        <w:numPr>
          <w:ilvl w:val="0"/>
          <w:numId w:val="100500340"/>
        </w:numPr>
        <w:ind w:left="360"/>
      </w:pPr>
      <w:r>
        <w:t xml:space="preserve">Bent u bekend met het bericht 'Essent vraagt snelle oplossing Noodfonds energie: ’Er is geen vangnet voor kwetsbare huishoudens'? 1)</w:t>
      </w:r>
      <w:r>
        <w:br/>
      </w:r>
    </w:p>
    <w:p>
      <w:pPr>
        <w:pStyle w:val="ListParagraph"/>
        <w:numPr>
          <w:ilvl w:val="0"/>
          <w:numId w:val="100500340"/>
        </w:numPr>
        <w:ind w:left="360"/>
      </w:pPr>
      <w:r>
        <w:t xml:space="preserve">Klopt het dat er op dit moment geen publieke uitvoerder is die het Publieke Energiefonds op zich wil nemen?</w:t>
      </w:r>
      <w:r>
        <w:br/>
      </w:r>
    </w:p>
    <w:p>
      <w:pPr>
        <w:pStyle w:val="ListParagraph"/>
        <w:numPr>
          <w:ilvl w:val="0"/>
          <w:numId w:val="100500340"/>
        </w:numPr>
        <w:ind w:left="360"/>
      </w:pPr>
      <w:r>
        <w:t xml:space="preserve">Klopt het dat het kabinet wel naar uitvoering door vier instanties zoals de Belastingdienst en de Sociale Verzekeringsbank heeft gekeken, maar die alle vier niet geschikt bleken? Zo ja, waarom bleken deze niet geschikt?</w:t>
      </w:r>
      <w:r>
        <w:br/>
      </w:r>
    </w:p>
    <w:p>
      <w:pPr>
        <w:pStyle w:val="ListParagraph"/>
        <w:numPr>
          <w:ilvl w:val="0"/>
          <w:numId w:val="100500340"/>
        </w:numPr>
        <w:ind w:left="360"/>
      </w:pPr>
      <w:r>
        <w:t xml:space="preserve">Kunt u aangeven met welke andere organisaties nog meer gesproken is en waarom deze allen niet geschikt bleken als uitvoerder?</w:t>
      </w:r>
      <w:r>
        <w:br/>
      </w:r>
    </w:p>
    <w:p>
      <w:pPr>
        <w:pStyle w:val="ListParagraph"/>
        <w:numPr>
          <w:ilvl w:val="0"/>
          <w:numId w:val="100500340"/>
        </w:numPr>
        <w:ind w:left="360"/>
      </w:pPr>
      <w:r>
        <w:t xml:space="preserve">Per wanneer verwacht u dat de publieke uitvoerder operationeel kan zijn en steun kan uitkeren aan huishoudens?</w:t>
      </w:r>
      <w:r>
        <w:br/>
      </w:r>
    </w:p>
    <w:p>
      <w:pPr>
        <w:pStyle w:val="ListParagraph"/>
        <w:numPr>
          <w:ilvl w:val="0"/>
          <w:numId w:val="100500340"/>
        </w:numPr>
        <w:ind w:left="360"/>
      </w:pPr>
      <w:r>
        <w:t xml:space="preserve">Wat zijn de verwachte uitvoeringskosten van het Publieke Energiefonds op jaarbasis?</w:t>
      </w:r>
      <w:r>
        <w:br/>
      </w:r>
    </w:p>
    <w:p>
      <w:pPr>
        <w:pStyle w:val="ListParagraph"/>
        <w:numPr>
          <w:ilvl w:val="0"/>
          <w:numId w:val="100500340"/>
        </w:numPr>
        <w:ind w:left="360"/>
      </w:pPr>
      <w:r>
        <w:t xml:space="preserve">Wat zijn de uitvoeringskosten van het Tijdelijke Noodfonds Energie op jaarbasis?</w:t>
      </w:r>
      <w:r>
        <w:br/>
      </w:r>
    </w:p>
    <w:p>
      <w:pPr>
        <w:pStyle w:val="ListParagraph"/>
        <w:numPr>
          <w:ilvl w:val="0"/>
          <w:numId w:val="100500340"/>
        </w:numPr>
        <w:ind w:left="360"/>
      </w:pPr>
      <w:r>
        <w:t xml:space="preserve">Kunt u de budgettaire gevolgen van verschillende varianten van energiesteun voor huishoudens in kaart brengen, waaronder:</w:t>
      </w:r>
      <w:r>
        <w:br/>
      </w:r>
      <w:r>
        <w:t xml:space="preserve">- Huishoudens met een inkomen tot 130% van het sociaal minimum met een energiequote van 6% of hoger;</w:t>
      </w:r>
      <w:r>
        <w:br/>
      </w:r>
      <w:r>
        <w:t xml:space="preserve">- Huishoudens met een inkomen tot 130% van het sociaal minimum met een energiequote van 8% of hoger;</w:t>
      </w:r>
      <w:r>
        <w:br/>
      </w:r>
      <w:r>
        <w:t xml:space="preserve">- Huishoudens met een inkomen tot 200% van het sociaal minimum met een energiequote van 8% of hoger;</w:t>
      </w:r>
      <w:r>
        <w:br/>
      </w:r>
      <w:r>
        <w:t xml:space="preserve">- Huishoudens met een inkomen tot 300% van het sociaal minimum met een energiequote van 8% of hoger; </w:t>
      </w:r>
      <w:r>
        <w:br/>
      </w:r>
      <w:r>
        <w:t xml:space="preserve">- Huishoudens met een inkomen tot 350% van het sociaal minimum met een energiequote van 8% of hoger; </w:t>
      </w:r>
      <w:r>
        <w:br/>
      </w:r>
      <w:r>
        <w:t xml:space="preserve">- Huishoudens met een inkomen tot 130% van het sociaal minimum met een energiequote van 6% of hoger en huishoudens met een inkomen tussen 130% en 200% van het sociaal minimum met een energiequote van 8% of hoger;</w:t>
      </w:r>
      <w:r>
        <w:br/>
      </w:r>
      <w:r>
        <w:t xml:space="preserve">- Huishoudens met een inkomen tot 130% van het sociaal minimum met een energiequote van 8% of hoger en huishoudens met een inkomen tussen 130% en 200% van het sociaal minimum met een energiequote van 10% of hoger;</w:t>
      </w:r>
      <w:r>
        <w:br/>
      </w:r>
      <w:r>
        <w:t xml:space="preserve">- Huishoudens met een inkomen tot 130% van het sociaal minimum met een energiequote van 8% of hoger en huishoudens met een inkomen tussen 130% en 300% van het sociaal minimum met een energiequote van 10% of hoger;</w:t>
      </w:r>
      <w:r>
        <w:br/>
      </w:r>
      <w:r>
        <w:t xml:space="preserve">- Huishoudens met een inkomen tot 130% van het sociaal minimum met een energiequote van 8% of hoger en huishoudens met een inkomen tussen 130% en 350% van het sociaal minimum met een energiequote van 10% of hoger;</w:t>
      </w:r>
      <w:r>
        <w:br/>
      </w:r>
      <w:r>
        <w:t xml:space="preserve">waarbij bij alle varianten wordt berekend wat de budgettaire gevolgen zijn bij 1) een maandelijkse bijdrage van €80,- per huishouden voor de periode van 6 maanden, 2) een maandelijkse bijdrage van €90,- per huishouden voor de periode van 6 maanden en 3) een maandelijkse bijdrage van €100,- per huishouden voor de periode van 6 maanden?</w:t>
      </w:r>
      <w:r>
        <w:br/>
      </w:r>
    </w:p>
    <w:p>
      <w:pPr>
        <w:pStyle w:val="ListParagraph"/>
        <w:numPr>
          <w:ilvl w:val="0"/>
          <w:numId w:val="100500340"/>
        </w:numPr>
        <w:ind w:left="360"/>
      </w:pPr>
      <w:r>
        <w:t xml:space="preserve">Kunt u aangeven wat de actuele inkomensgrenzen zijn voor huishoudens met inkomens tot 130%, 200%, 300% en 350% van het sociaal minimum voor zowel alleenstaanden als samenwonenden? Kunt u voor elke inkomensgrens aangeven om hoeveel huishoudens het gaat?</w:t>
      </w:r>
      <w:r>
        <w:br/>
      </w:r>
    </w:p>
    <w:p>
      <w:pPr>
        <w:pStyle w:val="ListParagraph"/>
        <w:numPr>
          <w:ilvl w:val="0"/>
          <w:numId w:val="100500340"/>
        </w:numPr>
        <w:ind w:left="360"/>
      </w:pPr>
      <w:r>
        <w:t xml:space="preserve">Kunt u deze vragen beantwoorden vóór de aanvang van de tweede termijn van de SZW-begroting op 19 maart of, indien eerder ingepland, voor het debat over de economische gevolgen van de oorlog in het Midden-Oosten voor Nederland?</w:t>
      </w:r>
      <w:r>
        <w:br/>
      </w:r>
    </w:p>
    <w:p>
      <w:r>
        <w:t xml:space="preserve"> </w:t>
      </w:r>
      <w:r>
        <w:br/>
      </w:r>
    </w:p>
    <w:p>
      <w:r>
        <w:t xml:space="preserve"> </w:t>
      </w:r>
      <w:r>
        <w:br/>
      </w:r>
    </w:p>
    <w:p>
      <w:r>
        <w:t xml:space="preserve">1) Telegraaf, 6 maart 2026, 'Essent vraagt snelle oplossing Noodfonds energie: ’Er is geen vangnet voor kwetsbare huishoudens’', (www.telegraaf.nl/financieel/essent-vraagt-snelle-oplossing-noodfonds-energie-er-is-geen-vangnet-voor-kwetsbare-huishoudens/139767050.html).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