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D77AF" w:rsidP="000D77AF" w14:paraId="53C7152C" w14:textId="77777777"/>
    <w:p w:rsidR="000D77AF" w:rsidP="000D77AF" w14:paraId="178424CF" w14:textId="77777777">
      <w:r>
        <w:t>Hierbij informeren de staatssecretaris van Infrastructuur en Waterstaat (</w:t>
      </w:r>
      <w:r>
        <w:t>IenW</w:t>
      </w:r>
      <w:r>
        <w:t xml:space="preserve">) en Binnenlandse Zaken en Koninkrijksrelaties (BZK) uw Kamer over het besluit van de waarnemend Rijksvertegenwoordiger om de bestuurlijke interventie in het kader van het interbestuurlijk toezicht (IBT) ten aanzien van </w:t>
      </w:r>
      <w:r>
        <w:t>Selibon</w:t>
      </w:r>
      <w:r>
        <w:t xml:space="preserve"> </w:t>
      </w:r>
      <w:r>
        <w:t>Lagun</w:t>
      </w:r>
      <w:r>
        <w:t xml:space="preserve"> te beëindigen.</w:t>
      </w:r>
    </w:p>
    <w:p w:rsidR="000D77AF" w:rsidP="000D77AF" w14:paraId="4384DB49" w14:textId="77777777"/>
    <w:p w:rsidR="000D77AF" w:rsidP="000D77AF" w14:paraId="5ADD614D" w14:textId="77777777">
      <w:r w:rsidRPr="00E97509">
        <w:t xml:space="preserve">In het </w:t>
      </w:r>
      <w:r>
        <w:t xml:space="preserve">commissiedebat </w:t>
      </w:r>
      <w:r>
        <w:t>Selibon</w:t>
      </w:r>
      <w:r w:rsidRPr="00E97509">
        <w:t xml:space="preserve"> met uw Kamer van </w:t>
      </w:r>
      <w:r>
        <w:t>12 februari 2026</w:t>
      </w:r>
      <w:r w:rsidRPr="00E97509">
        <w:t xml:space="preserve"> (</w:t>
      </w:r>
      <w:r w:rsidRPr="006914A4">
        <w:t>2026A01156</w:t>
      </w:r>
      <w:r w:rsidRPr="00E97509">
        <w:t xml:space="preserve">) </w:t>
      </w:r>
      <w:r>
        <w:t>heeft de toenmalige staatssecretaris van BZK</w:t>
      </w:r>
      <w:r w:rsidRPr="00E97509">
        <w:t xml:space="preserve"> toegezegd </w:t>
      </w:r>
      <w:r>
        <w:t>dat uw Kamer het besluit van de waarnemend Rijksvertegenwoordiger over het interbestuurlijk toezichttraject ontvangt (</w:t>
      </w:r>
      <w:r w:rsidRPr="006914A4">
        <w:t>TZ202602-062</w:t>
      </w:r>
      <w:r>
        <w:t xml:space="preserve">). </w:t>
      </w:r>
      <w:r w:rsidRPr="00E97509">
        <w:t>Met deze brief doe</w:t>
      </w:r>
      <w:r>
        <w:t xml:space="preserve">t de staatssecretaris van BZK </w:t>
      </w:r>
      <w:r w:rsidRPr="00E97509">
        <w:t>deze toezegging gestand.</w:t>
      </w:r>
      <w:r>
        <w:t xml:space="preserve"> </w:t>
      </w:r>
    </w:p>
    <w:p w:rsidR="000D77AF" w:rsidP="000D77AF" w14:paraId="79EAA262" w14:textId="77777777"/>
    <w:p w:rsidR="000D77AF" w:rsidP="000D77AF" w14:paraId="39647A85" w14:textId="77777777">
      <w:r>
        <w:t xml:space="preserve">De waarnemend Rijksvertegenwoordiger heeft eind januari de nieuwe </w:t>
      </w:r>
      <w:bookmarkStart w:name="_Hlk223639754" w:id="0"/>
      <w:r>
        <w:t xml:space="preserve">voortgangsrapportage ‘verbeterplan </w:t>
      </w:r>
      <w:r>
        <w:t>Selibon</w:t>
      </w:r>
      <w:r>
        <w:t xml:space="preserve"> </w:t>
      </w:r>
      <w:r>
        <w:t>Lagun</w:t>
      </w:r>
      <w:r>
        <w:t>’ ontvangen van het bestuurscollege. Dit verbeterplan was onderdeel van het interbestuurlijk toezichttraject, dat bevond zich in fase 3 (actief toezicht) van de bestuurlijke interventieladder.</w:t>
      </w:r>
    </w:p>
    <w:bookmarkEnd w:id="0"/>
    <w:p w:rsidR="000D77AF" w:rsidP="000D77AF" w14:paraId="5EBD0FF7" w14:textId="77777777"/>
    <w:p w:rsidR="000D77AF" w:rsidP="000D77AF" w14:paraId="161A53CB" w14:textId="77777777">
      <w:r>
        <w:t xml:space="preserve">Op verzoek van de waarnemend Rijksvertegenwoordiger heeft de Inspectie Leefomgeving en Transport (ILT) deze voortgangsrapportage beoordeeld. Mede op basis van die beoordeling heeft de waarnemend Rijksvertegenwoordiger vastgesteld dat er volgens de wettelijke criteria voor interbestuurlijk toezicht geen sprake meer is van taakverwaarlozing. Met “taakverwaarlozing” wordt in dit verband bedoeld dat een bestuursorgaan een besluit dat het volgens de wet verplicht is te nemen, niet neemt. </w:t>
      </w:r>
    </w:p>
    <w:p w:rsidR="000D77AF" w:rsidP="000D77AF" w14:paraId="0B0D5D27" w14:textId="77777777"/>
    <w:p w:rsidR="000D77AF" w:rsidP="000D77AF" w14:paraId="1ABB62CF" w14:textId="77777777">
      <w:r>
        <w:t>Dat komt doordat het bestuurscollege de besluiten heeft genomen zoals verplicht door de Wet Volkshuisvesting, Ruimtelijke Ordening en Milieu BES (</w:t>
      </w:r>
      <w:r>
        <w:t>VromBES</w:t>
      </w:r>
      <w:r>
        <w:t>). Die besluiten zijn onder andere:</w:t>
      </w:r>
    </w:p>
    <w:p w:rsidR="000D77AF" w:rsidP="000D77AF" w14:paraId="21CA572C" w14:textId="77777777">
      <w:pPr>
        <w:pStyle w:val="ListParagraph"/>
        <w:numPr>
          <w:ilvl w:val="0"/>
          <w:numId w:val="6"/>
        </w:numPr>
      </w:pPr>
      <w:r>
        <w:t>Het in behandeling nemen van de vergunningaanvraag;</w:t>
      </w:r>
    </w:p>
    <w:p w:rsidR="000D77AF" w:rsidP="000D77AF" w14:paraId="6A7F00C2" w14:textId="77777777">
      <w:pPr>
        <w:pStyle w:val="ListParagraph"/>
        <w:numPr>
          <w:ilvl w:val="0"/>
          <w:numId w:val="6"/>
        </w:numPr>
      </w:pPr>
      <w:r>
        <w:t xml:space="preserve">Het opleggen van een last onder bestuursdwang; en </w:t>
      </w:r>
    </w:p>
    <w:p w:rsidR="000D77AF" w:rsidP="000D77AF" w14:paraId="254D0126" w14:textId="77777777">
      <w:pPr>
        <w:pStyle w:val="ListParagraph"/>
        <w:numPr>
          <w:ilvl w:val="0"/>
          <w:numId w:val="6"/>
        </w:numPr>
      </w:pPr>
      <w:r>
        <w:t>Het vaststellen (en verlengen) van een gedoogverklaring.</w:t>
      </w:r>
    </w:p>
    <w:p w:rsidR="000D77AF" w:rsidP="000D77AF" w14:paraId="1631CD26" w14:textId="77777777"/>
    <w:p w:rsidR="000D77AF" w:rsidP="000D77AF" w14:paraId="0F97E314" w14:textId="77777777">
      <w:r>
        <w:t>Dat het bestuurscollege deze besluiten heeft genomen is belangrijk omdat de mogelijkheid tot bestuurlijke interventie op grond van de Wet openbare lichamen Bonaire, Sint Eustatius en Saba (</w:t>
      </w:r>
      <w:r>
        <w:t>WolBES</w:t>
      </w:r>
      <w:r>
        <w:t xml:space="preserve">) beperkt is. Een interventie kan uitsluitend worden ingezet wanneer er sprake is van taakverwaarlozing in de zin dat een wettelijk verplicht besluit uitblijft. Nu deze besluiten wel zijn genomen, </w:t>
      </w:r>
      <w:r>
        <w:t xml:space="preserve">concludeert de waarnemend Rijksvertegenwoordiger dat er op grond van de wettelijke criteria voor interbestuurlijk toezicht geen sprake (meer) is van taakverwaarlozing. </w:t>
      </w:r>
    </w:p>
    <w:p w:rsidR="000D77AF" w:rsidP="000D77AF" w14:paraId="50EF398D" w14:textId="77777777"/>
    <w:p w:rsidR="000D77AF" w:rsidP="000D77AF" w14:paraId="047FB469" w14:textId="77777777">
      <w:r>
        <w:t>Het toezichtinstrumentarium biedt geen mogelijkheid om in te grijpen op de resultaten van deze besluiten, bijvoorbeeld de inhoudelijke kwaliteit, effectiviteit of voortgang van de uitvoering. Om die reden bestaat er geen grond meer om de interventie voort te zetten en heeft de waarnemend Rijksvertegenwoordiger besloten het IBT-traject te beëindigen.</w:t>
      </w:r>
    </w:p>
    <w:p w:rsidR="000D77AF" w:rsidP="000D77AF" w14:paraId="3238DFFC" w14:textId="77777777"/>
    <w:p w:rsidR="000D77AF" w:rsidP="000D77AF" w14:paraId="4AF59718" w14:textId="77777777">
      <w:r>
        <w:t xml:space="preserve">Nu het interbestuurlijk toezichttraject </w:t>
      </w:r>
      <w:r w:rsidRPr="00D95433">
        <w:t>op grond van de Wet openbare lichamen Bonaire, Sint Eustatius en Saba</w:t>
      </w:r>
      <w:r>
        <w:t xml:space="preserve"> wordt </w:t>
      </w:r>
      <w:r w:rsidRPr="00D95433">
        <w:t>beëindigd wegens</w:t>
      </w:r>
      <w:r>
        <w:t xml:space="preserve"> </w:t>
      </w:r>
      <w:r w:rsidRPr="00D95433">
        <w:t>ontbreken van taakverwaarlozing</w:t>
      </w:r>
      <w:r>
        <w:t xml:space="preserve"> volgens de wettelijke criteria</w:t>
      </w:r>
      <w:r w:rsidRPr="00D95433">
        <w:t xml:space="preserve">, zal het vervolg binnen het bestaande wettelijke kader en de reguliere bestuurlijke verhoudingen moeten worden vormgegeven. </w:t>
      </w:r>
    </w:p>
    <w:p w:rsidR="000D77AF" w:rsidP="000D77AF" w14:paraId="4AB257AC" w14:textId="77777777"/>
    <w:p w:rsidR="000D77AF" w:rsidP="000D77AF" w14:paraId="36DA472A" w14:textId="77777777">
      <w:r w:rsidRPr="00224230">
        <w:t xml:space="preserve">Alle betrokken partijen onderkennen de ernst en urgentie van het probleem en de noodzaak om te komen tot een oplossing. We hebben hier te maken met een forse bedreiging voor het milieu en de volksgezondheid. Momenteel werken de betrokken partijen, waaronder de staatssecretarissen van </w:t>
      </w:r>
      <w:r w:rsidRPr="00224230">
        <w:t>IenW</w:t>
      </w:r>
      <w:r w:rsidRPr="00224230">
        <w:t xml:space="preserve"> en BZK, samen met het bestuurscollege aan een gezamenlijke, structurele en duurzame oplossing. Hiermee geven we uitvoering aan de moties Ceder (ChristenUnie)/Van der Burg (VVD)</w:t>
      </w:r>
      <w:r>
        <w:rPr>
          <w:rStyle w:val="FootnoteReference"/>
        </w:rPr>
        <w:footnoteReference w:id="2"/>
      </w:r>
      <w:r w:rsidRPr="00224230">
        <w:t>, Ceder (ChristenUnie)</w:t>
      </w:r>
      <w:r>
        <w:rPr>
          <w:rStyle w:val="FootnoteReference"/>
        </w:rPr>
        <w:footnoteReference w:id="3"/>
      </w:r>
      <w:r w:rsidRPr="00224230">
        <w:t xml:space="preserve"> en </w:t>
      </w:r>
      <w:r w:rsidRPr="00224230">
        <w:t>Bruyning</w:t>
      </w:r>
      <w:r w:rsidRPr="00224230">
        <w:t xml:space="preserve"> (NSC)/White (GroenLinks/PvdA)</w:t>
      </w:r>
      <w:r>
        <w:t>.</w:t>
      </w:r>
      <w:r>
        <w:rPr>
          <w:rStyle w:val="FootnoteReference"/>
        </w:rPr>
        <w:footnoteReference w:id="4"/>
      </w:r>
      <w:r w:rsidRPr="00224230">
        <w:t xml:space="preserve"> Daar komt de motie Van den Brink (CDA)</w:t>
      </w:r>
      <w:r>
        <w:rPr>
          <w:rStyle w:val="FootnoteReference"/>
        </w:rPr>
        <w:footnoteReference w:id="5"/>
      </w:r>
      <w:r w:rsidRPr="00224230">
        <w:t xml:space="preserve"> bij, deze motie heeft de staatssecretaris van BZK tijdens het meest recente tweeminutendebat over </w:t>
      </w:r>
      <w:r w:rsidRPr="00224230">
        <w:t>Selibon</w:t>
      </w:r>
      <w:r w:rsidRPr="00224230">
        <w:t xml:space="preserve"> overgenomen. Over de motie Ceder c.s. (ChristenUnie) over een tijdelijk relocatieplan voor omwonenden</w:t>
      </w:r>
      <w:r>
        <w:t xml:space="preserve"> gaat de staatssecretaris van BZK met het bestuurscollege in gesprek.</w:t>
      </w:r>
      <w:r>
        <w:rPr>
          <w:rStyle w:val="FootnoteReference"/>
        </w:rPr>
        <w:footnoteReference w:id="6"/>
      </w:r>
      <w:r>
        <w:br/>
      </w:r>
    </w:p>
    <w:p w:rsidR="000D77AF" w:rsidP="000D77AF" w14:paraId="6EE8DC63" w14:textId="77777777">
      <w:r>
        <w:t xml:space="preserve">In zijn brief doet de waarnemend Rijksvertegenwoordiger ook een aantal aanbevelingen. Deze zien grofweg op sterkere regie en het vrijmaken van middelen. In de brief wordt daarbij ook de mogelijkheid genoemd om een regeringscommissaris aan te stellen. De staatssecretarissen van </w:t>
      </w:r>
      <w:r>
        <w:t>IenW</w:t>
      </w:r>
      <w:r>
        <w:t xml:space="preserve"> en BZK delen het doel dat sterke regie noodzakelijk is en voelen de urgentie om tot een oplossing te komen. Het kabinet kiest er niet voor om een regeringscommissaris aan te stellen. In plaats daarvan wordt aangesloten bij de programmatische aanpak zoals afgesproken met het bestuurscollege in de bestuursovereenkomst “aanpak </w:t>
      </w:r>
      <w:r>
        <w:t>Selibon</w:t>
      </w:r>
      <w:r>
        <w:t xml:space="preserve"> </w:t>
      </w:r>
      <w:r>
        <w:t>Lagun</w:t>
      </w:r>
      <w:r>
        <w:t xml:space="preserve">”. </w:t>
      </w:r>
    </w:p>
    <w:p w:rsidR="000D77AF" w:rsidP="000D77AF" w14:paraId="765BC2C3" w14:textId="77777777"/>
    <w:p w:rsidR="000D77AF" w:rsidP="000D77AF" w14:paraId="394BBC56" w14:textId="77777777">
      <w:r>
        <w:t>In dat kader worden momenteel namelijk verschillende concrete stappen gezet. Zo werkt de staatssecretaris van BZK met het bestuurscollege aan de uitvoering van de bestuursovereenkomst. De bestuursovereenkomst ziet op:</w:t>
      </w:r>
    </w:p>
    <w:p w:rsidR="000D77AF" w:rsidP="000D77AF" w14:paraId="2984EEB5" w14:textId="77777777">
      <w:pPr>
        <w:pStyle w:val="ListParagraph"/>
        <w:numPr>
          <w:ilvl w:val="0"/>
          <w:numId w:val="11"/>
        </w:numPr>
      </w:pPr>
      <w:r>
        <w:t xml:space="preserve">Het verbeteren van de bedrijfsvoering van het milieubeheer bij </w:t>
      </w:r>
      <w:r>
        <w:t>Selibon</w:t>
      </w:r>
    </w:p>
    <w:p w:rsidR="000D77AF" w:rsidP="000D77AF" w14:paraId="6BC669D2" w14:textId="77777777">
      <w:pPr>
        <w:pStyle w:val="ListParagraph"/>
        <w:numPr>
          <w:ilvl w:val="0"/>
          <w:numId w:val="11"/>
        </w:numPr>
      </w:pPr>
      <w:r>
        <w:t>Het nemen van kortetermijnmaatregelen op de stortplaats; en</w:t>
      </w:r>
    </w:p>
    <w:p w:rsidR="000D77AF" w:rsidP="000D77AF" w14:paraId="35D695DA" w14:textId="77777777">
      <w:pPr>
        <w:pStyle w:val="ListParagraph"/>
        <w:numPr>
          <w:ilvl w:val="0"/>
          <w:numId w:val="11"/>
        </w:numPr>
      </w:pPr>
      <w:r>
        <w:t>Het versterken van vergunningverlening, toezicht en handhaving</w:t>
      </w:r>
    </w:p>
    <w:p w:rsidR="000D77AF" w:rsidP="000D77AF" w14:paraId="043F89B7" w14:textId="77777777"/>
    <w:p w:rsidRPr="00224230" w:rsidR="000D77AF" w:rsidP="000D77AF" w14:paraId="1492E9D4" w14:textId="77777777">
      <w:r>
        <w:t xml:space="preserve">Om de regie en uitvoering te bevorderen werken de staatssecretarissen van </w:t>
      </w:r>
      <w:r>
        <w:t>IenW</w:t>
      </w:r>
      <w:r>
        <w:t xml:space="preserve"> en BZK aan de opzet van een gezamenlijke programmateam, gevormd door het openbaar lichaam, het Rijk en uitvoeringsorganisaties. Dit programma moet de centrale regie versterken voor zowel de kortetermijnmaatregelen als het uitwerken van een structurele </w:t>
      </w:r>
      <w:r>
        <w:t>langetermijnoplossing</w:t>
      </w:r>
      <w:r>
        <w:t xml:space="preserve">. Om dit proces te bevorderen worden belangrijke </w:t>
      </w:r>
      <w:r w:rsidRPr="00224230">
        <w:t xml:space="preserve">uitvoeringspartners zoals de Omgevingsdienst NL bij het programma betrokken. Ook zal door </w:t>
      </w:r>
      <w:r w:rsidRPr="00224230">
        <w:t>IenW</w:t>
      </w:r>
      <w:r w:rsidRPr="00224230">
        <w:t xml:space="preserve"> onderzocht worden hoe RIVM-monitoring ingericht kan worden zodat er continu luchtkwaliteitsmetingen plaatsvinden, conform de motie Ceder c.s. (ChristenUnie).</w:t>
      </w:r>
      <w:r>
        <w:rPr>
          <w:rStyle w:val="FootnoteReference"/>
        </w:rPr>
        <w:footnoteReference w:id="7"/>
      </w:r>
      <w:r w:rsidRPr="00224230">
        <w:t xml:space="preserve"> Daarnaast geven de staatssecretarissen van </w:t>
      </w:r>
      <w:r w:rsidRPr="00224230">
        <w:t>IenW</w:t>
      </w:r>
      <w:r w:rsidRPr="00224230">
        <w:t xml:space="preserve"> en BZK uitvoering aan de reeds genoemde motie Ceder (ChristenUnie)/van der Burg (VVD) om voor 1 juli een gedragen (financieel) plan aan te leveren voor een structurele oplossing van </w:t>
      </w:r>
      <w:r w:rsidRPr="00224230">
        <w:t>Selibon</w:t>
      </w:r>
      <w:r w:rsidRPr="00224230">
        <w:t xml:space="preserve"> </w:t>
      </w:r>
      <w:r w:rsidRPr="00224230">
        <w:t>Lagun</w:t>
      </w:r>
      <w:r w:rsidRPr="00224230">
        <w:t>.</w:t>
      </w:r>
    </w:p>
    <w:p w:rsidRPr="00224230" w:rsidR="000D77AF" w:rsidP="000D77AF" w14:paraId="63213445" w14:textId="77777777"/>
    <w:p w:rsidR="000D77AF" w:rsidP="000D77AF" w14:paraId="0BDF1522" w14:textId="77777777">
      <w:r w:rsidRPr="00224230">
        <w:t xml:space="preserve">De verdere uitwerking van deze programmatische aanpak, inclusief de kosten, organisatie en borging van uitvoerbaarheid, wordt de komende periode geconcretiseerd. Voor toekomstgerichte afvalverwerking wordt ook gekeken naar goede samenwerking met Aruba en Curaçao, conform motie </w:t>
      </w:r>
      <w:r w:rsidRPr="00224230">
        <w:t>Tseggai</w:t>
      </w:r>
      <w:r w:rsidRPr="00224230">
        <w:t xml:space="preserve"> (GroenLinks/PvdA)/Ceder (ChristenUnie)</w:t>
      </w:r>
      <w:r>
        <w:t>.</w:t>
      </w:r>
      <w:r>
        <w:rPr>
          <w:rStyle w:val="FootnoteReference"/>
        </w:rPr>
        <w:footnoteReference w:id="8"/>
      </w:r>
      <w:r w:rsidRPr="00224230">
        <w:t xml:space="preserve"> Uw Kamer wordt over de aanpak uiterlijk in het derde kwartaal van 2026 nader geïnformeerd. </w:t>
      </w:r>
    </w:p>
    <w:p w:rsidR="000D77AF" w:rsidP="000D77AF" w14:paraId="083A7992" w14:textId="77777777"/>
    <w:p w:rsidR="00105A76" w:rsidP="00105A76" w14:paraId="0C1D6598" w14:textId="77777777">
      <w:r>
        <w:br/>
      </w:r>
      <w:r>
        <w:t>De staatssecretaris van Binnenlandse Zaken en Koninkrijksrelaties,</w:t>
      </w:r>
    </w:p>
    <w:p w:rsidR="00105A76" w:rsidP="00105A76" w14:paraId="5ECF1E5B" w14:textId="77777777"/>
    <w:p w:rsidR="00105A76" w:rsidP="00105A76" w14:paraId="4ACC745B" w14:textId="77777777"/>
    <w:p w:rsidR="00105A76" w:rsidP="00105A76" w14:paraId="2098A519" w14:textId="77777777"/>
    <w:p w:rsidR="00105A76" w:rsidP="00105A76" w14:paraId="1B0261FD" w14:textId="77777777"/>
    <w:p w:rsidR="00105A76" w:rsidP="00105A76" w14:paraId="4575D956" w14:textId="77777777"/>
    <w:p w:rsidR="00105A76" w:rsidP="00105A76" w14:paraId="551F9B72" w14:textId="77777777">
      <w:r>
        <w:t>Eric van der Burg</w:t>
      </w:r>
    </w:p>
    <w:p w:rsidR="00105A76" w:rsidP="000D77AF" w14:paraId="359C563C" w14:textId="77777777"/>
    <w:p w:rsidR="00105A76" w:rsidP="000D77AF" w14:paraId="5C1C6CD1" w14:textId="77777777"/>
    <w:p w:rsidR="00105A76" w:rsidP="000D77AF" w14:paraId="6ED7AB81" w14:textId="77777777"/>
    <w:p w:rsidR="00105A76" w:rsidP="000D77AF" w14:paraId="16EC8E57" w14:textId="77777777"/>
    <w:p w:rsidR="000D77AF" w:rsidP="000D77AF" w14:paraId="46567CB4" w14:textId="62DB6CDF">
      <w:r>
        <w:t>De staatssecretaris van Infrastructuur en Waterstaat</w:t>
      </w:r>
      <w:r w:rsidR="00464947">
        <w:t>,</w:t>
      </w:r>
    </w:p>
    <w:p w:rsidR="000D77AF" w:rsidP="000D77AF" w14:paraId="7EFAD4BC" w14:textId="77777777"/>
    <w:p w:rsidR="000D77AF" w:rsidP="000D77AF" w14:paraId="77C03E35" w14:textId="77777777"/>
    <w:p w:rsidR="000D77AF" w:rsidP="000D77AF" w14:paraId="251F78A8" w14:textId="77777777"/>
    <w:p w:rsidR="000D77AF" w:rsidP="000D77AF" w14:paraId="4364932E" w14:textId="77777777"/>
    <w:p w:rsidR="000D77AF" w:rsidP="000D77AF" w14:paraId="046F36DD" w14:textId="77777777"/>
    <w:p w:rsidR="000D77AF" w:rsidP="000D77AF" w14:paraId="39986605" w14:textId="77777777">
      <w:r>
        <w:t>Annet Bertram</w:t>
      </w:r>
    </w:p>
    <w:p w:rsidR="000D77AF" w:rsidP="000D77AF" w14:paraId="268EAE53" w14:textId="77777777"/>
    <w:p w:rsidRPr="000D77AF" w:rsidR="00220776" w:rsidP="000D77AF" w14:paraId="24EBD917"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2EFF" w14:paraId="21FF179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0776" w14:paraId="019D68A5"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2EFF" w14:paraId="2072F65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D3687" w14:paraId="1C05A470" w14:textId="77777777">
      <w:pPr>
        <w:spacing w:line="240" w:lineRule="auto"/>
      </w:pPr>
      <w:r>
        <w:separator/>
      </w:r>
    </w:p>
  </w:footnote>
  <w:footnote w:type="continuationSeparator" w:id="1">
    <w:p w:rsidR="008D3687" w14:paraId="5D5979EB" w14:textId="77777777">
      <w:pPr>
        <w:spacing w:line="240" w:lineRule="auto"/>
      </w:pPr>
      <w:r>
        <w:continuationSeparator/>
      </w:r>
    </w:p>
  </w:footnote>
  <w:footnote w:id="2">
    <w:p w:rsidR="000D77AF" w:rsidRPr="00AF06B0" w:rsidP="000D77AF" w14:paraId="4CF5DFF2" w14:textId="77777777">
      <w:pPr>
        <w:pStyle w:val="FootnoteText"/>
        <w:rPr>
          <w:sz w:val="16"/>
          <w:szCs w:val="16"/>
        </w:rPr>
      </w:pPr>
      <w:r w:rsidRPr="00AF06B0">
        <w:rPr>
          <w:rStyle w:val="FootnoteReference"/>
          <w:sz w:val="16"/>
          <w:szCs w:val="16"/>
        </w:rPr>
        <w:footnoteRef/>
      </w:r>
      <w:r w:rsidRPr="00AF06B0">
        <w:rPr>
          <w:sz w:val="16"/>
          <w:szCs w:val="16"/>
        </w:rPr>
        <w:t xml:space="preserve"> Kamerstuk II 2025/</w:t>
      </w:r>
      <w:r>
        <w:rPr>
          <w:sz w:val="16"/>
          <w:szCs w:val="16"/>
        </w:rPr>
        <w:t>20</w:t>
      </w:r>
      <w:r w:rsidRPr="00AF06B0">
        <w:rPr>
          <w:sz w:val="16"/>
          <w:szCs w:val="16"/>
        </w:rPr>
        <w:t>26, 36800 IV, nr. 38.</w:t>
      </w:r>
    </w:p>
  </w:footnote>
  <w:footnote w:id="3">
    <w:p w:rsidR="000D77AF" w:rsidRPr="00AF06B0" w:rsidP="000D77AF" w14:paraId="0F9D2D58" w14:textId="77777777">
      <w:pPr>
        <w:pStyle w:val="FootnoteText"/>
        <w:rPr>
          <w:sz w:val="16"/>
          <w:szCs w:val="16"/>
        </w:rPr>
      </w:pPr>
      <w:r w:rsidRPr="00AF06B0">
        <w:rPr>
          <w:rStyle w:val="FootnoteReference"/>
          <w:sz w:val="16"/>
          <w:szCs w:val="16"/>
        </w:rPr>
        <w:footnoteRef/>
      </w:r>
      <w:r w:rsidRPr="00AF06B0">
        <w:rPr>
          <w:sz w:val="16"/>
          <w:szCs w:val="16"/>
        </w:rPr>
        <w:t xml:space="preserve"> </w:t>
      </w:r>
      <w:r>
        <w:rPr>
          <w:sz w:val="16"/>
          <w:szCs w:val="16"/>
        </w:rPr>
        <w:t xml:space="preserve">Kamerstuk II 2024/2025, </w:t>
      </w:r>
      <w:r w:rsidRPr="00AF06B0">
        <w:rPr>
          <w:sz w:val="16"/>
          <w:szCs w:val="16"/>
        </w:rPr>
        <w:t>22343</w:t>
      </w:r>
      <w:r>
        <w:rPr>
          <w:sz w:val="16"/>
          <w:szCs w:val="16"/>
        </w:rPr>
        <w:t xml:space="preserve">, nr. </w:t>
      </w:r>
      <w:r w:rsidRPr="00AF06B0">
        <w:rPr>
          <w:sz w:val="16"/>
          <w:szCs w:val="16"/>
        </w:rPr>
        <w:t>422</w:t>
      </w:r>
      <w:r>
        <w:rPr>
          <w:sz w:val="16"/>
          <w:szCs w:val="16"/>
        </w:rPr>
        <w:t>.</w:t>
      </w:r>
    </w:p>
  </w:footnote>
  <w:footnote w:id="4">
    <w:p w:rsidR="000D77AF" w:rsidRPr="00AF06B0" w:rsidP="000D77AF" w14:paraId="1BE14810" w14:textId="77777777">
      <w:pPr>
        <w:pStyle w:val="FootnoteText"/>
        <w:rPr>
          <w:sz w:val="16"/>
          <w:szCs w:val="16"/>
        </w:rPr>
      </w:pPr>
      <w:r w:rsidRPr="00AF06B0">
        <w:rPr>
          <w:rStyle w:val="FootnoteReference"/>
          <w:sz w:val="16"/>
          <w:szCs w:val="16"/>
        </w:rPr>
        <w:footnoteRef/>
      </w:r>
      <w:r w:rsidRPr="00AF06B0">
        <w:rPr>
          <w:sz w:val="16"/>
          <w:szCs w:val="16"/>
        </w:rPr>
        <w:t xml:space="preserve"> </w:t>
      </w:r>
      <w:r>
        <w:rPr>
          <w:sz w:val="16"/>
          <w:szCs w:val="16"/>
        </w:rPr>
        <w:t xml:space="preserve">Kamerstuk II, 2024/2025, </w:t>
      </w:r>
      <w:r w:rsidRPr="00AF06B0">
        <w:rPr>
          <w:sz w:val="16"/>
          <w:szCs w:val="16"/>
        </w:rPr>
        <w:t>22343</w:t>
      </w:r>
      <w:r>
        <w:rPr>
          <w:sz w:val="16"/>
          <w:szCs w:val="16"/>
        </w:rPr>
        <w:t xml:space="preserve">, nr. </w:t>
      </w:r>
      <w:r w:rsidRPr="00AF06B0">
        <w:rPr>
          <w:sz w:val="16"/>
          <w:szCs w:val="16"/>
        </w:rPr>
        <w:t>424</w:t>
      </w:r>
      <w:r>
        <w:rPr>
          <w:sz w:val="16"/>
          <w:szCs w:val="16"/>
        </w:rPr>
        <w:t>.</w:t>
      </w:r>
    </w:p>
  </w:footnote>
  <w:footnote w:id="5">
    <w:p w:rsidR="000D77AF" w:rsidRPr="00AF06B0" w:rsidP="000D77AF" w14:paraId="2C963F0B" w14:textId="77777777">
      <w:pPr>
        <w:pStyle w:val="FootnoteText"/>
        <w:rPr>
          <w:sz w:val="16"/>
          <w:szCs w:val="16"/>
        </w:rPr>
      </w:pPr>
      <w:r w:rsidRPr="00AF06B0">
        <w:rPr>
          <w:rStyle w:val="FootnoteReference"/>
          <w:sz w:val="16"/>
          <w:szCs w:val="16"/>
        </w:rPr>
        <w:footnoteRef/>
      </w:r>
      <w:r w:rsidRPr="00AF06B0">
        <w:rPr>
          <w:sz w:val="16"/>
          <w:szCs w:val="16"/>
        </w:rPr>
        <w:t xml:space="preserve"> </w:t>
      </w:r>
      <w:r>
        <w:rPr>
          <w:sz w:val="16"/>
          <w:szCs w:val="16"/>
        </w:rPr>
        <w:t xml:space="preserve">Kamerstuk II, 2025/2026, </w:t>
      </w:r>
      <w:r w:rsidRPr="00AF06B0">
        <w:rPr>
          <w:sz w:val="16"/>
          <w:szCs w:val="16"/>
        </w:rPr>
        <w:t>22343</w:t>
      </w:r>
      <w:r>
        <w:rPr>
          <w:sz w:val="16"/>
          <w:szCs w:val="16"/>
        </w:rPr>
        <w:t xml:space="preserve"> nr. </w:t>
      </w:r>
      <w:r w:rsidRPr="00AF06B0">
        <w:rPr>
          <w:sz w:val="16"/>
          <w:szCs w:val="16"/>
        </w:rPr>
        <w:t>448</w:t>
      </w:r>
      <w:r>
        <w:rPr>
          <w:sz w:val="16"/>
          <w:szCs w:val="16"/>
        </w:rPr>
        <w:t>.</w:t>
      </w:r>
    </w:p>
  </w:footnote>
  <w:footnote w:id="6">
    <w:p w:rsidR="000D77AF" w:rsidRPr="00224230" w:rsidP="000D77AF" w14:paraId="1AFD4970" w14:textId="77777777">
      <w:pPr>
        <w:pStyle w:val="FootnoteText"/>
        <w:rPr>
          <w:sz w:val="16"/>
          <w:szCs w:val="16"/>
        </w:rPr>
      </w:pPr>
      <w:r w:rsidRPr="00224230">
        <w:rPr>
          <w:rStyle w:val="FootnoteReference"/>
          <w:sz w:val="16"/>
          <w:szCs w:val="16"/>
        </w:rPr>
        <w:footnoteRef/>
      </w:r>
      <w:r w:rsidRPr="00224230">
        <w:rPr>
          <w:sz w:val="16"/>
          <w:szCs w:val="16"/>
        </w:rPr>
        <w:t xml:space="preserve"> Kamerstuk II, 2025/2026, 22343, nr. 443.</w:t>
      </w:r>
    </w:p>
  </w:footnote>
  <w:footnote w:id="7">
    <w:p w:rsidR="000D77AF" w:rsidP="000D77AF" w14:paraId="01F70942" w14:textId="77777777">
      <w:pPr>
        <w:pStyle w:val="FootnoteText"/>
      </w:pPr>
      <w:r>
        <w:rPr>
          <w:rStyle w:val="FootnoteReference"/>
        </w:rPr>
        <w:footnoteRef/>
      </w:r>
      <w:r>
        <w:t xml:space="preserve"> </w:t>
      </w:r>
      <w:r>
        <w:rPr>
          <w:sz w:val="16"/>
          <w:szCs w:val="16"/>
        </w:rPr>
        <w:t xml:space="preserve">Kamerstuk II, 2025/2026, </w:t>
      </w:r>
      <w:r w:rsidRPr="00AF06B0">
        <w:rPr>
          <w:sz w:val="16"/>
          <w:szCs w:val="16"/>
        </w:rPr>
        <w:t>22343</w:t>
      </w:r>
      <w:r>
        <w:rPr>
          <w:sz w:val="16"/>
          <w:szCs w:val="16"/>
        </w:rPr>
        <w:t xml:space="preserve"> nr. </w:t>
      </w:r>
      <w:r w:rsidRPr="00AF06B0">
        <w:rPr>
          <w:sz w:val="16"/>
          <w:szCs w:val="16"/>
        </w:rPr>
        <w:t>44</w:t>
      </w:r>
      <w:r>
        <w:rPr>
          <w:sz w:val="16"/>
          <w:szCs w:val="16"/>
        </w:rPr>
        <w:t>2.</w:t>
      </w:r>
    </w:p>
  </w:footnote>
  <w:footnote w:id="8">
    <w:p w:rsidR="000D77AF" w:rsidP="000D77AF" w14:paraId="7D2AEBF6" w14:textId="77777777">
      <w:pPr>
        <w:pStyle w:val="FootnoteText"/>
      </w:pPr>
      <w:r>
        <w:rPr>
          <w:rStyle w:val="FootnoteReference"/>
        </w:rPr>
        <w:footnoteRef/>
      </w:r>
      <w:r>
        <w:t xml:space="preserve"> </w:t>
      </w:r>
      <w:r>
        <w:rPr>
          <w:sz w:val="16"/>
          <w:szCs w:val="16"/>
        </w:rPr>
        <w:t xml:space="preserve">Kamerstuk II, 2025/2026, </w:t>
      </w:r>
      <w:r w:rsidRPr="00AF06B0">
        <w:rPr>
          <w:sz w:val="16"/>
          <w:szCs w:val="16"/>
        </w:rPr>
        <w:t>22343</w:t>
      </w:r>
      <w:r>
        <w:rPr>
          <w:sz w:val="16"/>
          <w:szCs w:val="16"/>
        </w:rPr>
        <w:t xml:space="preserve"> nr. </w:t>
      </w:r>
      <w:r w:rsidRPr="00AF06B0">
        <w:rPr>
          <w:sz w:val="16"/>
          <w:szCs w:val="16"/>
        </w:rPr>
        <w:t>44</w:t>
      </w:r>
      <w:r>
        <w:rPr>
          <w:sz w:val="16"/>
          <w:szCs w:val="16"/>
        </w:rPr>
        <w:t>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2EFF" w14:paraId="629F9FD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0776" w14:paraId="7EB6CC75"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6D2B99"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6D2B99" w14:paraId="2AB8FE53"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20776" w14:textId="77777777">
                          <w:pPr>
                            <w:pStyle w:val="Referentiegegevensbold"/>
                          </w:pPr>
                          <w:r>
                            <w:t>DG Koninkrijksrelaties</w:t>
                          </w:r>
                        </w:p>
                        <w:p w:rsidR="00220776" w14:textId="77777777">
                          <w:pPr>
                            <w:pStyle w:val="Referentiegegevens"/>
                          </w:pPr>
                          <w:r>
                            <w:t>Bestuur &amp; Rechtsstaat</w:t>
                          </w:r>
                        </w:p>
                        <w:p w:rsidR="00220776" w14:textId="77777777">
                          <w:pPr>
                            <w:pStyle w:val="WitregelW2"/>
                          </w:pPr>
                        </w:p>
                        <w:p w:rsidR="00220776" w14:textId="77777777">
                          <w:pPr>
                            <w:pStyle w:val="WitregelW1"/>
                          </w:pPr>
                        </w:p>
                        <w:p w:rsidR="00220776" w14:textId="77777777">
                          <w:pPr>
                            <w:pStyle w:val="Referentiegegevensbold"/>
                          </w:pPr>
                          <w:r>
                            <w:t>Onze referentie</w:t>
                          </w:r>
                        </w:p>
                        <w:p w:rsidR="00B22C1D" w14:textId="770844E0">
                          <w:pPr>
                            <w:pStyle w:val="Referentiegegevens"/>
                          </w:pPr>
                          <w:r>
                            <w:fldChar w:fldCharType="begin"/>
                          </w:r>
                          <w:r>
                            <w:instrText xml:space="preserve"> DOCPROPERTY  "Kenmerk"  \* MERGEFORMAT </w:instrText>
                          </w:r>
                          <w:r>
                            <w:fldChar w:fldCharType="separate"/>
                          </w:r>
                          <w:r w:rsidR="00105A76">
                            <w:t>2026-0000103078</w:t>
                          </w:r>
                          <w:r w:rsidR="00105A76">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220776" w14:paraId="5206F716" w14:textId="77777777">
                    <w:pPr>
                      <w:pStyle w:val="Referentiegegevensbold"/>
                    </w:pPr>
                    <w:r>
                      <w:t>DG Koninkrijksrelaties</w:t>
                    </w:r>
                  </w:p>
                  <w:p w:rsidR="00220776" w14:paraId="7041EE2A" w14:textId="77777777">
                    <w:pPr>
                      <w:pStyle w:val="Referentiegegevens"/>
                    </w:pPr>
                    <w:r>
                      <w:t>Bestuur &amp; Rechtsstaat</w:t>
                    </w:r>
                  </w:p>
                  <w:p w:rsidR="00220776" w14:paraId="2C5AC608" w14:textId="77777777">
                    <w:pPr>
                      <w:pStyle w:val="WitregelW2"/>
                    </w:pPr>
                  </w:p>
                  <w:p w:rsidR="00220776" w14:paraId="60884F46" w14:textId="77777777">
                    <w:pPr>
                      <w:pStyle w:val="WitregelW1"/>
                    </w:pPr>
                  </w:p>
                  <w:p w:rsidR="00220776" w14:paraId="68560B8A" w14:textId="77777777">
                    <w:pPr>
                      <w:pStyle w:val="Referentiegegevensbold"/>
                    </w:pPr>
                    <w:r>
                      <w:t>Onze referentie</w:t>
                    </w:r>
                  </w:p>
                  <w:p w:rsidR="00B22C1D" w14:paraId="4805A88A" w14:textId="770844E0">
                    <w:pPr>
                      <w:pStyle w:val="Referentiegegevens"/>
                    </w:pPr>
                    <w:r>
                      <w:fldChar w:fldCharType="begin"/>
                    </w:r>
                    <w:r>
                      <w:instrText xml:space="preserve"> DOCPROPERTY  "Kenmerk"  \* MERGEFORMAT </w:instrText>
                    </w:r>
                    <w:r>
                      <w:fldChar w:fldCharType="separate"/>
                    </w:r>
                    <w:r w:rsidR="00105A76">
                      <w:t>2026-0000103078</w:t>
                    </w:r>
                    <w:r w:rsidR="00105A76">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D2B99"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6D2B99" w14:paraId="02D1AA66"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B22C1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B22C1D" w14:paraId="733E944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0776" w14:paraId="15599D0B"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220776" w14:textId="77777777">
                          <w:pPr>
                            <w:spacing w:line="240" w:lineRule="auto"/>
                          </w:pPr>
                          <w:r>
                            <w:rPr>
                              <w:noProof/>
                            </w:rPr>
                            <w:drawing>
                              <wp:inline distT="0" distB="0" distL="0" distR="0">
                                <wp:extent cx="467995" cy="1583865"/>
                                <wp:effectExtent l="0" t="0" r="0" b="0"/>
                                <wp:docPr id="16056146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056146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220776" w14:paraId="25274422"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20776" w14:textId="77777777">
                          <w:pPr>
                            <w:spacing w:line="240" w:lineRule="auto"/>
                          </w:pPr>
                          <w:r>
                            <w:rPr>
                              <w:noProof/>
                            </w:rPr>
                            <w:drawing>
                              <wp:inline distT="0" distB="0" distL="0" distR="0">
                                <wp:extent cx="2339975" cy="1582834"/>
                                <wp:effectExtent l="0" t="0" r="0" b="0"/>
                                <wp:docPr id="187274332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87274332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220776" w14:paraId="7C547C96"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20776"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220776" w14:paraId="3BFFB84F"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20776" w14:textId="77777777">
                          <w:r>
                            <w:t>Aan de Voorzitter van de Tweede Kamer der Staten-Generaal</w:t>
                          </w:r>
                        </w:p>
                        <w:p w:rsidR="00220776" w14:textId="77777777">
                          <w:r>
                            <w:t>Postbus 20018</w:t>
                          </w:r>
                        </w:p>
                        <w:p w:rsidR="00220776"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220776" w14:paraId="4C268450" w14:textId="77777777">
                    <w:r>
                      <w:t>Aan de Voorzitter van de Tweede Kamer der Staten-Generaal</w:t>
                    </w:r>
                  </w:p>
                  <w:p w:rsidR="00220776" w14:paraId="7CAECE45" w14:textId="77777777">
                    <w:r>
                      <w:t>Postbus 20018</w:t>
                    </w:r>
                  </w:p>
                  <w:p w:rsidR="00220776" w14:paraId="592C2BC5"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left</wp:align>
              </wp:positionH>
              <wp:positionV relativeFrom="paragraph">
                <wp:posOffset>3352800</wp:posOffset>
              </wp:positionV>
              <wp:extent cx="4787900" cy="81534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15340"/>
                      </a:xfrm>
                      <a:prstGeom prst="rect">
                        <a:avLst/>
                      </a:prstGeom>
                      <a:noFill/>
                    </wps:spPr>
                    <wps:txbx>
                      <w:txbxContent>
                        <w:tbl>
                          <w:tblPr>
                            <w:tblW w:w="0" w:type="auto"/>
                            <w:tblInd w:w="-120" w:type="dxa"/>
                            <w:tblLayout w:type="fixed"/>
                            <w:tblLook w:val="07E0"/>
                          </w:tblPr>
                          <w:tblGrid>
                            <w:gridCol w:w="1140"/>
                            <w:gridCol w:w="5918"/>
                          </w:tblGrid>
                          <w:tr w14:paraId="757783EE" w14:textId="77777777">
                            <w:tblPrEx>
                              <w:tblW w:w="0" w:type="auto"/>
                              <w:tblInd w:w="-120" w:type="dxa"/>
                              <w:tblLayout w:type="fixed"/>
                              <w:tblLook w:val="07E0"/>
                            </w:tblPrEx>
                            <w:trPr>
                              <w:trHeight w:val="240"/>
                            </w:trPr>
                            <w:tc>
                              <w:tcPr>
                                <w:tcW w:w="1140" w:type="dxa"/>
                              </w:tcPr>
                              <w:p w:rsidR="00220776" w14:textId="77777777">
                                <w:r>
                                  <w:t>Datum</w:t>
                                </w:r>
                              </w:p>
                            </w:tc>
                            <w:tc>
                              <w:tcPr>
                                <w:tcW w:w="5918" w:type="dxa"/>
                              </w:tcPr>
                              <w:p w:rsidR="00B22C1D" w14:textId="3112E5FF">
                                <w:r>
                                  <w:t>13 maart 2026</w:t>
                                </w:r>
                              </w:p>
                            </w:tc>
                          </w:tr>
                          <w:tr w14:paraId="1D2FBCF8" w14:textId="77777777">
                            <w:tblPrEx>
                              <w:tblW w:w="0" w:type="auto"/>
                              <w:tblInd w:w="-120" w:type="dxa"/>
                              <w:tblLayout w:type="fixed"/>
                              <w:tblLook w:val="07E0"/>
                            </w:tblPrEx>
                            <w:trPr>
                              <w:trHeight w:val="240"/>
                            </w:trPr>
                            <w:tc>
                              <w:tcPr>
                                <w:tcW w:w="1140" w:type="dxa"/>
                              </w:tcPr>
                              <w:p w:rsidR="00220776" w14:textId="77777777">
                                <w:r>
                                  <w:t>Betreft</w:t>
                                </w:r>
                              </w:p>
                            </w:tc>
                            <w:tc>
                              <w:tcPr>
                                <w:tcW w:w="5918" w:type="dxa"/>
                              </w:tcPr>
                              <w:p w:rsidR="00B22C1D" w14:textId="31B4FFF6">
                                <w:r>
                                  <w:fldChar w:fldCharType="begin"/>
                                </w:r>
                                <w:r>
                                  <w:instrText xml:space="preserve"> DOCPROPERTY  "Onderwerp"  \* MERGEFORMAT </w:instrText>
                                </w:r>
                                <w:r>
                                  <w:fldChar w:fldCharType="separate"/>
                                </w:r>
                                <w:r w:rsidR="00105A76">
                                  <w:t xml:space="preserve">Beëindiging interbestuurlijk </w:t>
                                </w:r>
                                <w:r w:rsidR="00105A76">
                                  <w:t>toezichtstraject</w:t>
                                </w:r>
                                <w:r w:rsidR="00105A76">
                                  <w:t xml:space="preserve"> door de (waarnemend) Rijksvertegenwoordiger inzake afvalverwerking </w:t>
                                </w:r>
                                <w:r w:rsidR="00105A76">
                                  <w:t>Selibon</w:t>
                                </w:r>
                                <w:r w:rsidR="00105A76">
                                  <w:t xml:space="preserve"> </w:t>
                                </w:r>
                                <w:r w:rsidR="00105A76">
                                  <w:t>Lagun</w:t>
                                </w:r>
                                <w:r w:rsidR="00105A76">
                                  <w:t xml:space="preserve"> (TZ202602-062)</w:t>
                                </w:r>
                                <w:r>
                                  <w:fldChar w:fldCharType="end"/>
                                </w:r>
                              </w:p>
                            </w:tc>
                          </w:tr>
                        </w:tbl>
                        <w:p w:rsidR="006D2B99"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64.2pt;margin-top:264pt;margin-left:0;mso-height-percent:0;mso-height-relative:margin;mso-position-horizontal:lef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757783ED" w14:textId="77777777">
                      <w:tblPrEx>
                        <w:tblW w:w="0" w:type="auto"/>
                        <w:tblInd w:w="-120" w:type="dxa"/>
                        <w:tblLayout w:type="fixed"/>
                        <w:tblLook w:val="07E0"/>
                      </w:tblPrEx>
                      <w:trPr>
                        <w:trHeight w:val="240"/>
                      </w:trPr>
                      <w:tc>
                        <w:tcPr>
                          <w:tcW w:w="1140" w:type="dxa"/>
                        </w:tcPr>
                        <w:p w:rsidR="00220776" w14:paraId="78EDA31B" w14:textId="77777777">
                          <w:r>
                            <w:t>Datum</w:t>
                          </w:r>
                        </w:p>
                      </w:tc>
                      <w:tc>
                        <w:tcPr>
                          <w:tcW w:w="5918" w:type="dxa"/>
                        </w:tcPr>
                        <w:p w:rsidR="00B22C1D" w14:paraId="4F972BC8" w14:textId="3112E5FF">
                          <w:r>
                            <w:t>13 maart 2026</w:t>
                          </w:r>
                        </w:p>
                      </w:tc>
                    </w:tr>
                    <w:tr w14:paraId="1D2FBCF7" w14:textId="77777777">
                      <w:tblPrEx>
                        <w:tblW w:w="0" w:type="auto"/>
                        <w:tblInd w:w="-120" w:type="dxa"/>
                        <w:tblLayout w:type="fixed"/>
                        <w:tblLook w:val="07E0"/>
                      </w:tblPrEx>
                      <w:trPr>
                        <w:trHeight w:val="240"/>
                      </w:trPr>
                      <w:tc>
                        <w:tcPr>
                          <w:tcW w:w="1140" w:type="dxa"/>
                        </w:tcPr>
                        <w:p w:rsidR="00220776" w14:paraId="050D0700" w14:textId="77777777">
                          <w:r>
                            <w:t>Betreft</w:t>
                          </w:r>
                        </w:p>
                      </w:tc>
                      <w:tc>
                        <w:tcPr>
                          <w:tcW w:w="5918" w:type="dxa"/>
                        </w:tcPr>
                        <w:p w:rsidR="00B22C1D" w14:paraId="5FD22DB1" w14:textId="31B4FFF6">
                          <w:r>
                            <w:fldChar w:fldCharType="begin"/>
                          </w:r>
                          <w:r>
                            <w:instrText xml:space="preserve"> DOCPROPERTY  "Onderwerp"  \* MERGEFORMAT </w:instrText>
                          </w:r>
                          <w:r>
                            <w:fldChar w:fldCharType="separate"/>
                          </w:r>
                          <w:r w:rsidR="00105A76">
                            <w:t xml:space="preserve">Beëindiging interbestuurlijk </w:t>
                          </w:r>
                          <w:r w:rsidR="00105A76">
                            <w:t>toezichtstraject</w:t>
                          </w:r>
                          <w:r w:rsidR="00105A76">
                            <w:t xml:space="preserve"> door de (waarnemend) Rijksvertegenwoordiger inzake afvalverwerking </w:t>
                          </w:r>
                          <w:r w:rsidR="00105A76">
                            <w:t>Selibon</w:t>
                          </w:r>
                          <w:r w:rsidR="00105A76">
                            <w:t xml:space="preserve"> </w:t>
                          </w:r>
                          <w:r w:rsidR="00105A76">
                            <w:t>Lagun</w:t>
                          </w:r>
                          <w:r w:rsidR="00105A76">
                            <w:t xml:space="preserve"> (TZ202602-062)</w:t>
                          </w:r>
                          <w:r>
                            <w:fldChar w:fldCharType="end"/>
                          </w:r>
                        </w:p>
                      </w:tc>
                    </w:tr>
                  </w:tbl>
                  <w:p w:rsidR="006D2B99" w14:paraId="4B710527"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20776" w14:textId="77777777">
                          <w:pPr>
                            <w:pStyle w:val="Referentiegegevensbold"/>
                          </w:pPr>
                          <w:r>
                            <w:t>DG Koninkrijksrelaties</w:t>
                          </w:r>
                        </w:p>
                        <w:p w:rsidR="00220776" w14:textId="77777777">
                          <w:pPr>
                            <w:pStyle w:val="Referentiegegevens"/>
                          </w:pPr>
                          <w:r>
                            <w:t>Bestuur &amp; Rechtsstaat</w:t>
                          </w:r>
                        </w:p>
                        <w:p w:rsidR="00220776" w14:textId="77777777">
                          <w:pPr>
                            <w:pStyle w:val="WitregelW1"/>
                          </w:pPr>
                        </w:p>
                        <w:p w:rsidR="00220776" w14:textId="77777777">
                          <w:pPr>
                            <w:pStyle w:val="Referentiegegevens"/>
                          </w:pPr>
                          <w:r>
                            <w:t>Turfmarkt 147</w:t>
                          </w:r>
                        </w:p>
                        <w:p w:rsidR="00220776" w14:textId="77777777">
                          <w:pPr>
                            <w:pStyle w:val="Referentiegegevens"/>
                          </w:pPr>
                          <w:r>
                            <w:t>2511 DP Den Haag</w:t>
                          </w:r>
                        </w:p>
                        <w:p w:rsidR="00220776" w14:textId="77777777">
                          <w:pPr>
                            <w:pStyle w:val="Referentiegegevens"/>
                          </w:pPr>
                          <w:r>
                            <w:t>Postbus 20011</w:t>
                          </w:r>
                        </w:p>
                        <w:p w:rsidR="00220776" w14:textId="77777777">
                          <w:pPr>
                            <w:pStyle w:val="Referentiegegevens"/>
                          </w:pPr>
                          <w:r>
                            <w:t>2500 EA  Den Haag</w:t>
                          </w:r>
                        </w:p>
                        <w:p w:rsidR="00220776" w14:textId="77777777">
                          <w:pPr>
                            <w:pStyle w:val="WitregelW1"/>
                          </w:pPr>
                        </w:p>
                        <w:p w:rsidR="00220776" w14:textId="77777777">
                          <w:pPr>
                            <w:pStyle w:val="Referentiegegevensbold"/>
                          </w:pPr>
                          <w:r>
                            <w:t>Onze referentie</w:t>
                          </w:r>
                        </w:p>
                        <w:p w:rsidR="00B22C1D" w14:textId="4257BB56">
                          <w:pPr>
                            <w:pStyle w:val="Referentiegegevens"/>
                          </w:pPr>
                          <w:r>
                            <w:fldChar w:fldCharType="begin"/>
                          </w:r>
                          <w:r>
                            <w:instrText xml:space="preserve"> DOCPROPERTY  "Kenmerk"  \* MERGEFORMAT </w:instrText>
                          </w:r>
                          <w:r>
                            <w:fldChar w:fldCharType="separate"/>
                          </w:r>
                          <w:r w:rsidR="00105A76">
                            <w:t>2026-0000103078</w:t>
                          </w:r>
                          <w:r w:rsidR="00105A76">
                            <w:fldChar w:fldCharType="end"/>
                          </w:r>
                        </w:p>
                        <w:p w:rsidR="00220776" w14:textId="77777777">
                          <w:pPr>
                            <w:pStyle w:val="WitregelW1"/>
                          </w:pPr>
                        </w:p>
                        <w:p w:rsidR="00220776" w14:textId="77777777">
                          <w:pPr>
                            <w:pStyle w:val="Referentiegegevensbold"/>
                          </w:pPr>
                          <w:r>
                            <w:t>Bijlage(n)</w:t>
                          </w:r>
                        </w:p>
                        <w:p w:rsidR="00220776" w:rsidP="00DB6433" w14:textId="77777777">
                          <w:pPr>
                            <w:pStyle w:val="Referentiegegevens"/>
                          </w:pPr>
                          <w:r w:rsidRPr="00DB6433">
                            <w:t>1.</w:t>
                          </w:r>
                          <w:r>
                            <w:t xml:space="preserve"> </w:t>
                          </w:r>
                          <w:r w:rsidR="006D2B99">
                            <w:t>Ambtsbericht (waarnemend) Rijksvertegenwoordiger</w:t>
                          </w:r>
                        </w:p>
                        <w:p w:rsidR="00DB6433" w:rsidRPr="00DB6433" w:rsidP="00DB6433" w14:textId="77777777">
                          <w:pPr>
                            <w:spacing w:line="240" w:lineRule="auto"/>
                            <w:rPr>
                              <w:sz w:val="13"/>
                              <w:szCs w:val="13"/>
                            </w:rPr>
                          </w:pPr>
                          <w:r>
                            <w:rPr>
                              <w:sz w:val="13"/>
                              <w:szCs w:val="13"/>
                            </w:rPr>
                            <w:t xml:space="preserve">2. </w:t>
                          </w:r>
                          <w:r w:rsidRPr="00DB6433">
                            <w:rPr>
                              <w:sz w:val="13"/>
                              <w:szCs w:val="13"/>
                            </w:rPr>
                            <w:t>Brief van de ILT aan de (waarnemend) Rijksvertegenwoordiger</w:t>
                          </w:r>
                        </w:p>
                        <w:p w:rsidR="00220776" w14:textId="77777777">
                          <w:pPr>
                            <w:pStyle w:val="WitregelW2"/>
                          </w:pPr>
                        </w:p>
                        <w:p w:rsidR="00220776"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220776" w14:paraId="219FF3A6" w14:textId="77777777">
                    <w:pPr>
                      <w:pStyle w:val="Referentiegegevensbold"/>
                    </w:pPr>
                    <w:r>
                      <w:t>DG Koninkrijksrelaties</w:t>
                    </w:r>
                  </w:p>
                  <w:p w:rsidR="00220776" w14:paraId="1052D8E9" w14:textId="77777777">
                    <w:pPr>
                      <w:pStyle w:val="Referentiegegevens"/>
                    </w:pPr>
                    <w:r>
                      <w:t>Bestuur &amp; Rechtsstaat</w:t>
                    </w:r>
                  </w:p>
                  <w:p w:rsidR="00220776" w14:paraId="55581F8F" w14:textId="77777777">
                    <w:pPr>
                      <w:pStyle w:val="WitregelW1"/>
                    </w:pPr>
                  </w:p>
                  <w:p w:rsidR="00220776" w14:paraId="30BFA4A4" w14:textId="77777777">
                    <w:pPr>
                      <w:pStyle w:val="Referentiegegevens"/>
                    </w:pPr>
                    <w:r>
                      <w:t>Turfmarkt 147</w:t>
                    </w:r>
                  </w:p>
                  <w:p w:rsidR="00220776" w14:paraId="431BEC70" w14:textId="77777777">
                    <w:pPr>
                      <w:pStyle w:val="Referentiegegevens"/>
                    </w:pPr>
                    <w:r>
                      <w:t>2511 DP Den Haag</w:t>
                    </w:r>
                  </w:p>
                  <w:p w:rsidR="00220776" w14:paraId="214A5BC2" w14:textId="77777777">
                    <w:pPr>
                      <w:pStyle w:val="Referentiegegevens"/>
                    </w:pPr>
                    <w:r>
                      <w:t>Postbus 20011</w:t>
                    </w:r>
                  </w:p>
                  <w:p w:rsidR="00220776" w14:paraId="3CAED780" w14:textId="77777777">
                    <w:pPr>
                      <w:pStyle w:val="Referentiegegevens"/>
                    </w:pPr>
                    <w:r>
                      <w:t>2500 EA  Den Haag</w:t>
                    </w:r>
                  </w:p>
                  <w:p w:rsidR="00220776" w14:paraId="1A8E21EB" w14:textId="77777777">
                    <w:pPr>
                      <w:pStyle w:val="WitregelW1"/>
                    </w:pPr>
                  </w:p>
                  <w:p w:rsidR="00220776" w14:paraId="59B7F4BC" w14:textId="77777777">
                    <w:pPr>
                      <w:pStyle w:val="Referentiegegevensbold"/>
                    </w:pPr>
                    <w:r>
                      <w:t>Onze referentie</w:t>
                    </w:r>
                  </w:p>
                  <w:p w:rsidR="00B22C1D" w14:paraId="0134AB44" w14:textId="4257BB56">
                    <w:pPr>
                      <w:pStyle w:val="Referentiegegevens"/>
                    </w:pPr>
                    <w:r>
                      <w:fldChar w:fldCharType="begin"/>
                    </w:r>
                    <w:r>
                      <w:instrText xml:space="preserve"> DOCPROPERTY  "Kenmerk"  \* MERGEFORMAT </w:instrText>
                    </w:r>
                    <w:r>
                      <w:fldChar w:fldCharType="separate"/>
                    </w:r>
                    <w:r w:rsidR="00105A76">
                      <w:t>2026-0000103078</w:t>
                    </w:r>
                    <w:r w:rsidR="00105A76">
                      <w:fldChar w:fldCharType="end"/>
                    </w:r>
                  </w:p>
                  <w:p w:rsidR="00220776" w14:paraId="5C9AF072" w14:textId="77777777">
                    <w:pPr>
                      <w:pStyle w:val="WitregelW1"/>
                    </w:pPr>
                  </w:p>
                  <w:p w:rsidR="00220776" w14:paraId="3F072DB7" w14:textId="77777777">
                    <w:pPr>
                      <w:pStyle w:val="Referentiegegevensbold"/>
                    </w:pPr>
                    <w:r>
                      <w:t>Bijlage(n)</w:t>
                    </w:r>
                  </w:p>
                  <w:p w:rsidR="00220776" w:rsidP="00DB6433" w14:paraId="1171A4CB" w14:textId="77777777">
                    <w:pPr>
                      <w:pStyle w:val="Referentiegegevens"/>
                    </w:pPr>
                    <w:r w:rsidRPr="00DB6433">
                      <w:t>1.</w:t>
                    </w:r>
                    <w:r>
                      <w:t xml:space="preserve"> </w:t>
                    </w:r>
                    <w:r w:rsidR="006D2B99">
                      <w:t>Ambtsbericht (waarnemend) Rijksvertegenwoordiger</w:t>
                    </w:r>
                  </w:p>
                  <w:p w:rsidR="00DB6433" w:rsidRPr="00DB6433" w:rsidP="00DB6433" w14:paraId="4FCBB505" w14:textId="77777777">
                    <w:pPr>
                      <w:spacing w:line="240" w:lineRule="auto"/>
                      <w:rPr>
                        <w:sz w:val="13"/>
                        <w:szCs w:val="13"/>
                      </w:rPr>
                    </w:pPr>
                    <w:r>
                      <w:rPr>
                        <w:sz w:val="13"/>
                        <w:szCs w:val="13"/>
                      </w:rPr>
                      <w:t xml:space="preserve">2. </w:t>
                    </w:r>
                    <w:r w:rsidRPr="00DB6433">
                      <w:rPr>
                        <w:sz w:val="13"/>
                        <w:szCs w:val="13"/>
                      </w:rPr>
                      <w:t>Brief van de ILT aan de (waarnemend) Rijksvertegenwoordiger</w:t>
                    </w:r>
                  </w:p>
                  <w:p w:rsidR="00220776" w14:paraId="54EC6046" w14:textId="77777777">
                    <w:pPr>
                      <w:pStyle w:val="WitregelW2"/>
                    </w:pPr>
                  </w:p>
                  <w:p w:rsidR="00220776" w14:paraId="0B364702"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22C1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B22C1D" w14:paraId="3571C01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D2B99"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6D2B99" w14:paraId="0AE4DC86"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3639FE5"/>
    <w:multiLevelType w:val="multilevel"/>
    <w:tmpl w:val="2EB6C67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A587A5D0"/>
    <w:multiLevelType w:val="multilevel"/>
    <w:tmpl w:val="C81699D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59E97FE"/>
    <w:multiLevelType w:val="multilevel"/>
    <w:tmpl w:val="9334C60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16D64976"/>
    <w:multiLevelType w:val="hybridMultilevel"/>
    <w:tmpl w:val="760C4F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366253"/>
    <w:multiLevelType w:val="hybridMultilevel"/>
    <w:tmpl w:val="CC4623B6"/>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362463"/>
    <w:multiLevelType w:val="multilevel"/>
    <w:tmpl w:val="5C12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C621A4"/>
    <w:multiLevelType w:val="hybridMultilevel"/>
    <w:tmpl w:val="9C282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195199"/>
    <w:multiLevelType w:val="hybridMultilevel"/>
    <w:tmpl w:val="3D683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9E1540F"/>
    <w:multiLevelType w:val="hybridMultilevel"/>
    <w:tmpl w:val="97645042"/>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3E13D67"/>
    <w:multiLevelType w:val="multilevel"/>
    <w:tmpl w:val="5F776E2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nsid w:val="67F0211F"/>
    <w:multiLevelType w:val="hybridMultilevel"/>
    <w:tmpl w:val="59600E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43896478">
    <w:abstractNumId w:val="2"/>
  </w:num>
  <w:num w:numId="2" w16cid:durableId="1837767740">
    <w:abstractNumId w:val="9"/>
  </w:num>
  <w:num w:numId="3" w16cid:durableId="679549907">
    <w:abstractNumId w:val="1"/>
  </w:num>
  <w:num w:numId="4" w16cid:durableId="873814322">
    <w:abstractNumId w:val="0"/>
  </w:num>
  <w:num w:numId="5" w16cid:durableId="1941986214">
    <w:abstractNumId w:val="4"/>
  </w:num>
  <w:num w:numId="6" w16cid:durableId="1567955188">
    <w:abstractNumId w:val="8"/>
  </w:num>
  <w:num w:numId="7" w16cid:durableId="1178423456">
    <w:abstractNumId w:val="5"/>
  </w:num>
  <w:num w:numId="8" w16cid:durableId="518280075">
    <w:abstractNumId w:val="7"/>
  </w:num>
  <w:num w:numId="9" w16cid:durableId="640306368">
    <w:abstractNumId w:val="3"/>
  </w:num>
  <w:num w:numId="10" w16cid:durableId="1178738480">
    <w:abstractNumId w:val="10"/>
  </w:num>
  <w:num w:numId="11" w16cid:durableId="672419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776"/>
    <w:rsid w:val="0000086B"/>
    <w:rsid w:val="00053065"/>
    <w:rsid w:val="00087221"/>
    <w:rsid w:val="000C0720"/>
    <w:rsid w:val="000C3352"/>
    <w:rsid w:val="000D77AF"/>
    <w:rsid w:val="001024B2"/>
    <w:rsid w:val="00105A76"/>
    <w:rsid w:val="00116575"/>
    <w:rsid w:val="001434B2"/>
    <w:rsid w:val="00177D7D"/>
    <w:rsid w:val="001C1761"/>
    <w:rsid w:val="00220776"/>
    <w:rsid w:val="00224230"/>
    <w:rsid w:val="0022689E"/>
    <w:rsid w:val="00263BE2"/>
    <w:rsid w:val="0027391F"/>
    <w:rsid w:val="002B5458"/>
    <w:rsid w:val="002E75F6"/>
    <w:rsid w:val="003B3491"/>
    <w:rsid w:val="003F2221"/>
    <w:rsid w:val="004438E8"/>
    <w:rsid w:val="00464947"/>
    <w:rsid w:val="004B3B45"/>
    <w:rsid w:val="004B45DB"/>
    <w:rsid w:val="004C2ACA"/>
    <w:rsid w:val="004E3432"/>
    <w:rsid w:val="00552EFF"/>
    <w:rsid w:val="005B1A99"/>
    <w:rsid w:val="005E22D5"/>
    <w:rsid w:val="005E3F4B"/>
    <w:rsid w:val="00602A2D"/>
    <w:rsid w:val="0062009B"/>
    <w:rsid w:val="00641AA7"/>
    <w:rsid w:val="00650EBF"/>
    <w:rsid w:val="006628C2"/>
    <w:rsid w:val="00684EAE"/>
    <w:rsid w:val="006914A4"/>
    <w:rsid w:val="006D2B99"/>
    <w:rsid w:val="007420C9"/>
    <w:rsid w:val="00755F3A"/>
    <w:rsid w:val="007C6C7B"/>
    <w:rsid w:val="008D3687"/>
    <w:rsid w:val="00953ACB"/>
    <w:rsid w:val="0096530E"/>
    <w:rsid w:val="00967D53"/>
    <w:rsid w:val="009A03F6"/>
    <w:rsid w:val="009A2DE5"/>
    <w:rsid w:val="009E492D"/>
    <w:rsid w:val="00A35D9F"/>
    <w:rsid w:val="00AF06B0"/>
    <w:rsid w:val="00B22C1D"/>
    <w:rsid w:val="00B404AD"/>
    <w:rsid w:val="00B553BF"/>
    <w:rsid w:val="00B84926"/>
    <w:rsid w:val="00BB7EA8"/>
    <w:rsid w:val="00BD076D"/>
    <w:rsid w:val="00BD5B08"/>
    <w:rsid w:val="00C12B17"/>
    <w:rsid w:val="00CA67E5"/>
    <w:rsid w:val="00D34C1C"/>
    <w:rsid w:val="00D66E9A"/>
    <w:rsid w:val="00D95433"/>
    <w:rsid w:val="00DB1282"/>
    <w:rsid w:val="00DB6433"/>
    <w:rsid w:val="00E606E7"/>
    <w:rsid w:val="00E832DE"/>
    <w:rsid w:val="00E97509"/>
    <w:rsid w:val="00EF749C"/>
    <w:rsid w:val="00F61B54"/>
    <w:rsid w:val="00F71714"/>
    <w:rsid w:val="00F75EE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739D742"/>
  <w15:docId w15:val="{D16C8DC6-67C8-4E64-A15E-306C6380D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tabs>
        <w:tab w:val="num" w:pos="360"/>
      </w:tabs>
      <w:spacing w:before="360"/>
      <w:ind w:left="0" w:firstLine="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D2B99"/>
    <w:pPr>
      <w:tabs>
        <w:tab w:val="center" w:pos="4536"/>
        <w:tab w:val="right" w:pos="9072"/>
      </w:tabs>
      <w:spacing w:line="240" w:lineRule="auto"/>
    </w:pPr>
  </w:style>
  <w:style w:type="character" w:customStyle="1" w:styleId="KoptekstChar">
    <w:name w:val="Koptekst Char"/>
    <w:basedOn w:val="DefaultParagraphFont"/>
    <w:link w:val="Header"/>
    <w:uiPriority w:val="99"/>
    <w:rsid w:val="006D2B99"/>
    <w:rPr>
      <w:rFonts w:ascii="Verdana" w:hAnsi="Verdana"/>
      <w:color w:val="000000"/>
      <w:sz w:val="18"/>
      <w:szCs w:val="18"/>
    </w:rPr>
  </w:style>
  <w:style w:type="paragraph" w:styleId="Footer">
    <w:name w:val="footer"/>
    <w:basedOn w:val="Normal"/>
    <w:link w:val="VoettekstChar"/>
    <w:uiPriority w:val="99"/>
    <w:unhideWhenUsed/>
    <w:rsid w:val="006D2B99"/>
    <w:pPr>
      <w:tabs>
        <w:tab w:val="center" w:pos="4536"/>
        <w:tab w:val="right" w:pos="9072"/>
      </w:tabs>
      <w:spacing w:line="240" w:lineRule="auto"/>
    </w:pPr>
  </w:style>
  <w:style w:type="character" w:customStyle="1" w:styleId="VoettekstChar">
    <w:name w:val="Voettekst Char"/>
    <w:basedOn w:val="DefaultParagraphFont"/>
    <w:link w:val="Footer"/>
    <w:uiPriority w:val="99"/>
    <w:rsid w:val="006D2B99"/>
    <w:rPr>
      <w:rFonts w:ascii="Verdana" w:hAnsi="Verdana"/>
      <w:color w:val="000000"/>
      <w:sz w:val="18"/>
      <w:szCs w:val="18"/>
    </w:rPr>
  </w:style>
  <w:style w:type="paragraph" w:styleId="ListParagraph">
    <w:name w:val="List Paragraph"/>
    <w:basedOn w:val="Normal"/>
    <w:uiPriority w:val="34"/>
    <w:semiHidden/>
    <w:rsid w:val="006D2B99"/>
    <w:pPr>
      <w:ind w:left="720"/>
      <w:contextualSpacing/>
    </w:pPr>
  </w:style>
  <w:style w:type="paragraph" w:styleId="Revision">
    <w:name w:val="Revision"/>
    <w:hidden/>
    <w:uiPriority w:val="99"/>
    <w:semiHidden/>
    <w:rsid w:val="00953ACB"/>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6530E"/>
    <w:rPr>
      <w:sz w:val="16"/>
      <w:szCs w:val="16"/>
    </w:rPr>
  </w:style>
  <w:style w:type="paragraph" w:styleId="CommentText">
    <w:name w:val="annotation text"/>
    <w:basedOn w:val="Normal"/>
    <w:link w:val="TekstopmerkingChar"/>
    <w:uiPriority w:val="99"/>
    <w:unhideWhenUsed/>
    <w:rsid w:val="0096530E"/>
    <w:pPr>
      <w:spacing w:line="240" w:lineRule="auto"/>
    </w:pPr>
    <w:rPr>
      <w:sz w:val="20"/>
      <w:szCs w:val="20"/>
    </w:rPr>
  </w:style>
  <w:style w:type="character" w:customStyle="1" w:styleId="TekstopmerkingChar">
    <w:name w:val="Tekst opmerking Char"/>
    <w:basedOn w:val="DefaultParagraphFont"/>
    <w:link w:val="CommentText"/>
    <w:uiPriority w:val="99"/>
    <w:rsid w:val="0096530E"/>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96530E"/>
    <w:rPr>
      <w:b/>
      <w:bCs/>
    </w:rPr>
  </w:style>
  <w:style w:type="character" w:customStyle="1" w:styleId="OnderwerpvanopmerkingChar">
    <w:name w:val="Onderwerp van opmerking Char"/>
    <w:basedOn w:val="TekstopmerkingChar"/>
    <w:link w:val="CommentSubject"/>
    <w:uiPriority w:val="99"/>
    <w:semiHidden/>
    <w:rsid w:val="0096530E"/>
    <w:rPr>
      <w:rFonts w:ascii="Verdana" w:hAnsi="Verdana"/>
      <w:b/>
      <w:bCs/>
      <w:color w:val="000000"/>
    </w:rPr>
  </w:style>
  <w:style w:type="paragraph" w:styleId="FootnoteText">
    <w:name w:val="footnote text"/>
    <w:basedOn w:val="Normal"/>
    <w:link w:val="VoetnoottekstChar"/>
    <w:uiPriority w:val="99"/>
    <w:semiHidden/>
    <w:unhideWhenUsed/>
    <w:rsid w:val="001434B2"/>
    <w:pPr>
      <w:spacing w:line="240" w:lineRule="auto"/>
    </w:pPr>
    <w:rPr>
      <w:sz w:val="20"/>
      <w:szCs w:val="20"/>
    </w:rPr>
  </w:style>
  <w:style w:type="character" w:customStyle="1" w:styleId="VoetnoottekstChar">
    <w:name w:val="Voetnoottekst Char"/>
    <w:basedOn w:val="DefaultParagraphFont"/>
    <w:link w:val="FootnoteText"/>
    <w:uiPriority w:val="99"/>
    <w:semiHidden/>
    <w:rsid w:val="001434B2"/>
    <w:rPr>
      <w:rFonts w:ascii="Verdana" w:hAnsi="Verdana"/>
      <w:color w:val="000000"/>
    </w:rPr>
  </w:style>
  <w:style w:type="character" w:styleId="FootnoteReference">
    <w:name w:val="footnote reference"/>
    <w:basedOn w:val="DefaultParagraphFont"/>
    <w:uiPriority w:val="99"/>
    <w:semiHidden/>
    <w:unhideWhenUsed/>
    <w:rsid w:val="001434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990</ap:Words>
  <ap:Characters>5448</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Brief - Beëindiging interbestuurlijk toezichtstraject door de (waarnemend) Rijksvertegenwoordiger inzake afvalverwerking Selibon Lagun</vt:lpstr>
    </vt:vector>
  </ap:TitlesOfParts>
  <ap:LinksUpToDate>false</ap:LinksUpToDate>
  <ap:CharactersWithSpaces>6426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2026-03-13T12:57:00.0000000Z</dcterms:created>
  <dcterms:modified xsi:type="dcterms:W3CDTF">2026-03-13T13:05:00.0000000Z</dcterms:modified>
  <dc:creator/>
  <lastModifiedBy/>
  <dc:description>------------------------</dc:description>
  <dc:subject/>
  <keywords/>
  <version/>
  <category/>
</coreProperties>
</file>