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684" w:rsidP="00804665" w:rsidRDefault="00A91684" w14:paraId="3AB89A4F" w14:textId="77777777">
      <w:pPr>
        <w:pStyle w:val="broodtekst"/>
        <w:spacing w:line="276" w:lineRule="auto"/>
        <w:ind w:left="360"/>
      </w:pPr>
    </w:p>
    <w:p w:rsidR="003C7F6B" w:rsidP="00804665" w:rsidRDefault="003C7F6B" w14:paraId="157615CD" w14:textId="1EF4E69C">
      <w:pPr>
        <w:pStyle w:val="broodtekst"/>
        <w:spacing w:line="276" w:lineRule="auto"/>
        <w:ind w:left="360"/>
      </w:pPr>
    </w:p>
    <w:p w:rsidR="003C7F6B" w:rsidP="00804665" w:rsidRDefault="003C7F6B" w14:paraId="6E2F1DF4" w14:textId="77777777">
      <w:pPr>
        <w:pStyle w:val="broodtekst"/>
        <w:spacing w:line="276" w:lineRule="auto"/>
      </w:pPr>
    </w:p>
    <w:p w:rsidR="003C7F6B" w:rsidP="00804665" w:rsidRDefault="003C7F6B" w14:paraId="209D1A98" w14:textId="77777777">
      <w:pPr>
        <w:pStyle w:val="broodtekst"/>
        <w:spacing w:line="276" w:lineRule="auto"/>
        <w:sectPr w:rsidR="003C7F6B" w:rsidSect="0078052C">
          <w:headerReference w:type="even" r:id="rId7"/>
          <w:footerReference w:type="even" r:id="rId8"/>
          <w:footerReference w:type="default" r:id="rId9"/>
          <w:headerReference w:type="first" r:id="rId10"/>
          <w:footerReference w:type="first" r:id="rId11"/>
          <w:pgSz w:w="11906" w:h="16838" w:code="9"/>
          <w:pgMar w:top="4683" w:right="2818" w:bottom="1758" w:left="1588" w:header="2398" w:footer="561" w:gutter="0"/>
          <w:cols w:space="720"/>
          <w:titlePg/>
          <w:docGrid w:linePitch="360"/>
        </w:sectPr>
      </w:pPr>
    </w:p>
    <w:p w:rsidR="00DF42F3" w:rsidP="00804665" w:rsidRDefault="00832F2C" w14:paraId="07B5836E" w14:textId="77777777">
      <w:pPr>
        <w:pStyle w:val="broodtekst"/>
        <w:spacing w:line="276" w:lineRule="auto"/>
        <w:rPr>
          <w:b/>
        </w:rPr>
      </w:pPr>
      <w:bookmarkStart w:name="cursor" w:id="0"/>
      <w:bookmarkStart w:name="_Hlk153789456" w:id="1"/>
      <w:bookmarkEnd w:id="0"/>
      <w:r w:rsidRPr="00832F2C">
        <w:rPr>
          <w:b/>
        </w:rPr>
        <w:t>Besluit van</w:t>
      </w:r>
      <w:r w:rsidR="0020025A">
        <w:rPr>
          <w:b/>
        </w:rPr>
        <w:t xml:space="preserve"> </w:t>
      </w:r>
    </w:p>
    <w:p w:rsidRPr="0008747C" w:rsidR="0008747C" w:rsidP="00804665" w:rsidRDefault="00832F2C" w14:paraId="4F77E64C" w14:textId="53A14A5D">
      <w:pPr>
        <w:pStyle w:val="broodtekst"/>
        <w:spacing w:line="276" w:lineRule="auto"/>
        <w:rPr>
          <w:b/>
          <w:bCs/>
        </w:rPr>
      </w:pPr>
      <w:r>
        <w:rPr>
          <w:b/>
        </w:rPr>
        <w:t xml:space="preserve">tot </w:t>
      </w:r>
      <w:r w:rsidR="009431DE">
        <w:rPr>
          <w:b/>
        </w:rPr>
        <w:t xml:space="preserve">wijziging van </w:t>
      </w:r>
      <w:r w:rsidR="00346FC0">
        <w:rPr>
          <w:b/>
        </w:rPr>
        <w:t xml:space="preserve">het </w:t>
      </w:r>
      <w:r w:rsidR="0020025A">
        <w:rPr>
          <w:b/>
        </w:rPr>
        <w:t>Handelsregisterbesluit 2008 en</w:t>
      </w:r>
      <w:r w:rsidR="0008747C">
        <w:rPr>
          <w:b/>
        </w:rPr>
        <w:t xml:space="preserve"> </w:t>
      </w:r>
      <w:r w:rsidRPr="0008747C" w:rsidR="0008747C">
        <w:rPr>
          <w:b/>
          <w:bCs/>
        </w:rPr>
        <w:t>Implementatiebesluit registratie uiteindelijk belanghebbenden van trusts en soortgelijke juridische constructies</w:t>
      </w:r>
      <w:r w:rsidR="00E66439">
        <w:rPr>
          <w:b/>
          <w:bCs/>
        </w:rPr>
        <w:t xml:space="preserve"> in verband met </w:t>
      </w:r>
      <w:r w:rsidRPr="00CB7AB0" w:rsidR="00E66439">
        <w:rPr>
          <w:rFonts w:cs="Arial"/>
          <w:b/>
        </w:rPr>
        <w:t>de toegang tot informatie over uiteindelijk belanghebbenden van vennootschappen en andere juridische entiteiten alsmede van de toegang tot informatie over uiteindelijk belanghebbenden van trusts en soortgelijke juridische constructies</w:t>
      </w:r>
      <w:r w:rsidR="00E66439">
        <w:rPr>
          <w:b/>
          <w:bCs/>
        </w:rPr>
        <w:t xml:space="preserve"> voor bestuursorganen en rechtspersonen met een overheidstaak (</w:t>
      </w:r>
      <w:r w:rsidR="007A6AEB">
        <w:rPr>
          <w:b/>
          <w:bCs/>
        </w:rPr>
        <w:t>W</w:t>
      </w:r>
      <w:r w:rsidR="00E66439">
        <w:rPr>
          <w:b/>
          <w:bCs/>
        </w:rPr>
        <w:t>ijzigingsbesluit toegang UBO</w:t>
      </w:r>
      <w:r w:rsidR="00801BA0">
        <w:rPr>
          <w:b/>
          <w:bCs/>
        </w:rPr>
        <w:t>-</w:t>
      </w:r>
      <w:r w:rsidR="00E66439">
        <w:rPr>
          <w:b/>
          <w:bCs/>
        </w:rPr>
        <w:t>registers voor bestuursorganen en rechtspersonen met een overheidstaak)</w:t>
      </w:r>
      <w:r w:rsidR="00AC5337">
        <w:rPr>
          <w:b/>
          <w:bCs/>
        </w:rPr>
        <w:t xml:space="preserve"> </w:t>
      </w:r>
      <w:r w:rsidR="00E5106E">
        <w:rPr>
          <w:b/>
          <w:bCs/>
        </w:rPr>
        <w:t>[</w:t>
      </w:r>
      <w:r w:rsidRPr="00E5106E" w:rsidR="00E5106E">
        <w:rPr>
          <w:rFonts w:cs="Arial"/>
          <w:b/>
          <w:bCs/>
        </w:rPr>
        <w:t>KetenID WGK0</w:t>
      </w:r>
      <w:r w:rsidR="00E5106E">
        <w:rPr>
          <w:rFonts w:cs="Arial"/>
          <w:b/>
          <w:bCs/>
        </w:rPr>
        <w:t>26140]</w:t>
      </w:r>
    </w:p>
    <w:bookmarkEnd w:id="1"/>
    <w:p w:rsidR="00832F2C" w:rsidP="00804665" w:rsidRDefault="00832F2C" w14:paraId="31B908BD" w14:textId="77777777">
      <w:pPr>
        <w:spacing w:line="276" w:lineRule="auto"/>
      </w:pPr>
    </w:p>
    <w:p w:rsidR="00832F2C" w:rsidP="00804665" w:rsidRDefault="00832F2C" w14:paraId="229109F0" w14:textId="77777777">
      <w:pPr>
        <w:spacing w:line="276" w:lineRule="auto"/>
      </w:pPr>
    </w:p>
    <w:p w:rsidRPr="008D3328" w:rsidR="00832F2C" w:rsidP="00804665" w:rsidRDefault="00832F2C" w14:paraId="3136F668" w14:textId="77777777">
      <w:pPr>
        <w:spacing w:line="276" w:lineRule="auto"/>
      </w:pPr>
    </w:p>
    <w:p w:rsidRPr="00A80FB8" w:rsidR="00EA2B4D" w:rsidP="00804665" w:rsidRDefault="00EA2B4D" w14:paraId="2497D2CB" w14:textId="7BC5E42B">
      <w:pPr>
        <w:spacing w:line="276" w:lineRule="auto"/>
      </w:pPr>
      <w:r>
        <w:t>Op de voordracht van Onz</w:t>
      </w:r>
      <w:r w:rsidRPr="00A80FB8">
        <w:t xml:space="preserve">e Minister van Financiën van </w:t>
      </w:r>
      <w:r>
        <w:t xml:space="preserve">[• </w:t>
      </w:r>
      <w:r w:rsidR="006D4F44">
        <w:t>datum</w:t>
      </w:r>
      <w:r>
        <w:t>]</w:t>
      </w:r>
      <w:r w:rsidRPr="00A80FB8">
        <w:t>,</w:t>
      </w:r>
      <w:r>
        <w:t xml:space="preserve"> [• kenmerk], directie Financiële Markten</w:t>
      </w:r>
      <w:r w:rsidR="006E574E">
        <w:t xml:space="preserve">, </w:t>
      </w:r>
      <w:r w:rsidRPr="006E574E" w:rsidR="006E574E">
        <w:t xml:space="preserve">gedaan mede namens Onze Minister van Justitie en Veiligheid en </w:t>
      </w:r>
      <w:r w:rsidR="00367945">
        <w:t xml:space="preserve">Onze </w:t>
      </w:r>
      <w:r w:rsidR="003B01EE">
        <w:t>M</w:t>
      </w:r>
      <w:r w:rsidR="00367945">
        <w:t>inister</w:t>
      </w:r>
      <w:r w:rsidRPr="006E574E" w:rsidR="006E574E">
        <w:t xml:space="preserve"> van Economische Zaken</w:t>
      </w:r>
      <w:r w:rsidRPr="00A80FB8">
        <w:t>;</w:t>
      </w:r>
    </w:p>
    <w:p w:rsidR="00EA2B4D" w:rsidP="00804665" w:rsidRDefault="00EA2B4D" w14:paraId="6F7E7582" w14:textId="2A3E7943">
      <w:pPr>
        <w:spacing w:line="276" w:lineRule="auto"/>
      </w:pPr>
      <w:r>
        <w:t>Gelet op de artikelen</w:t>
      </w:r>
      <w:r w:rsidR="006A4607">
        <w:t xml:space="preserve"> 23</w:t>
      </w:r>
      <w:r w:rsidR="00D7346C">
        <w:t xml:space="preserve"> en </w:t>
      </w:r>
      <w:r w:rsidR="00D96819">
        <w:t xml:space="preserve">28, </w:t>
      </w:r>
      <w:r w:rsidR="00D86503">
        <w:t xml:space="preserve">tweede lid, </w:t>
      </w:r>
      <w:r w:rsidR="00801BA0">
        <w:t>onderde</w:t>
      </w:r>
      <w:r w:rsidR="00CB51A8">
        <w:t>len</w:t>
      </w:r>
      <w:r w:rsidR="00801BA0">
        <w:t xml:space="preserve"> </w:t>
      </w:r>
      <w:r w:rsidR="00452821">
        <w:t xml:space="preserve">a en </w:t>
      </w:r>
      <w:r w:rsidR="00801BA0">
        <w:t>d,</w:t>
      </w:r>
      <w:r w:rsidR="00FD7C41">
        <w:t xml:space="preserve"> </w:t>
      </w:r>
      <w:r w:rsidR="00D96819">
        <w:t>van de Handelsregisterwet 2007</w:t>
      </w:r>
      <w:r w:rsidR="00595ACC">
        <w:t xml:space="preserve">, </w:t>
      </w:r>
      <w:r w:rsidR="003B01EE">
        <w:t xml:space="preserve">de </w:t>
      </w:r>
      <w:r w:rsidR="00730DD5">
        <w:t>artikel</w:t>
      </w:r>
      <w:r w:rsidR="003B01EE">
        <w:t>en</w:t>
      </w:r>
      <w:r w:rsidR="00730DD5">
        <w:t xml:space="preserve"> 6 en </w:t>
      </w:r>
      <w:r w:rsidR="00D86503">
        <w:t xml:space="preserve">7, tweede lid, </w:t>
      </w:r>
      <w:r w:rsidR="00801BA0">
        <w:t>onderde</w:t>
      </w:r>
      <w:r w:rsidR="00CB51A8">
        <w:t>len</w:t>
      </w:r>
      <w:r w:rsidR="00801BA0">
        <w:t xml:space="preserve"> </w:t>
      </w:r>
      <w:r w:rsidR="00452821">
        <w:t xml:space="preserve">a en </w:t>
      </w:r>
      <w:r w:rsidR="00801BA0">
        <w:t>d,</w:t>
      </w:r>
      <w:r w:rsidR="00D86503">
        <w:t xml:space="preserve"> van de</w:t>
      </w:r>
      <w:r w:rsidRPr="00D86503" w:rsidR="00D86503">
        <w:rPr>
          <w:b/>
          <w:szCs w:val="18"/>
        </w:rPr>
        <w:t xml:space="preserve"> </w:t>
      </w:r>
      <w:r w:rsidRPr="00D86503" w:rsidR="00D86503">
        <w:rPr>
          <w:bCs/>
          <w:szCs w:val="18"/>
        </w:rPr>
        <w:t>Implementatiewet registratie uiteindelijk belanghebbenden van trusts en soortgelijke juridische constructies</w:t>
      </w:r>
      <w:r w:rsidR="00595ACC">
        <w:rPr>
          <w:bCs/>
          <w:szCs w:val="18"/>
        </w:rPr>
        <w:t xml:space="preserve"> en artikel 34, vierde lid, onderdeel </w:t>
      </w:r>
      <w:r w:rsidR="00C018A0">
        <w:rPr>
          <w:bCs/>
          <w:szCs w:val="18"/>
        </w:rPr>
        <w:t>f</w:t>
      </w:r>
      <w:r w:rsidR="00AA6022">
        <w:rPr>
          <w:bCs/>
          <w:szCs w:val="18"/>
        </w:rPr>
        <w:t>,</w:t>
      </w:r>
      <w:r w:rsidR="00595ACC">
        <w:rPr>
          <w:bCs/>
          <w:szCs w:val="18"/>
        </w:rPr>
        <w:t xml:space="preserve"> van </w:t>
      </w:r>
      <w:r w:rsidR="00006900">
        <w:rPr>
          <w:bCs/>
          <w:szCs w:val="18"/>
        </w:rPr>
        <w:t xml:space="preserve">de </w:t>
      </w:r>
      <w:r w:rsidRPr="00595ACC" w:rsidR="00595ACC">
        <w:rPr>
          <w:bCs/>
          <w:szCs w:val="18"/>
        </w:rPr>
        <w:t>Wet veiligheidstoets investeringen, fusies en overnames</w:t>
      </w:r>
      <w:r w:rsidR="00D96819">
        <w:t>;</w:t>
      </w:r>
    </w:p>
    <w:p w:rsidRPr="00A80FB8" w:rsidR="00EA2B4D" w:rsidP="00804665" w:rsidRDefault="00EA2B4D" w14:paraId="616EEC2B" w14:textId="77777777">
      <w:pPr>
        <w:spacing w:line="276" w:lineRule="auto"/>
      </w:pPr>
      <w:r w:rsidRPr="00A80FB8">
        <w:t xml:space="preserve">De </w:t>
      </w:r>
      <w:r>
        <w:t xml:space="preserve">Afdeling advisering van de </w:t>
      </w:r>
      <w:r w:rsidRPr="00A80FB8">
        <w:t xml:space="preserve">Raad van State gehoord (advies van </w:t>
      </w:r>
      <w:r>
        <w:t>[•…]</w:t>
      </w:r>
      <w:r w:rsidRPr="00A80FB8">
        <w:t xml:space="preserve">, nr. </w:t>
      </w:r>
      <w:r>
        <w:t>[•…]</w:t>
      </w:r>
      <w:r w:rsidRPr="00A80FB8">
        <w:t>);</w:t>
      </w:r>
    </w:p>
    <w:p w:rsidRPr="00A80FB8" w:rsidR="00EA2B4D" w:rsidP="00804665" w:rsidRDefault="00EA2B4D" w14:paraId="776715D8" w14:textId="02EC9E38">
      <w:pPr>
        <w:spacing w:line="276" w:lineRule="auto"/>
      </w:pPr>
      <w:r>
        <w:t>Gezien het nader rapport van Onz</w:t>
      </w:r>
      <w:r w:rsidRPr="00A80FB8">
        <w:t xml:space="preserve">e </w:t>
      </w:r>
      <w:r>
        <w:t xml:space="preserve">Minister van Financiën van [• </w:t>
      </w:r>
      <w:r w:rsidR="006D4F44">
        <w:t>datum</w:t>
      </w:r>
      <w:r>
        <w:t>]</w:t>
      </w:r>
      <w:r w:rsidRPr="00A80FB8">
        <w:t>,</w:t>
      </w:r>
      <w:r>
        <w:t xml:space="preserve"> [• kenmerk], directie Financiële Markten</w:t>
      </w:r>
      <w:r w:rsidR="006E574E">
        <w:t xml:space="preserve">, </w:t>
      </w:r>
      <w:r w:rsidRPr="006E574E" w:rsidR="006E574E">
        <w:t xml:space="preserve">uitgebracht mede namens Onze Minister van Justitie en Veiligheid en </w:t>
      </w:r>
      <w:r w:rsidR="00367945">
        <w:t>Onze Minister</w:t>
      </w:r>
      <w:r w:rsidRPr="006E574E" w:rsidR="006E574E">
        <w:t xml:space="preserve"> van Economische Zaken</w:t>
      </w:r>
      <w:r w:rsidRPr="00A80FB8">
        <w:t>;</w:t>
      </w:r>
    </w:p>
    <w:p w:rsidR="00832F2C" w:rsidP="00804665" w:rsidRDefault="00832F2C" w14:paraId="48BDF2B5" w14:textId="77777777">
      <w:pPr>
        <w:spacing w:line="276" w:lineRule="auto"/>
      </w:pPr>
    </w:p>
    <w:p w:rsidRPr="007032BB" w:rsidR="00832F2C" w:rsidP="00804665" w:rsidRDefault="00832F2C" w14:paraId="3A14F1AE" w14:textId="77777777">
      <w:pPr>
        <w:pStyle w:val="Plattetekstinspringen"/>
        <w:spacing w:line="276" w:lineRule="auto"/>
        <w:ind w:firstLine="0"/>
        <w:rPr>
          <w:rFonts w:ascii="Verdana" w:hAnsi="Verdana"/>
          <w:spacing w:val="4"/>
          <w:sz w:val="18"/>
          <w:szCs w:val="18"/>
        </w:rPr>
      </w:pPr>
      <w:r w:rsidRPr="007032BB">
        <w:rPr>
          <w:rFonts w:ascii="Verdana" w:hAnsi="Verdana"/>
          <w:spacing w:val="4"/>
          <w:sz w:val="18"/>
          <w:szCs w:val="18"/>
        </w:rPr>
        <w:t>Hebben goedgevonden en verstaan:</w:t>
      </w:r>
    </w:p>
    <w:p w:rsidR="00832F2C" w:rsidP="00804665" w:rsidRDefault="00832F2C" w14:paraId="50887794" w14:textId="77777777">
      <w:pPr>
        <w:spacing w:line="276" w:lineRule="auto"/>
      </w:pPr>
    </w:p>
    <w:p w:rsidR="00832F2C" w:rsidP="00804665" w:rsidRDefault="00832F2C" w14:paraId="1E603AAA" w14:textId="77777777">
      <w:pPr>
        <w:spacing w:line="276" w:lineRule="auto"/>
      </w:pPr>
    </w:p>
    <w:p w:rsidRPr="00B37F00" w:rsidR="00EA2B4D" w:rsidP="00804665" w:rsidRDefault="00EA2B4D" w14:paraId="6CB753B0" w14:textId="77777777">
      <w:pPr>
        <w:widowControl w:val="0"/>
        <w:spacing w:line="276" w:lineRule="auto"/>
        <w:rPr>
          <w:b/>
          <w:szCs w:val="18"/>
        </w:rPr>
      </w:pPr>
      <w:r w:rsidRPr="00B37F00">
        <w:rPr>
          <w:b/>
          <w:szCs w:val="18"/>
        </w:rPr>
        <w:t>ARTIKEL I</w:t>
      </w:r>
    </w:p>
    <w:p w:rsidR="00832F2C" w:rsidP="00804665" w:rsidRDefault="00832F2C" w14:paraId="50126F29" w14:textId="77777777">
      <w:pPr>
        <w:spacing w:line="276" w:lineRule="auto"/>
      </w:pPr>
    </w:p>
    <w:p w:rsidRPr="00B37F00" w:rsidR="00772050" w:rsidP="00804665" w:rsidRDefault="00772050" w14:paraId="6E3F6B35" w14:textId="24D5CC99">
      <w:pPr>
        <w:widowControl w:val="0"/>
        <w:spacing w:line="276" w:lineRule="auto"/>
        <w:rPr>
          <w:szCs w:val="18"/>
        </w:rPr>
      </w:pPr>
      <w:r>
        <w:rPr>
          <w:szCs w:val="18"/>
        </w:rPr>
        <w:t xml:space="preserve">Het </w:t>
      </w:r>
      <w:r w:rsidR="00D86503">
        <w:rPr>
          <w:b/>
        </w:rPr>
        <w:t xml:space="preserve">Handelsregisterbesluit 2008 </w:t>
      </w:r>
      <w:r w:rsidRPr="00B37F00">
        <w:rPr>
          <w:szCs w:val="18"/>
        </w:rPr>
        <w:t xml:space="preserve">wordt </w:t>
      </w:r>
      <w:r w:rsidR="003C15B2">
        <w:rPr>
          <w:szCs w:val="18"/>
        </w:rPr>
        <w:t>als volgt gewijzigd</w:t>
      </w:r>
      <w:r w:rsidRPr="00B37F00">
        <w:rPr>
          <w:szCs w:val="18"/>
        </w:rPr>
        <w:t>:</w:t>
      </w:r>
    </w:p>
    <w:p w:rsidRPr="00B37F00" w:rsidR="00772050" w:rsidP="00804665" w:rsidRDefault="00772050" w14:paraId="1200BF00" w14:textId="77777777">
      <w:pPr>
        <w:widowControl w:val="0"/>
        <w:spacing w:line="276" w:lineRule="auto"/>
        <w:rPr>
          <w:szCs w:val="18"/>
        </w:rPr>
      </w:pPr>
    </w:p>
    <w:p w:rsidR="00772050" w:rsidP="00804665" w:rsidRDefault="00772050" w14:paraId="41AC2875" w14:textId="77777777">
      <w:pPr>
        <w:widowControl w:val="0"/>
        <w:spacing w:line="276" w:lineRule="auto"/>
        <w:rPr>
          <w:szCs w:val="18"/>
        </w:rPr>
      </w:pPr>
      <w:r w:rsidRPr="00B37F00">
        <w:rPr>
          <w:szCs w:val="18"/>
        </w:rPr>
        <w:t>A</w:t>
      </w:r>
    </w:p>
    <w:p w:rsidR="00B24162" w:rsidP="00804665" w:rsidRDefault="00B24162" w14:paraId="5BFCB91F" w14:textId="77777777">
      <w:pPr>
        <w:widowControl w:val="0"/>
        <w:spacing w:line="276" w:lineRule="auto"/>
        <w:rPr>
          <w:szCs w:val="18"/>
        </w:rPr>
      </w:pPr>
    </w:p>
    <w:p w:rsidR="0030303A" w:rsidP="000758C4" w:rsidRDefault="0030303A" w14:paraId="4144EFF1" w14:textId="54E07C46">
      <w:pPr>
        <w:widowControl w:val="0"/>
        <w:spacing w:line="276" w:lineRule="auto"/>
        <w:rPr>
          <w:szCs w:val="18"/>
        </w:rPr>
      </w:pPr>
      <w:r>
        <w:rPr>
          <w:szCs w:val="18"/>
        </w:rPr>
        <w:t>Artikel 51a wordt als volgt gewijzigd:</w:t>
      </w:r>
    </w:p>
    <w:p w:rsidR="0030303A" w:rsidP="000758C4" w:rsidRDefault="0030303A" w14:paraId="40573EF7" w14:textId="77777777">
      <w:pPr>
        <w:widowControl w:val="0"/>
        <w:spacing w:line="276" w:lineRule="auto"/>
        <w:rPr>
          <w:szCs w:val="18"/>
        </w:rPr>
      </w:pPr>
    </w:p>
    <w:p w:rsidR="0030303A" w:rsidP="000758C4" w:rsidRDefault="0030303A" w14:paraId="3780AEA6" w14:textId="32C7DF56">
      <w:pPr>
        <w:widowControl w:val="0"/>
        <w:spacing w:line="276" w:lineRule="auto"/>
        <w:rPr>
          <w:szCs w:val="18"/>
        </w:rPr>
      </w:pPr>
      <w:r>
        <w:rPr>
          <w:szCs w:val="18"/>
        </w:rPr>
        <w:t xml:space="preserve">1. </w:t>
      </w:r>
      <w:r w:rsidR="00772A65">
        <w:rPr>
          <w:szCs w:val="18"/>
        </w:rPr>
        <w:t xml:space="preserve">In de aanhef wordt </w:t>
      </w:r>
      <w:r w:rsidR="00C5589D">
        <w:rPr>
          <w:szCs w:val="18"/>
        </w:rPr>
        <w:t xml:space="preserve">“artikel 28, tweede lid, van de wet” vervangen door “artikel 28, </w:t>
      </w:r>
      <w:r w:rsidR="00C5589D">
        <w:rPr>
          <w:szCs w:val="18"/>
        </w:rPr>
        <w:lastRenderedPageBreak/>
        <w:t>tweede lid, onderdeel a, van de wet”</w:t>
      </w:r>
      <w:r w:rsidR="00772A65">
        <w:rPr>
          <w:szCs w:val="18"/>
        </w:rPr>
        <w:t>.</w:t>
      </w:r>
    </w:p>
    <w:p w:rsidR="00C5589D" w:rsidP="000758C4" w:rsidRDefault="00C5589D" w14:paraId="26250974" w14:textId="77777777">
      <w:pPr>
        <w:widowControl w:val="0"/>
        <w:spacing w:line="276" w:lineRule="auto"/>
        <w:rPr>
          <w:szCs w:val="18"/>
        </w:rPr>
      </w:pPr>
    </w:p>
    <w:p w:rsidRPr="000758C4" w:rsidR="000758C4" w:rsidP="000758C4" w:rsidRDefault="00C5589D" w14:paraId="0ED250BF" w14:textId="38CFB345">
      <w:pPr>
        <w:widowControl w:val="0"/>
        <w:spacing w:line="276" w:lineRule="auto"/>
        <w:rPr>
          <w:szCs w:val="18"/>
        </w:rPr>
      </w:pPr>
      <w:r>
        <w:rPr>
          <w:szCs w:val="18"/>
        </w:rPr>
        <w:t>2. In</w:t>
      </w:r>
      <w:r w:rsidRPr="000758C4" w:rsidR="000758C4">
        <w:rPr>
          <w:szCs w:val="18"/>
        </w:rPr>
        <w:t xml:space="preserve"> onderdeel e, wordt na “de Koninklijke Marechaussee” ingevoegd “, de inspecteur, bedoeld in artikel 1:3, eerste lid, onderdeel c, van de Algemene douanewet”.</w:t>
      </w:r>
    </w:p>
    <w:p w:rsidRPr="00F92F82" w:rsidR="00B24162" w:rsidP="00804665" w:rsidRDefault="00B24162" w14:paraId="25EA14D6" w14:textId="77777777">
      <w:pPr>
        <w:widowControl w:val="0"/>
        <w:spacing w:line="276" w:lineRule="auto"/>
        <w:rPr>
          <w:szCs w:val="18"/>
        </w:rPr>
      </w:pPr>
    </w:p>
    <w:p w:rsidRPr="00133A87" w:rsidR="00B24162" w:rsidP="00804665" w:rsidRDefault="00B24162" w14:paraId="167DEBC7" w14:textId="3C71C2B6">
      <w:pPr>
        <w:widowControl w:val="0"/>
        <w:spacing w:line="276" w:lineRule="auto"/>
        <w:rPr>
          <w:szCs w:val="18"/>
        </w:rPr>
      </w:pPr>
      <w:r w:rsidRPr="00133A87">
        <w:rPr>
          <w:szCs w:val="18"/>
        </w:rPr>
        <w:t>B</w:t>
      </w:r>
    </w:p>
    <w:p w:rsidRPr="00133A87" w:rsidR="002251A0" w:rsidP="00804665" w:rsidRDefault="002251A0" w14:paraId="16477BE2" w14:textId="77777777">
      <w:pPr>
        <w:widowControl w:val="0"/>
        <w:spacing w:line="276" w:lineRule="auto"/>
        <w:rPr>
          <w:szCs w:val="18"/>
        </w:rPr>
      </w:pPr>
    </w:p>
    <w:p w:rsidR="00772050" w:rsidP="00804665" w:rsidRDefault="00A63DA8" w14:paraId="7B938A6B" w14:textId="1C989F58">
      <w:pPr>
        <w:widowControl w:val="0"/>
        <w:spacing w:line="276" w:lineRule="auto"/>
        <w:rPr>
          <w:szCs w:val="18"/>
        </w:rPr>
      </w:pPr>
      <w:r w:rsidRPr="002B7DF8">
        <w:rPr>
          <w:szCs w:val="18"/>
        </w:rPr>
        <w:t>Na artikel 51a wordt</w:t>
      </w:r>
      <w:r w:rsidR="00CC60B4">
        <w:rPr>
          <w:szCs w:val="18"/>
        </w:rPr>
        <w:t xml:space="preserve"> een</w:t>
      </w:r>
      <w:r w:rsidRPr="002B7DF8">
        <w:rPr>
          <w:szCs w:val="18"/>
        </w:rPr>
        <w:t xml:space="preserve"> artikel ingevoegd, luidende</w:t>
      </w:r>
      <w:r w:rsidRPr="002B7DF8" w:rsidR="002B7DF8">
        <w:rPr>
          <w:szCs w:val="18"/>
        </w:rPr>
        <w:t>:</w:t>
      </w:r>
    </w:p>
    <w:p w:rsidR="00804665" w:rsidP="00804665" w:rsidRDefault="00804665" w14:paraId="213E6AAA" w14:textId="77777777">
      <w:pPr>
        <w:widowControl w:val="0"/>
        <w:spacing w:line="276" w:lineRule="auto"/>
        <w:rPr>
          <w:b/>
          <w:bCs/>
          <w:szCs w:val="18"/>
        </w:rPr>
      </w:pPr>
    </w:p>
    <w:p w:rsidR="002B7DF8" w:rsidP="00804665" w:rsidRDefault="002B7DF8" w14:paraId="4BF30893" w14:textId="7B2DA5CC">
      <w:pPr>
        <w:widowControl w:val="0"/>
        <w:spacing w:line="276" w:lineRule="auto"/>
        <w:rPr>
          <w:b/>
          <w:bCs/>
          <w:szCs w:val="18"/>
        </w:rPr>
      </w:pPr>
      <w:r w:rsidRPr="002B7DF8">
        <w:rPr>
          <w:b/>
          <w:bCs/>
          <w:szCs w:val="18"/>
        </w:rPr>
        <w:t>Artikel 51aa</w:t>
      </w:r>
    </w:p>
    <w:p w:rsidR="002B7DF8" w:rsidP="00804665" w:rsidRDefault="002B7DF8" w14:paraId="62AA90BA" w14:textId="77777777">
      <w:pPr>
        <w:widowControl w:val="0"/>
        <w:spacing w:line="276" w:lineRule="auto"/>
        <w:rPr>
          <w:b/>
          <w:bCs/>
          <w:szCs w:val="18"/>
        </w:rPr>
      </w:pPr>
    </w:p>
    <w:p w:rsidRPr="004432F9" w:rsidR="004432F9" w:rsidP="00804665" w:rsidRDefault="004432F9" w14:paraId="67F7969F" w14:textId="7FDD36E4">
      <w:pPr>
        <w:spacing w:line="276" w:lineRule="auto"/>
      </w:pPr>
      <w:r w:rsidRPr="004432F9">
        <w:t>Als bestuursorga</w:t>
      </w:r>
      <w:r w:rsidR="00CC60B4">
        <w:t>ne</w:t>
      </w:r>
      <w:r w:rsidRPr="004432F9">
        <w:t>n en rechtsperso</w:t>
      </w:r>
      <w:r w:rsidR="003C15B2">
        <w:t>nen m</w:t>
      </w:r>
      <w:r w:rsidRPr="004432F9">
        <w:t>et een overheidstaak, bedoeld in artikel 28</w:t>
      </w:r>
      <w:r w:rsidR="00652FA5">
        <w:t xml:space="preserve">, tweede lid, </w:t>
      </w:r>
      <w:r w:rsidR="00CC60B4">
        <w:t>onderdeel d,</w:t>
      </w:r>
      <w:r w:rsidRPr="004432F9">
        <w:t xml:space="preserve"> van de wet, worden aangewezen:</w:t>
      </w:r>
    </w:p>
    <w:p w:rsidR="004432F9" w:rsidP="00804665" w:rsidRDefault="0059744B" w14:paraId="74523979" w14:textId="4A737FE1">
      <w:pPr>
        <w:pStyle w:val="Lijstalinea"/>
        <w:numPr>
          <w:ilvl w:val="0"/>
          <w:numId w:val="32"/>
        </w:numPr>
        <w:ind w:left="0" w:firstLine="0"/>
      </w:pPr>
      <w:r>
        <w:rPr>
          <w:szCs w:val="18"/>
        </w:rPr>
        <w:t>O</w:t>
      </w:r>
      <w:r w:rsidR="009B2636">
        <w:rPr>
          <w:szCs w:val="18"/>
        </w:rPr>
        <w:t xml:space="preserve">nze Minister van Financiën en </w:t>
      </w:r>
      <w:r w:rsidR="00177921">
        <w:rPr>
          <w:szCs w:val="18"/>
        </w:rPr>
        <w:t>O</w:t>
      </w:r>
      <w:r w:rsidRPr="00EC1957" w:rsidR="009B2636">
        <w:rPr>
          <w:szCs w:val="18"/>
        </w:rPr>
        <w:t xml:space="preserve">nze </w:t>
      </w:r>
      <w:r w:rsidR="00177921">
        <w:rPr>
          <w:szCs w:val="18"/>
        </w:rPr>
        <w:t>M</w:t>
      </w:r>
      <w:r w:rsidRPr="00EC1957" w:rsidR="009B2636">
        <w:rPr>
          <w:szCs w:val="18"/>
        </w:rPr>
        <w:t xml:space="preserve">inisters </w:t>
      </w:r>
      <w:r w:rsidR="002E4A5E">
        <w:rPr>
          <w:szCs w:val="18"/>
        </w:rPr>
        <w:t>d</w:t>
      </w:r>
      <w:r w:rsidR="00177921">
        <w:rPr>
          <w:szCs w:val="18"/>
        </w:rPr>
        <w:t>ie</w:t>
      </w:r>
      <w:r w:rsidRPr="00EC1957" w:rsidR="009B2636">
        <w:rPr>
          <w:szCs w:val="18"/>
        </w:rPr>
        <w:t xml:space="preserve"> het mede aangaat</w:t>
      </w:r>
      <w:r w:rsidR="009B2636">
        <w:rPr>
          <w:szCs w:val="18"/>
        </w:rPr>
        <w:t xml:space="preserve"> </w:t>
      </w:r>
      <w:r w:rsidR="00D92B84">
        <w:rPr>
          <w:szCs w:val="18"/>
        </w:rPr>
        <w:t>voor wat betreft</w:t>
      </w:r>
      <w:r w:rsidR="009B2636">
        <w:rPr>
          <w:szCs w:val="18"/>
        </w:rPr>
        <w:t xml:space="preserve"> de uitvoering van hun taak, bedoeld in artikel 22, tweede lid, onderdeel d</w:t>
      </w:r>
      <w:r w:rsidR="00CC60B4">
        <w:rPr>
          <w:szCs w:val="18"/>
        </w:rPr>
        <w:t>,</w:t>
      </w:r>
      <w:r w:rsidR="009B2636">
        <w:rPr>
          <w:szCs w:val="18"/>
        </w:rPr>
        <w:t xml:space="preserve"> van </w:t>
      </w:r>
      <w:r w:rsidRPr="00B25E3C" w:rsidR="009B2636">
        <w:rPr>
          <w:szCs w:val="18"/>
        </w:rPr>
        <w:t>Verordening (EU) 2021/241 van het Europees Parlement en de Raad van 12 februari 2021 tot instelling van de herstel- en veerkrachtfaciliteit</w:t>
      </w:r>
      <w:r w:rsidR="002E4A5E">
        <w:rPr>
          <w:szCs w:val="18"/>
        </w:rPr>
        <w:t>;</w:t>
      </w:r>
    </w:p>
    <w:p w:rsidR="004432F9" w:rsidP="00804665" w:rsidRDefault="0016719C" w14:paraId="24D588D9" w14:textId="51B34337">
      <w:pPr>
        <w:pStyle w:val="Lijstalinea"/>
        <w:numPr>
          <w:ilvl w:val="0"/>
          <w:numId w:val="32"/>
        </w:numPr>
        <w:ind w:left="0" w:firstLine="0"/>
      </w:pPr>
      <w:r w:rsidRPr="0016719C">
        <w:t>bestuursorganen en rechtspersonen met een overheidstaak</w:t>
      </w:r>
      <w:r w:rsidR="004C53BA">
        <w:t xml:space="preserve"> als </w:t>
      </w:r>
      <w:r w:rsidRPr="0016719C">
        <w:t>bedoeld in artikel 1, eerste lid, van de Wet bevordering integriteitsbeoordelingen openbaar bestuur, voor zover dat noodzakelijk is in de gevallen waarin zij bevoegd zijn tot toepassing van die wet</w:t>
      </w:r>
      <w:r w:rsidR="00B30080">
        <w:t>;</w:t>
      </w:r>
    </w:p>
    <w:p w:rsidRPr="008112E0" w:rsidR="00D96A9B" w:rsidP="00445A58" w:rsidRDefault="0067778F" w14:paraId="74DA0E2A" w14:textId="5E3FCE22">
      <w:pPr>
        <w:pStyle w:val="Lijstalinea"/>
        <w:numPr>
          <w:ilvl w:val="0"/>
          <w:numId w:val="32"/>
        </w:numPr>
        <w:ind w:left="0" w:firstLine="0"/>
      </w:pPr>
      <w:r>
        <w:t>d</w:t>
      </w:r>
      <w:r w:rsidRPr="004432F9" w:rsidR="004432F9">
        <w:t xml:space="preserve">e Nederlandsche Bank N.V. voor wat betreft </w:t>
      </w:r>
      <w:r w:rsidR="00453C8C">
        <w:t xml:space="preserve">de beoordeling van betrouwbaarheid en geschiktheid van een persoon op grond van de Wet op het financieel toezicht </w:t>
      </w:r>
      <w:r w:rsidRPr="00CD6882" w:rsidR="00453C8C">
        <w:t xml:space="preserve">of een vergelijkbare beoordeling op basis van een verordening als bedoeld in </w:t>
      </w:r>
      <w:r w:rsidR="00453C8C">
        <w:t xml:space="preserve">artikel 1:24, derde lid, van die wet en voor de uitvoering van haar taak op grond van </w:t>
      </w:r>
      <w:r w:rsidRPr="004432F9" w:rsidR="004432F9">
        <w:t>artikel 25</w:t>
      </w:r>
      <w:r w:rsidR="00553CEF">
        <w:t>, tweede lid,</w:t>
      </w:r>
      <w:r w:rsidRPr="004432F9" w:rsidR="004432F9">
        <w:t xml:space="preserve"> van de Wet ter voorkoming van witwassen en financieren van </w:t>
      </w:r>
      <w:r w:rsidR="00466733">
        <w:t>terrorisme</w:t>
      </w:r>
      <w:r w:rsidR="00507800">
        <w:t xml:space="preserve">, </w:t>
      </w:r>
      <w:r w:rsidRPr="00445A58" w:rsidR="00507800">
        <w:t>a</w:t>
      </w:r>
      <w:r w:rsidRPr="00445A58" w:rsidR="004828B5">
        <w:t>rtikel</w:t>
      </w:r>
      <w:r w:rsidRPr="00466733" w:rsidR="004828B5">
        <w:t xml:space="preserve"> 106 van de Pensioenwet, artikel 110c van de Wet verplichte beroepspensioen</w:t>
      </w:r>
      <w:r w:rsidRPr="00466733" w:rsidR="00C11060">
        <w:t>regeling</w:t>
      </w:r>
      <w:r w:rsidR="00466733">
        <w:t xml:space="preserve"> en </w:t>
      </w:r>
      <w:r w:rsidRPr="00466733" w:rsidR="004828B5">
        <w:t>artikel 10 van de Wet toezicht trustkantoren 2018</w:t>
      </w:r>
      <w:r w:rsidRPr="008112E0" w:rsidR="00D96A9B">
        <w:t>;</w:t>
      </w:r>
    </w:p>
    <w:p w:rsidRPr="00974952" w:rsidR="00974952" w:rsidP="00974952" w:rsidRDefault="00466733" w14:paraId="44EF2F78" w14:textId="4C5D5908">
      <w:pPr>
        <w:pStyle w:val="Lijstalinea"/>
        <w:ind w:left="0"/>
      </w:pPr>
      <w:r>
        <w:t xml:space="preserve">d. </w:t>
      </w:r>
      <w:r w:rsidR="00C56E15">
        <w:t>d</w:t>
      </w:r>
      <w:r w:rsidRPr="00974952" w:rsidR="00974952">
        <w:t xml:space="preserve">e </w:t>
      </w:r>
      <w:r w:rsidR="00057406">
        <w:t xml:space="preserve">Stichting </w:t>
      </w:r>
      <w:r w:rsidRPr="00974952" w:rsidR="00974952">
        <w:t>Autoriteit Financiële Markten voor wat betreft</w:t>
      </w:r>
      <w:r w:rsidR="00D1149D">
        <w:t xml:space="preserve"> </w:t>
      </w:r>
      <w:r w:rsidRPr="00445A58" w:rsidR="00445A58">
        <w:t xml:space="preserve">de beoordeling van betrouwbaarheid en geschiktheid van een persoon op grond van de Wet op het financieel toezicht of een vergelijkbare beoordeling op basis van een verordening als bedoeld in </w:t>
      </w:r>
      <w:r w:rsidRPr="00453C8C" w:rsidR="00453C8C">
        <w:t>artikel 1:25, derde lid, van die wet</w:t>
      </w:r>
      <w:r w:rsidRPr="00453C8C" w:rsidR="00445A58">
        <w:t xml:space="preserve"> </w:t>
      </w:r>
      <w:r w:rsidRPr="00453C8C" w:rsidR="003C2796">
        <w:t>en</w:t>
      </w:r>
      <w:r w:rsidR="003C2796">
        <w:t xml:space="preserve"> voor </w:t>
      </w:r>
      <w:r w:rsidR="00553CEF">
        <w:t xml:space="preserve">de uitvoering van </w:t>
      </w:r>
      <w:r w:rsidR="003C2796">
        <w:t>haar taken</w:t>
      </w:r>
      <w:r w:rsidRPr="00974952" w:rsidR="00974952">
        <w:t xml:space="preserve"> op grond van de artikelen </w:t>
      </w:r>
      <w:r w:rsidRPr="000005E1" w:rsidR="001E4197">
        <w:t>2:55, 2:60, 2:65, 2:80, 2:96</w:t>
      </w:r>
      <w:r w:rsidR="00CB51A8">
        <w:t xml:space="preserve"> en </w:t>
      </w:r>
      <w:r w:rsidRPr="000005E1" w:rsidR="00974952">
        <w:t xml:space="preserve">4:13 van de Wet op het financieel toezicht, </w:t>
      </w:r>
      <w:r w:rsidRPr="000005E1" w:rsidR="00C56E15">
        <w:t xml:space="preserve">de </w:t>
      </w:r>
      <w:r w:rsidRPr="000005E1" w:rsidR="00974952">
        <w:t xml:space="preserve">artikelen 6, 14, 15, 16, 18, 19, 21, 24b en 48a </w:t>
      </w:r>
      <w:r w:rsidRPr="000005E1" w:rsidR="003E5E62">
        <w:t xml:space="preserve">van de </w:t>
      </w:r>
      <w:r w:rsidRPr="000005E1" w:rsidR="00974952">
        <w:t xml:space="preserve">Wet toezicht accountantsorganisaties, </w:t>
      </w:r>
      <w:r w:rsidRPr="000005E1" w:rsidR="00C56E15">
        <w:t xml:space="preserve">de </w:t>
      </w:r>
      <w:r w:rsidRPr="000005E1" w:rsidR="00974952">
        <w:t>artikelen 2 tot en met 4 van de Wet toezicht financiële verslaggeving, artikel 8:8 van de Wet handhaving consument</w:t>
      </w:r>
      <w:r w:rsidRPr="000005E1" w:rsidR="00E04BE7">
        <w:t>en</w:t>
      </w:r>
      <w:r w:rsidRPr="000005E1" w:rsidR="00974952">
        <w:t xml:space="preserve">bescherming, </w:t>
      </w:r>
      <w:r w:rsidRPr="000005E1" w:rsidR="004769AC">
        <w:t xml:space="preserve">artikelen 14 en 15 van de Verordening (EU) 596/2014 van het Europees Parlement en de Raad van 16 april 2014 betreffende marktmisbruik en houdende intrekking van Richtlijn 2003/6/EG van het Europees Parlement en de Raad en Richtlijnen 2003/124, 2003/125/EG en 2004/72/EG van de Commissie en </w:t>
      </w:r>
      <w:r w:rsidRPr="000005E1" w:rsidR="0073357A">
        <w:t xml:space="preserve">de </w:t>
      </w:r>
      <w:r w:rsidRPr="000005E1" w:rsidR="00974952">
        <w:t>artikelen 4</w:t>
      </w:r>
      <w:r w:rsidR="00CB51A8">
        <w:t xml:space="preserve"> en </w:t>
      </w:r>
      <w:r w:rsidRPr="000005E1" w:rsidR="00974952">
        <w:t>8 van de Verordening (EU) 2020/1503 van het Europees Parlement en de Raad van 7 oktober 2020 betreffende Europese crowdfundingdienstverleners voor bedrijven en tot wijziging van Verordening (EU) 2017/1129 en Richtlijn (EU) 2019/1937</w:t>
      </w:r>
      <w:r w:rsidRPr="000005E1" w:rsidR="0073357A">
        <w:t xml:space="preserve">, </w:t>
      </w:r>
      <w:r w:rsidRPr="000005E1" w:rsidR="00974952">
        <w:t>artikel 20, eerste, tweede en vierde lid van de Verordening (EU) 2017/1129 van het Europees Parlement en de Raad van 14 juni 2017 betreffende het prospectus dat moet worden gepubliceerd wanneer effecten aan het publiek worden aangeboden of tot de handel op een gereglementeerde markt worden toegelaten en tot intrekking van Richtlijn 2003/71/EG en</w:t>
      </w:r>
      <w:r w:rsidRPr="000005E1" w:rsidR="0073357A">
        <w:t xml:space="preserve"> de</w:t>
      </w:r>
      <w:r w:rsidRPr="000005E1" w:rsidR="00974952">
        <w:t xml:space="preserve"> artikelen 2, 12, 36, 37 en 38 van de Gedelegeerde Verordening (EU) 2019/980 van de Commissie van 14 maart 2019 tot aanvulling van Verordening (EU) 2017/1129 van het Europees Parlement en de Raad wat betreft de vorm, de inhoud, de controle en de goedkeuring van het prospectus dat moet worden gepubliceerd wanneer effecten aan het publiek worden aangeboden of tot de handel op een gereglementeerde markt worden toegelaten, en tot intrekking van Verordening (EG) nr. 809/2004 van de Commissie</w:t>
      </w:r>
      <w:r w:rsidRPr="000005E1" w:rsidR="0073357A">
        <w:t>;</w:t>
      </w:r>
    </w:p>
    <w:p w:rsidR="00E60033" w:rsidP="00974952" w:rsidRDefault="00466733" w14:paraId="1239EB20" w14:textId="34F3A3A4">
      <w:pPr>
        <w:pStyle w:val="Lijstalinea"/>
        <w:ind w:left="0"/>
      </w:pPr>
      <w:r>
        <w:t>e</w:t>
      </w:r>
      <w:r w:rsidR="00D80FD5">
        <w:t xml:space="preserve">. </w:t>
      </w:r>
      <w:r w:rsidR="004B2371">
        <w:t xml:space="preserve">Onze </w:t>
      </w:r>
      <w:r w:rsidR="00E60033">
        <w:t xml:space="preserve">Minister van Economische Zaken voor wat betreft de uitvoering van </w:t>
      </w:r>
      <w:r w:rsidR="00205E66">
        <w:t xml:space="preserve">zijn </w:t>
      </w:r>
      <w:r w:rsidR="00E60033">
        <w:t>taak op grond van</w:t>
      </w:r>
      <w:r w:rsidR="005F2257">
        <w:t xml:space="preserve"> artikel 34</w:t>
      </w:r>
      <w:r w:rsidR="003476E4">
        <w:t>, eerste en tweede lid,</w:t>
      </w:r>
      <w:r w:rsidR="005F2257">
        <w:t xml:space="preserve"> van de</w:t>
      </w:r>
      <w:r w:rsidR="00E60033">
        <w:t xml:space="preserve"> Wet veiligheidstoets investeringen, fusies en overnames;</w:t>
      </w:r>
    </w:p>
    <w:p w:rsidR="00235FFC" w:rsidP="00235FFC" w:rsidRDefault="00466733" w14:paraId="3859F80C" w14:textId="64922A07">
      <w:pPr>
        <w:pStyle w:val="Lijstalinea"/>
        <w:ind w:left="0"/>
      </w:pPr>
      <w:r>
        <w:t>f</w:t>
      </w:r>
      <w:r w:rsidR="00D80FD5">
        <w:t xml:space="preserve">. </w:t>
      </w:r>
      <w:r w:rsidR="0073357A">
        <w:t>e</w:t>
      </w:r>
      <w:r w:rsidR="00E60033">
        <w:t xml:space="preserve">en gerechtsdeurwaarder </w:t>
      </w:r>
      <w:r w:rsidR="007F1441">
        <w:t xml:space="preserve">voor wat betreft de uitvoering van zijn taak </w:t>
      </w:r>
      <w:r w:rsidR="00AF52D3">
        <w:t>op grond van artikel 2 van de Gerechtsdeurwaarderswet</w:t>
      </w:r>
      <w:r w:rsidR="004D1742">
        <w:t>;</w:t>
      </w:r>
    </w:p>
    <w:p w:rsidR="004E1036" w:rsidP="00235FFC" w:rsidRDefault="0041783D" w14:paraId="60AF7BC8" w14:textId="342D6EC9">
      <w:pPr>
        <w:pStyle w:val="Lijstalinea"/>
        <w:ind w:left="0"/>
      </w:pPr>
      <w:r>
        <w:t xml:space="preserve">g. </w:t>
      </w:r>
      <w:r w:rsidRPr="0041783D">
        <w:t>een notaris voor wat betreft de uitoefening van zijn taak op grond van artikel 2 van de Wet op het notarisambt;</w:t>
      </w:r>
    </w:p>
    <w:p w:rsidR="0041783D" w:rsidP="00235FFC" w:rsidRDefault="004E1036" w14:paraId="5C7F4E2B" w14:textId="59C6CCDA">
      <w:pPr>
        <w:pStyle w:val="Lijstalinea"/>
        <w:ind w:left="0"/>
      </w:pPr>
      <w:r>
        <w:t xml:space="preserve">h. </w:t>
      </w:r>
      <w:r w:rsidRPr="004E1036">
        <w:t>het Bureau Financieel Toezicht voor wat betreft de uitvoering van zijn taak op grond van artikel 30 van de Gerechtsdeurwaarderswet en artikel 110, eerste lid, van de Wet op het notarisambt</w:t>
      </w:r>
      <w:r>
        <w:t>;</w:t>
      </w:r>
    </w:p>
    <w:p w:rsidR="00CA51D9" w:rsidRDefault="004E1036" w14:paraId="76E9D4EF" w14:textId="11B8DF9D">
      <w:pPr>
        <w:pStyle w:val="Lijstalinea"/>
        <w:ind w:left="0"/>
        <w:rPr>
          <w:szCs w:val="18"/>
        </w:rPr>
      </w:pPr>
      <w:r>
        <w:t>i</w:t>
      </w:r>
      <w:r w:rsidR="0041783D">
        <w:t xml:space="preserve">. </w:t>
      </w:r>
      <w:r w:rsidR="005529CD">
        <w:t>O</w:t>
      </w:r>
      <w:r w:rsidRPr="003426CA" w:rsidR="003426CA">
        <w:t xml:space="preserve">nze </w:t>
      </w:r>
      <w:r w:rsidR="002334A2">
        <w:t>M</w:t>
      </w:r>
      <w:r w:rsidRPr="003426CA" w:rsidR="003426CA">
        <w:t xml:space="preserve">inisters </w:t>
      </w:r>
      <w:r w:rsidR="0073357A">
        <w:t>die</w:t>
      </w:r>
      <w:r w:rsidRPr="003426CA" w:rsidR="003426CA">
        <w:t xml:space="preserve"> het aangaat en de door hen aangewezen beheerautoriteiten </w:t>
      </w:r>
      <w:r w:rsidR="00111311">
        <w:t>wat betreft de uitvoering van hun taak op grond</w:t>
      </w:r>
      <w:r w:rsidRPr="003426CA" w:rsidR="003426CA">
        <w:t xml:space="preserve"> van de artikelen 69, tweede lid, en 72, eerste lid, onderdeel e, van de Verordening (EU) 2021/1060 van het Europees Parlement en de Raad van 24 juni 2021 houdende gemeenschappelijke bepalingen inzake het Europees Fonds voor regionale 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 financiële steun voor grensbeheer en visumbeleid</w:t>
      </w:r>
      <w:r w:rsidR="0039678A">
        <w:t>;</w:t>
      </w:r>
    </w:p>
    <w:p w:rsidR="004828B5" w:rsidP="0003710B" w:rsidRDefault="004E1036" w14:paraId="5D990081" w14:textId="1E6818E4">
      <w:pPr>
        <w:pStyle w:val="Lijstalinea"/>
        <w:ind w:left="0"/>
        <w:rPr>
          <w:szCs w:val="18"/>
        </w:rPr>
      </w:pPr>
      <w:r>
        <w:rPr>
          <w:szCs w:val="18"/>
        </w:rPr>
        <w:t>j</w:t>
      </w:r>
      <w:r w:rsidR="0041783D">
        <w:rPr>
          <w:szCs w:val="18"/>
        </w:rPr>
        <w:t xml:space="preserve">. </w:t>
      </w:r>
      <w:r w:rsidRPr="001D2C60" w:rsidR="001D2C60">
        <w:rPr>
          <w:szCs w:val="18"/>
        </w:rPr>
        <w:t>de Nationale en Internationale Wegvervoer Organisatie voor wat betreft de uitvoering van haa</w:t>
      </w:r>
      <w:r w:rsidRPr="002D27CB" w:rsidR="001D2C60">
        <w:rPr>
          <w:szCs w:val="18"/>
        </w:rPr>
        <w:t xml:space="preserve">r taak op grond van artikel 1 septvicies quater, eerste lid quinquies, </w:t>
      </w:r>
      <w:r w:rsidRPr="002D27CB" w:rsidR="002D27CB">
        <w:rPr>
          <w:szCs w:val="18"/>
        </w:rPr>
        <w:t xml:space="preserve">van de Verordening (EG) 765/2006 van de Raad van 18 mei 2006 betreffende beperkende maatregelen tegen president Loekasjenko en bepaalde functionarissen van Belarus </w:t>
      </w:r>
      <w:r w:rsidRPr="002D27CB" w:rsidR="001D2C60">
        <w:rPr>
          <w:szCs w:val="18"/>
        </w:rPr>
        <w:t xml:space="preserve">en artikel 3 terdecies, eerste lid quinquies, van de </w:t>
      </w:r>
      <w:r w:rsidRPr="002D27CB" w:rsidR="002D27CB">
        <w:rPr>
          <w:szCs w:val="18"/>
        </w:rPr>
        <w:t>Verordening (EU) 833/2014 van de Raad van 31 juli 2014 betreffende beperkende maatregelen naar aanleiding van de acties van Rusland die de situatie in Oekraïne destabiliseren</w:t>
      </w:r>
      <w:r w:rsidRPr="002D27CB" w:rsidR="007441AA">
        <w:rPr>
          <w:szCs w:val="18"/>
        </w:rPr>
        <w:t>;</w:t>
      </w:r>
    </w:p>
    <w:p w:rsidRPr="007441AA" w:rsidR="007441AA" w:rsidP="007F0ED6" w:rsidRDefault="004E1036" w14:paraId="04861B8D" w14:textId="1A8F97E1">
      <w:pPr>
        <w:pStyle w:val="Lijstalinea"/>
        <w:ind w:left="0"/>
        <w:rPr>
          <w:szCs w:val="18"/>
        </w:rPr>
      </w:pPr>
      <w:r>
        <w:rPr>
          <w:szCs w:val="18"/>
        </w:rPr>
        <w:t>k</w:t>
      </w:r>
      <w:r w:rsidR="007441AA">
        <w:rPr>
          <w:szCs w:val="18"/>
        </w:rPr>
        <w:t xml:space="preserve">. </w:t>
      </w:r>
      <w:r w:rsidRPr="007441AA" w:rsidR="007441AA">
        <w:rPr>
          <w:szCs w:val="18"/>
        </w:rPr>
        <w:t xml:space="preserve">Onze Minister van Binnenlandse Zaken en Koninkrijksrelaties voor wat betreft de uitvoering van zijn taak op grond van artikel 37, eerste lid, van de Wet financiering politieke partijen </w:t>
      </w:r>
      <w:r w:rsidRPr="00505DC9" w:rsidR="00505DC9">
        <w:rPr>
          <w:szCs w:val="18"/>
        </w:rPr>
        <w:t>voor zover de</w:t>
      </w:r>
      <w:r w:rsidR="00505DC9">
        <w:rPr>
          <w:szCs w:val="18"/>
        </w:rPr>
        <w:t>ze</w:t>
      </w:r>
      <w:r w:rsidRPr="00505DC9" w:rsidR="00505DC9">
        <w:rPr>
          <w:szCs w:val="18"/>
        </w:rPr>
        <w:t xml:space="preserve"> taak ziet op </w:t>
      </w:r>
      <w:r w:rsidRPr="007441AA" w:rsidR="007441AA">
        <w:rPr>
          <w:szCs w:val="18"/>
        </w:rPr>
        <w:t>artikelen 21, 25, 25a, 28 en 28a van de Wet financiering politieke partijen.</w:t>
      </w:r>
    </w:p>
    <w:p w:rsidRPr="004828B5" w:rsidR="00BA6A91" w:rsidP="0003710B" w:rsidRDefault="00BA6A91" w14:paraId="2B9074D7" w14:textId="77777777">
      <w:pPr>
        <w:pStyle w:val="Lijstalinea"/>
        <w:ind w:left="0"/>
      </w:pPr>
    </w:p>
    <w:p w:rsidRPr="00B37F00" w:rsidR="001A5CD8" w:rsidP="0003710B" w:rsidRDefault="00B24162" w14:paraId="33DC71C5" w14:textId="55A86266">
      <w:pPr>
        <w:widowControl w:val="0"/>
        <w:spacing w:line="276" w:lineRule="auto"/>
        <w:rPr>
          <w:szCs w:val="18"/>
        </w:rPr>
      </w:pPr>
      <w:r>
        <w:rPr>
          <w:szCs w:val="18"/>
        </w:rPr>
        <w:t>C</w:t>
      </w:r>
    </w:p>
    <w:p w:rsidRPr="00B37F00" w:rsidR="00772050" w:rsidP="0003710B" w:rsidRDefault="00772050" w14:paraId="2AF9157F" w14:textId="77777777">
      <w:pPr>
        <w:widowControl w:val="0"/>
        <w:spacing w:line="276" w:lineRule="auto"/>
        <w:rPr>
          <w:szCs w:val="18"/>
        </w:rPr>
      </w:pPr>
    </w:p>
    <w:p w:rsidRPr="00391FB1" w:rsidR="00391FB1" w:rsidP="00391FB1" w:rsidRDefault="00391FB1" w14:paraId="0C76CE25" w14:textId="77777777">
      <w:pPr>
        <w:widowControl w:val="0"/>
        <w:spacing w:line="276" w:lineRule="auto"/>
        <w:rPr>
          <w:szCs w:val="18"/>
        </w:rPr>
      </w:pPr>
      <w:r w:rsidRPr="00391FB1">
        <w:rPr>
          <w:szCs w:val="18"/>
        </w:rPr>
        <w:t>Artikel 51b, eerste lid, komt te luiden:</w:t>
      </w:r>
    </w:p>
    <w:p w:rsidRPr="00391FB1" w:rsidR="00391FB1" w:rsidP="00A36DA4" w:rsidRDefault="00391FB1" w14:paraId="44CF112C" w14:textId="77777777">
      <w:pPr>
        <w:widowControl w:val="0"/>
        <w:numPr>
          <w:ilvl w:val="0"/>
          <w:numId w:val="40"/>
        </w:numPr>
        <w:spacing w:line="276" w:lineRule="auto"/>
        <w:ind w:left="0" w:firstLine="0"/>
        <w:rPr>
          <w:szCs w:val="18"/>
        </w:rPr>
      </w:pPr>
      <w:r w:rsidRPr="00391FB1">
        <w:rPr>
          <w:szCs w:val="18"/>
        </w:rPr>
        <w:t>De gegevens, bedoeld in artikel 15a, tweede lid, onderdeel c, van de wet, kunnen op verzoek van de uiteindelijk belanghebbende worden afgeschermd tegen inzage door anderen dan:</w:t>
      </w:r>
    </w:p>
    <w:p w:rsidRPr="00391FB1" w:rsidR="00391FB1" w:rsidP="00391FB1" w:rsidRDefault="00391FB1" w14:paraId="56D29382" w14:textId="77777777">
      <w:pPr>
        <w:widowControl w:val="0"/>
        <w:numPr>
          <w:ilvl w:val="0"/>
          <w:numId w:val="42"/>
        </w:numPr>
        <w:spacing w:line="276" w:lineRule="auto"/>
        <w:rPr>
          <w:szCs w:val="18"/>
        </w:rPr>
      </w:pPr>
      <w:r w:rsidRPr="00391FB1">
        <w:rPr>
          <w:szCs w:val="18"/>
        </w:rPr>
        <w:t>de Financiële inlichtingen eenheid;</w:t>
      </w:r>
    </w:p>
    <w:p w:rsidRPr="00391FB1" w:rsidR="00391FB1" w:rsidP="00391FB1" w:rsidRDefault="00391FB1" w14:paraId="6771C9DA" w14:textId="77777777">
      <w:pPr>
        <w:widowControl w:val="0"/>
        <w:numPr>
          <w:ilvl w:val="0"/>
          <w:numId w:val="42"/>
        </w:numPr>
        <w:spacing w:line="276" w:lineRule="auto"/>
        <w:rPr>
          <w:szCs w:val="18"/>
        </w:rPr>
      </w:pPr>
      <w:r w:rsidRPr="00391FB1">
        <w:rPr>
          <w:szCs w:val="18"/>
        </w:rPr>
        <w:t xml:space="preserve">de bevoegde autoriteiten, bedoeld in artikel 51a; </w:t>
      </w:r>
    </w:p>
    <w:p w:rsidRPr="00391FB1" w:rsidR="00391FB1" w:rsidP="00391FB1" w:rsidRDefault="00A968B1" w14:paraId="1359920E" w14:textId="11C25D4C">
      <w:pPr>
        <w:widowControl w:val="0"/>
        <w:numPr>
          <w:ilvl w:val="0"/>
          <w:numId w:val="42"/>
        </w:numPr>
        <w:spacing w:line="276" w:lineRule="auto"/>
        <w:rPr>
          <w:szCs w:val="18"/>
        </w:rPr>
      </w:pPr>
      <w:r>
        <w:rPr>
          <w:szCs w:val="18"/>
        </w:rPr>
        <w:t xml:space="preserve">de </w:t>
      </w:r>
      <w:r w:rsidRPr="00391FB1" w:rsidR="00391FB1">
        <w:rPr>
          <w:szCs w:val="18"/>
        </w:rPr>
        <w:t>bestuursorganen en rechtspersonen met een overheidstaak,  bedoeld in artikel  51aa;</w:t>
      </w:r>
    </w:p>
    <w:p w:rsidRPr="00226868" w:rsidR="00226868" w:rsidP="00226868" w:rsidRDefault="00A968B1" w14:paraId="247A05E5" w14:textId="131D2D6B">
      <w:pPr>
        <w:widowControl w:val="0"/>
        <w:numPr>
          <w:ilvl w:val="0"/>
          <w:numId w:val="42"/>
        </w:numPr>
        <w:spacing w:line="276" w:lineRule="auto"/>
        <w:rPr>
          <w:szCs w:val="18"/>
        </w:rPr>
      </w:pPr>
      <w:r>
        <w:rPr>
          <w:szCs w:val="18"/>
        </w:rPr>
        <w:t xml:space="preserve">de </w:t>
      </w:r>
      <w:r w:rsidR="001D374C">
        <w:rPr>
          <w:szCs w:val="18"/>
        </w:rPr>
        <w:t>p</w:t>
      </w:r>
      <w:r w:rsidRPr="00391FB1" w:rsidR="00391FB1">
        <w:rPr>
          <w:szCs w:val="18"/>
        </w:rPr>
        <w:t>ersonen</w:t>
      </w:r>
      <w:r w:rsidR="00E97E7E">
        <w:rPr>
          <w:szCs w:val="18"/>
        </w:rPr>
        <w:t xml:space="preserve">, </w:t>
      </w:r>
      <w:r w:rsidRPr="00391FB1" w:rsidR="00391FB1">
        <w:rPr>
          <w:szCs w:val="18"/>
        </w:rPr>
        <w:t>rechtspersonen</w:t>
      </w:r>
      <w:r w:rsidR="00E97E7E">
        <w:rPr>
          <w:szCs w:val="18"/>
        </w:rPr>
        <w:t xml:space="preserve"> of instellingen</w:t>
      </w:r>
      <w:r w:rsidRPr="00391FB1" w:rsidR="00391FB1">
        <w:rPr>
          <w:szCs w:val="18"/>
        </w:rPr>
        <w:t xml:space="preserve"> bedoeld in artikel 28, tweede lid, </w:t>
      </w:r>
      <w:r w:rsidR="002D7EE7">
        <w:rPr>
          <w:szCs w:val="18"/>
        </w:rPr>
        <w:t>onderdeel</w:t>
      </w:r>
      <w:r w:rsidRPr="00391FB1" w:rsidR="00391FB1">
        <w:rPr>
          <w:szCs w:val="18"/>
        </w:rPr>
        <w:t xml:space="preserve"> b</w:t>
      </w:r>
      <w:r w:rsidR="007833F9">
        <w:rPr>
          <w:szCs w:val="18"/>
        </w:rPr>
        <w:t xml:space="preserve">, </w:t>
      </w:r>
      <w:r w:rsidRPr="00391FB1" w:rsidR="00391FB1">
        <w:rPr>
          <w:szCs w:val="18"/>
        </w:rPr>
        <w:t>c</w:t>
      </w:r>
      <w:r w:rsidR="00E97E7E">
        <w:rPr>
          <w:szCs w:val="18"/>
        </w:rPr>
        <w:t xml:space="preserve"> en e</w:t>
      </w:r>
      <w:r w:rsidRPr="00391FB1" w:rsidR="00391FB1">
        <w:rPr>
          <w:szCs w:val="18"/>
        </w:rPr>
        <w:t xml:space="preserve"> van de Handelsregisterwet 2007;</w:t>
      </w:r>
    </w:p>
    <w:p w:rsidRPr="00391FB1" w:rsidR="00391FB1" w:rsidP="00391FB1" w:rsidRDefault="00226868" w14:paraId="632FD53D" w14:textId="174A25D1">
      <w:pPr>
        <w:widowControl w:val="0"/>
        <w:numPr>
          <w:ilvl w:val="0"/>
          <w:numId w:val="42"/>
        </w:numPr>
        <w:spacing w:line="276" w:lineRule="auto"/>
        <w:rPr>
          <w:szCs w:val="18"/>
        </w:rPr>
      </w:pPr>
      <w:r w:rsidRPr="00226868">
        <w:rPr>
          <w:szCs w:val="18"/>
        </w:rPr>
        <w:t xml:space="preserve">de instellingen bedoeld in artikel 1a, tweede, derde en vierde lid, onderdeel d, van de Wet ter voorkoming van witwassen en financieren van terrorisme, ook voor zover deze instellingen toegang krijgen in het kader van artikel </w:t>
      </w:r>
      <w:r>
        <w:rPr>
          <w:szCs w:val="18"/>
        </w:rPr>
        <w:t>22a</w:t>
      </w:r>
      <w:r w:rsidRPr="00226868">
        <w:rPr>
          <w:szCs w:val="18"/>
        </w:rPr>
        <w:t>, eerste lid, onderdeel b, van d</w:t>
      </w:r>
      <w:r>
        <w:rPr>
          <w:szCs w:val="18"/>
        </w:rPr>
        <w:t>e Handelsregisterwet 2007.</w:t>
      </w:r>
    </w:p>
    <w:p w:rsidR="0039678A" w:rsidP="0003710B" w:rsidRDefault="0039678A" w14:paraId="0B9A01B7" w14:textId="77777777">
      <w:pPr>
        <w:widowControl w:val="0"/>
        <w:spacing w:line="276" w:lineRule="auto"/>
        <w:rPr>
          <w:rFonts w:cs="Arial"/>
          <w:b/>
          <w:szCs w:val="18"/>
        </w:rPr>
      </w:pPr>
    </w:p>
    <w:p w:rsidR="00D1149D" w:rsidP="0003710B" w:rsidRDefault="00D1149D" w14:paraId="7E060AD2" w14:textId="77777777">
      <w:pPr>
        <w:widowControl w:val="0"/>
        <w:spacing w:line="276" w:lineRule="auto"/>
        <w:rPr>
          <w:rFonts w:cs="Arial"/>
          <w:b/>
          <w:szCs w:val="18"/>
        </w:rPr>
      </w:pPr>
    </w:p>
    <w:p w:rsidRPr="00B37F00" w:rsidR="00772050" w:rsidP="0003710B" w:rsidRDefault="00772050" w14:paraId="074B706C" w14:textId="10619B93">
      <w:pPr>
        <w:widowControl w:val="0"/>
        <w:spacing w:line="276" w:lineRule="auto"/>
        <w:rPr>
          <w:rFonts w:cs="Arial"/>
          <w:b/>
          <w:szCs w:val="18"/>
        </w:rPr>
      </w:pPr>
      <w:r w:rsidRPr="00B37F00">
        <w:rPr>
          <w:rFonts w:cs="Arial"/>
          <w:b/>
          <w:szCs w:val="18"/>
        </w:rPr>
        <w:t>ARTIKEL II</w:t>
      </w:r>
    </w:p>
    <w:p w:rsidRPr="00B37F00" w:rsidR="00772050" w:rsidP="0003710B" w:rsidRDefault="00772050" w14:paraId="7424A238" w14:textId="77777777">
      <w:pPr>
        <w:widowControl w:val="0"/>
        <w:spacing w:line="276" w:lineRule="auto"/>
        <w:rPr>
          <w:szCs w:val="18"/>
        </w:rPr>
      </w:pPr>
    </w:p>
    <w:p w:rsidR="00B87D63" w:rsidP="0003710B" w:rsidRDefault="00B87D63" w14:paraId="7E696DB9" w14:textId="424B92E2">
      <w:pPr>
        <w:pStyle w:val="broodtekst"/>
        <w:spacing w:line="276" w:lineRule="auto"/>
      </w:pPr>
      <w:r w:rsidRPr="0003710B">
        <w:t>Het</w:t>
      </w:r>
      <w:r>
        <w:rPr>
          <w:b/>
          <w:bCs/>
        </w:rPr>
        <w:t xml:space="preserve"> </w:t>
      </w:r>
      <w:r w:rsidRPr="0008747C">
        <w:rPr>
          <w:b/>
          <w:bCs/>
        </w:rPr>
        <w:t>Implementatiebesluit registratie uiteindelijk belanghebbenden van trusts en soortgelijke juridische constructies</w:t>
      </w:r>
      <w:r>
        <w:rPr>
          <w:b/>
          <w:bCs/>
        </w:rPr>
        <w:t xml:space="preserve"> </w:t>
      </w:r>
      <w:r w:rsidRPr="0003710B">
        <w:t xml:space="preserve">wordt als volgt </w:t>
      </w:r>
      <w:r w:rsidRPr="00B87D63">
        <w:t>gewijzigd</w:t>
      </w:r>
      <w:r>
        <w:t>:</w:t>
      </w:r>
    </w:p>
    <w:p w:rsidR="00B87D63" w:rsidP="0003710B" w:rsidRDefault="00B87D63" w14:paraId="42091FE8" w14:textId="77777777">
      <w:pPr>
        <w:pStyle w:val="broodtekst"/>
        <w:spacing w:line="276" w:lineRule="auto"/>
      </w:pPr>
    </w:p>
    <w:p w:rsidR="00B87D63" w:rsidP="0003710B" w:rsidRDefault="00B87D63" w14:paraId="1684F6A4" w14:textId="25D31F0B">
      <w:pPr>
        <w:pStyle w:val="broodtekst"/>
        <w:spacing w:line="276" w:lineRule="auto"/>
      </w:pPr>
      <w:r>
        <w:t>A</w:t>
      </w:r>
    </w:p>
    <w:p w:rsidR="00B87D63" w:rsidP="0003710B" w:rsidRDefault="00B87D63" w14:paraId="23DB875D" w14:textId="77777777">
      <w:pPr>
        <w:pStyle w:val="broodtekst"/>
        <w:spacing w:line="276" w:lineRule="auto"/>
      </w:pPr>
    </w:p>
    <w:p w:rsidR="00B87D63" w:rsidP="0003710B" w:rsidRDefault="00B87D63" w14:paraId="24D285D8" w14:textId="3E0180FA">
      <w:pPr>
        <w:pStyle w:val="broodtekst"/>
        <w:spacing w:line="276" w:lineRule="auto"/>
      </w:pPr>
      <w:r>
        <w:t xml:space="preserve">In artikel 5, tweede lid, </w:t>
      </w:r>
      <w:r w:rsidR="00AE4519">
        <w:t xml:space="preserve">wordt na “Financiële inlichtingen eenheid” </w:t>
      </w:r>
      <w:r w:rsidR="00837ACB">
        <w:t>ingevoegd</w:t>
      </w:r>
      <w:r w:rsidR="00AB0FFC">
        <w:t xml:space="preserve"> “, bestuursorganen en rechtspersonen</w:t>
      </w:r>
      <w:r w:rsidR="00D60463">
        <w:t xml:space="preserve"> met een overheidstaak</w:t>
      </w:r>
      <w:r w:rsidR="00F04A66">
        <w:t xml:space="preserve">, bedoeld in artikel </w:t>
      </w:r>
      <w:r w:rsidR="00A245BB">
        <w:t>6a</w:t>
      </w:r>
      <w:r w:rsidR="00AB0FFC">
        <w:t>.</w:t>
      </w:r>
    </w:p>
    <w:p w:rsidR="00847E71" w:rsidP="0003710B" w:rsidRDefault="00847E71" w14:paraId="7DD82411" w14:textId="77777777">
      <w:pPr>
        <w:pStyle w:val="broodtekst"/>
        <w:spacing w:line="276" w:lineRule="auto"/>
      </w:pPr>
    </w:p>
    <w:p w:rsidR="00133A87" w:rsidP="0003710B" w:rsidRDefault="00133A87" w14:paraId="7453394E" w14:textId="69CDA3D4">
      <w:pPr>
        <w:pStyle w:val="broodtekst"/>
        <w:spacing w:line="276" w:lineRule="auto"/>
      </w:pPr>
      <w:r>
        <w:t>B</w:t>
      </w:r>
    </w:p>
    <w:p w:rsidR="00133A87" w:rsidP="0003710B" w:rsidRDefault="00133A87" w14:paraId="45580F11" w14:textId="77777777">
      <w:pPr>
        <w:pStyle w:val="broodtekst"/>
        <w:spacing w:line="276" w:lineRule="auto"/>
      </w:pPr>
    </w:p>
    <w:p w:rsidRPr="00102795" w:rsidR="00102795" w:rsidP="00102795" w:rsidRDefault="00102795" w14:paraId="7C5B950D" w14:textId="6164230F">
      <w:pPr>
        <w:spacing w:line="276" w:lineRule="auto"/>
      </w:pPr>
      <w:r w:rsidRPr="00102795">
        <w:t xml:space="preserve">In artikel 6, </w:t>
      </w:r>
      <w:r w:rsidR="002D7EE7">
        <w:t>onderdeel</w:t>
      </w:r>
      <w:r w:rsidRPr="00102795" w:rsidR="002D7EE7">
        <w:t xml:space="preserve"> </w:t>
      </w:r>
      <w:r w:rsidRPr="00102795">
        <w:t xml:space="preserve">e, wordt na wordt na “de Koninklijke Marechaussee”, ingevoegd “, de </w:t>
      </w:r>
      <w:r w:rsidRPr="00102795">
        <w:rPr>
          <w:szCs w:val="18"/>
        </w:rPr>
        <w:t>inspecteur, bedoeld in artikel 1:3, eerste lid, onderdeel c, van de Algemene douanewet</w:t>
      </w:r>
      <w:r w:rsidRPr="00102795">
        <w:t>”.</w:t>
      </w:r>
    </w:p>
    <w:p w:rsidR="00B87D63" w:rsidP="0003710B" w:rsidRDefault="00B87D63" w14:paraId="175A7216" w14:textId="77777777">
      <w:pPr>
        <w:pStyle w:val="broodtekst"/>
        <w:spacing w:line="276" w:lineRule="auto"/>
      </w:pPr>
    </w:p>
    <w:p w:rsidR="00B87D63" w:rsidP="0003710B" w:rsidRDefault="00133A87" w14:paraId="27D86799" w14:textId="43F6AC2B">
      <w:pPr>
        <w:pStyle w:val="broodtekst"/>
        <w:spacing w:line="276" w:lineRule="auto"/>
      </w:pPr>
      <w:r>
        <w:t>C</w:t>
      </w:r>
    </w:p>
    <w:p w:rsidR="00B87D63" w:rsidP="0003710B" w:rsidRDefault="00B87D63" w14:paraId="3B767AFF" w14:textId="77777777">
      <w:pPr>
        <w:pStyle w:val="broodtekst"/>
        <w:spacing w:line="276" w:lineRule="auto"/>
      </w:pPr>
    </w:p>
    <w:p w:rsidRPr="00D86503" w:rsidR="00772050" w:rsidP="0003710B" w:rsidRDefault="00D22A75" w14:paraId="3C702705" w14:textId="002AC958">
      <w:pPr>
        <w:pStyle w:val="broodtekst"/>
        <w:spacing w:line="276" w:lineRule="auto"/>
        <w:rPr>
          <w:b/>
          <w:bCs/>
        </w:rPr>
      </w:pPr>
      <w:r>
        <w:t xml:space="preserve">Na artikel 6 </w:t>
      </w:r>
      <w:r w:rsidRPr="00B37F00" w:rsidR="00772050">
        <w:t xml:space="preserve">wordt </w:t>
      </w:r>
      <w:r>
        <w:t xml:space="preserve">een artikel ingevoegd, luidende: </w:t>
      </w:r>
    </w:p>
    <w:p w:rsidR="00B20BB8" w:rsidP="0003710B" w:rsidRDefault="00B20BB8" w14:paraId="71913B6E" w14:textId="77777777">
      <w:pPr>
        <w:widowControl w:val="0"/>
        <w:spacing w:line="276" w:lineRule="auto"/>
        <w:rPr>
          <w:szCs w:val="18"/>
        </w:rPr>
      </w:pPr>
    </w:p>
    <w:p w:rsidR="00B20BB8" w:rsidP="0003710B" w:rsidRDefault="00B20BB8" w14:paraId="253AC75C" w14:textId="07EBA34D">
      <w:pPr>
        <w:widowControl w:val="0"/>
        <w:spacing w:line="276" w:lineRule="auto"/>
      </w:pPr>
      <w:r w:rsidRPr="00B20BB8">
        <w:rPr>
          <w:b/>
          <w:bCs/>
          <w:szCs w:val="18"/>
        </w:rPr>
        <w:t>Artikel 6a</w:t>
      </w:r>
    </w:p>
    <w:p w:rsidR="00652FA5" w:rsidP="0003710B" w:rsidRDefault="00741AA0" w14:paraId="2CEC32C8" w14:textId="59A1D156">
      <w:pPr>
        <w:spacing w:line="276" w:lineRule="auto"/>
      </w:pPr>
      <w:r w:rsidRPr="004432F9">
        <w:t>Als bestuursorga</w:t>
      </w:r>
      <w:r w:rsidR="00D60463">
        <w:t>nen</w:t>
      </w:r>
      <w:r w:rsidRPr="004432F9">
        <w:t xml:space="preserve"> en rechtsperso</w:t>
      </w:r>
      <w:r w:rsidR="00D60463">
        <w:t>nen</w:t>
      </w:r>
      <w:r w:rsidRPr="004432F9">
        <w:t xml:space="preserve"> met een overheidstaak, bedoeld in </w:t>
      </w:r>
      <w:r w:rsidR="00652FA5">
        <w:t xml:space="preserve">artikel 7, tweede lid, </w:t>
      </w:r>
      <w:r w:rsidR="002D7EE7">
        <w:t xml:space="preserve">onderdeel </w:t>
      </w:r>
      <w:r w:rsidR="00652FA5">
        <w:t>d v</w:t>
      </w:r>
      <w:r w:rsidRPr="004432F9">
        <w:t>an de wet, worden aangewezen:</w:t>
      </w:r>
    </w:p>
    <w:p w:rsidR="004A5C7D" w:rsidP="004A5C7D" w:rsidRDefault="004A5C7D" w14:paraId="234EA5B7" w14:textId="77777777">
      <w:pPr>
        <w:pStyle w:val="Lijstalinea"/>
        <w:numPr>
          <w:ilvl w:val="0"/>
          <w:numId w:val="49"/>
        </w:numPr>
        <w:ind w:left="0" w:firstLine="0"/>
        <w:rPr>
          <w:szCs w:val="18"/>
        </w:rPr>
      </w:pPr>
      <w:r w:rsidRPr="004A5C7D">
        <w:rPr>
          <w:szCs w:val="18"/>
        </w:rPr>
        <w:t>Onze Minister van Financiën en Onze Ministers die het mede aangaat voor wat betreft de uitvoering van hun taak, bedoeld in artikel 22, tweede lid, onderdeel d, van Verordening (EU) 2021/241 van het Europees Parlement en de Raad van 12 februari 2021 tot instelling van de herstel- en veerkrachtfaciliteit;</w:t>
      </w:r>
    </w:p>
    <w:p w:rsidR="004A5C7D" w:rsidP="004A5C7D" w:rsidRDefault="004A5C7D" w14:paraId="38EBE82D" w14:textId="77777777">
      <w:pPr>
        <w:pStyle w:val="Lijstalinea"/>
        <w:numPr>
          <w:ilvl w:val="0"/>
          <w:numId w:val="49"/>
        </w:numPr>
        <w:ind w:left="0" w:firstLine="0"/>
        <w:rPr>
          <w:szCs w:val="18"/>
        </w:rPr>
      </w:pPr>
      <w:r w:rsidRPr="004A5C7D">
        <w:rPr>
          <w:szCs w:val="18"/>
        </w:rPr>
        <w:t>bestuursorganen en rechtspersonen met een overheidstaak als bedoeld in artikel 1, eerste lid, van de Wet bevordering integriteitsbeoordelingen openbaar bestuur, voor zover dat noodzakelijk is in de gevallen waarin zij bevoegd zijn tot toepassing van die wet;</w:t>
      </w:r>
    </w:p>
    <w:p w:rsidR="004A5C7D" w:rsidP="004A5C7D" w:rsidRDefault="004A5C7D" w14:paraId="636273E5" w14:textId="77777777">
      <w:pPr>
        <w:pStyle w:val="Lijstalinea"/>
        <w:numPr>
          <w:ilvl w:val="0"/>
          <w:numId w:val="49"/>
        </w:numPr>
        <w:ind w:left="0" w:firstLine="0"/>
        <w:rPr>
          <w:szCs w:val="18"/>
        </w:rPr>
      </w:pPr>
      <w:r w:rsidRPr="004A5C7D">
        <w:rPr>
          <w:szCs w:val="18"/>
        </w:rPr>
        <w:t>de Nederlandsche Bank N.V. voor wat betreft de beoordeling van betrouwbaarheid en geschiktheid van een persoon op grond van de Wet op het financieel toezicht of een vergelijkbare beoordeling op basis van een verordening als bedoeld in artikel 1:24, derde lid, van die wet en voor de uitvoering van haar taak op grond van artikel 25, tweede lid, van de Wet ter voorkoming van witwassen en financieren van terrorisme, artikel 106 van de Pensioenwet, artikel 110c van de Wet verplichte beroepspensioenregeling en artikel 10 van de Wet toezicht trustkantoren 2018;</w:t>
      </w:r>
    </w:p>
    <w:p w:rsidR="004A5C7D" w:rsidP="004A5C7D" w:rsidRDefault="004A5C7D" w14:paraId="52ED2DAC" w14:textId="44BA4808">
      <w:pPr>
        <w:pStyle w:val="Lijstalinea"/>
        <w:numPr>
          <w:ilvl w:val="0"/>
          <w:numId w:val="49"/>
        </w:numPr>
        <w:ind w:left="0" w:firstLine="0"/>
        <w:rPr>
          <w:szCs w:val="18"/>
        </w:rPr>
      </w:pPr>
      <w:r w:rsidRPr="004A5C7D">
        <w:rPr>
          <w:szCs w:val="18"/>
        </w:rPr>
        <w:t>de Stichting Autoriteit Financiële Markten voor wat betreft de beoordeling van betrouwbaarheid en geschiktheid van een persoon op grond van de Wet op het financieel toezicht of een vergelijkbare beoordeling op basis van een verordening als bedoeld in artikel 1:25, derde lid, van die wet en voor de uitvoering van haar taken op grond van de artikelen</w:t>
      </w:r>
      <w:r w:rsidR="001F436A">
        <w:t xml:space="preserve"> 2:55, 2:60, 2:65,</w:t>
      </w:r>
      <w:r w:rsidR="001E4197">
        <w:t xml:space="preserve"> </w:t>
      </w:r>
      <w:r w:rsidR="001F436A">
        <w:t>2:80,</w:t>
      </w:r>
      <w:r w:rsidR="001E4197">
        <w:t xml:space="preserve"> 2:96</w:t>
      </w:r>
      <w:r w:rsidR="00CB51A8">
        <w:t xml:space="preserve"> en </w:t>
      </w:r>
      <w:r w:rsidRPr="0028495E">
        <w:rPr>
          <w:szCs w:val="18"/>
        </w:rPr>
        <w:t>4:13</w:t>
      </w:r>
      <w:r w:rsidRPr="004A5C7D">
        <w:rPr>
          <w:szCs w:val="18"/>
        </w:rPr>
        <w:t xml:space="preserve"> van de Wet op het financieel toezicht, de artikelen 6, 14, 15, 16, 18, 19, 21, 24b en 48a van de Wet toezicht accountantsorganisaties, de artikelen 2 tot en met 4 van de Wet toezicht financiële verslaggeving, artikel 8:8 van de Wet handhaving consument</w:t>
      </w:r>
      <w:r w:rsidR="00E04BE7">
        <w:rPr>
          <w:szCs w:val="18"/>
        </w:rPr>
        <w:t>en</w:t>
      </w:r>
      <w:r w:rsidRPr="004A5C7D">
        <w:rPr>
          <w:szCs w:val="18"/>
        </w:rPr>
        <w:t xml:space="preserve">bescherming, </w:t>
      </w:r>
      <w:r w:rsidRPr="004769AC" w:rsidR="000442C4">
        <w:t>artikelen 14 en 15 van de Verordening (EU) 596/2014 van het Europees Parlement en de Raad van 16 april 2014 betreffende marktmisbruik en houdende intrekking van Richtlijn 2003/6/EG van het Europees Parlement en de Raad en Richtlijnen 2003/124, 2003/125/EG en 2004/72/EG van de Commissie</w:t>
      </w:r>
      <w:r w:rsidR="000442C4">
        <w:t xml:space="preserve">, </w:t>
      </w:r>
      <w:r w:rsidRPr="004A5C7D">
        <w:rPr>
          <w:szCs w:val="18"/>
        </w:rPr>
        <w:t>de artikelen 4</w:t>
      </w:r>
      <w:r w:rsidR="00CB51A8">
        <w:rPr>
          <w:szCs w:val="18"/>
        </w:rPr>
        <w:t xml:space="preserve"> en </w:t>
      </w:r>
      <w:r w:rsidRPr="004A5C7D">
        <w:rPr>
          <w:szCs w:val="18"/>
        </w:rPr>
        <w:t>8 van de Verordening (EU) 2020/1503 van het Europees Parlement en de Raad van 7 oktober 2020 betreffende Europese crowdfundingdienstverleners voor bedrijven en tot wijziging van Verordening (EU) 2017/1129 en Richtlijn (EU) 2019/1937, artikel 20, eerste, tweede en vierde lid van de Verordening (EU) 2017/1129 van het Europees Parlement en de Raad van 14 juni 2017 betreffende het prospectus dat moet worden gepubliceerd wanneer effecten aan het publiek worden aangeboden of tot de handel op een gereglementeerde markt worden toegelaten en tot intrekking van Richtlijn 2003/71/EG en de artikelen 2, 12, 36, 37 en 38 van de Gedelegeerde Verordening (EU) 2019/980 van de Commissie van 14 maart 2019 tot aanvulling van Verordening (EU) 2017/1129 van het Europees Parlement en de Raad wat betreft de vorm, de inhoud, de controle en de goedkeuring van het prospectus dat moet worden gepubliceerd wanneer effecten aan het publiek worden aangeboden of tot de handel op een gereglementeerde markt worden toegelaten, en tot intrekking van Verordening (EG) nr. 809/2004 van de Commissie;</w:t>
      </w:r>
    </w:p>
    <w:p w:rsidR="004A5C7D" w:rsidP="004A5C7D" w:rsidRDefault="004A5C7D" w14:paraId="47AD4D4A" w14:textId="52C182AB">
      <w:pPr>
        <w:pStyle w:val="Lijstalinea"/>
        <w:numPr>
          <w:ilvl w:val="0"/>
          <w:numId w:val="49"/>
        </w:numPr>
        <w:ind w:left="0" w:firstLine="0"/>
        <w:rPr>
          <w:szCs w:val="18"/>
        </w:rPr>
      </w:pPr>
      <w:r w:rsidRPr="004A5C7D">
        <w:rPr>
          <w:szCs w:val="18"/>
        </w:rPr>
        <w:t>Onze Minister van Economische Zaken voor wat betreft de uitvoering van zijn taak op grond van artikel 34</w:t>
      </w:r>
      <w:r w:rsidR="002458DB">
        <w:rPr>
          <w:szCs w:val="18"/>
        </w:rPr>
        <w:t>, eerste en tweede lid,</w:t>
      </w:r>
      <w:r w:rsidRPr="004A5C7D">
        <w:rPr>
          <w:szCs w:val="18"/>
        </w:rPr>
        <w:t xml:space="preserve"> van de Wet veiligheidstoets investeringen, fusies en overnames;</w:t>
      </w:r>
    </w:p>
    <w:p w:rsidR="004A5C7D" w:rsidP="004A5C7D" w:rsidRDefault="004A5C7D" w14:paraId="1D09E2BA" w14:textId="396A4228">
      <w:pPr>
        <w:pStyle w:val="Lijstalinea"/>
        <w:numPr>
          <w:ilvl w:val="0"/>
          <w:numId w:val="49"/>
        </w:numPr>
        <w:ind w:left="0" w:firstLine="0"/>
        <w:rPr>
          <w:szCs w:val="18"/>
        </w:rPr>
      </w:pPr>
      <w:r w:rsidRPr="004A5C7D">
        <w:rPr>
          <w:szCs w:val="18"/>
        </w:rPr>
        <w:t>een gerechtsdeurwaarder voor wat betreft de uitvoering van zijn taak op grond van artikel 2 van de Gerechtsdeurwaarderswet;</w:t>
      </w:r>
    </w:p>
    <w:p w:rsidRPr="004E1036" w:rsidR="0041783D" w:rsidP="004A5C7D" w:rsidRDefault="0041783D" w14:paraId="2D3BC209" w14:textId="199B6EFE">
      <w:pPr>
        <w:pStyle w:val="Lijstalinea"/>
        <w:numPr>
          <w:ilvl w:val="0"/>
          <w:numId w:val="49"/>
        </w:numPr>
        <w:ind w:left="0" w:firstLine="0"/>
        <w:rPr>
          <w:szCs w:val="18"/>
        </w:rPr>
      </w:pPr>
      <w:r w:rsidRPr="0041783D">
        <w:t>een notaris voor wat betreft de uitoefening van zijn taak op grond van artikel 2 van de Wet op het notarisambt;</w:t>
      </w:r>
    </w:p>
    <w:p w:rsidR="004E1036" w:rsidP="004A5C7D" w:rsidRDefault="004E1036" w14:paraId="6BDA3B4C" w14:textId="49D29912">
      <w:pPr>
        <w:pStyle w:val="Lijstalinea"/>
        <w:numPr>
          <w:ilvl w:val="0"/>
          <w:numId w:val="49"/>
        </w:numPr>
        <w:ind w:left="0" w:firstLine="0"/>
        <w:rPr>
          <w:szCs w:val="18"/>
        </w:rPr>
      </w:pPr>
      <w:r w:rsidRPr="004E1036">
        <w:rPr>
          <w:szCs w:val="18"/>
        </w:rPr>
        <w:t>het Bureau Financieel Toezicht voor wat betreft de uitvoering van zijn taak op grond van artikel 30 van de Gerechtsdeurwaarderswet en artikel 110, eerste lid, van de Wet op het notarisambt</w:t>
      </w:r>
    </w:p>
    <w:p w:rsidR="004A5C7D" w:rsidP="004A5C7D" w:rsidRDefault="004A5C7D" w14:paraId="7E77AC8C" w14:textId="77777777">
      <w:pPr>
        <w:pStyle w:val="Lijstalinea"/>
        <w:numPr>
          <w:ilvl w:val="0"/>
          <w:numId w:val="49"/>
        </w:numPr>
        <w:ind w:left="0" w:firstLine="0"/>
        <w:rPr>
          <w:szCs w:val="18"/>
        </w:rPr>
      </w:pPr>
      <w:r w:rsidRPr="004A5C7D">
        <w:rPr>
          <w:szCs w:val="18"/>
        </w:rPr>
        <w:t>Onze Ministers die het aangaat en de door hen aangewezen beheerautoriteiten wat betreft de uitvoering van hun taak op grond van de artikelen 69, tweede lid, en 72, eerste lid, onderdeel e, van de Verordening (EU) 2021/1060 van het Europees Parlement en de Raad van 24 juni 2021 houdende gemeenschappelijke bepalingen inzake het Europees Fonds voor regionale 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 financiële steun voor grensbeheer en visumbeleid;</w:t>
      </w:r>
    </w:p>
    <w:p w:rsidR="002D27CB" w:rsidP="002D27CB" w:rsidRDefault="002D27CB" w14:paraId="4DA904AA" w14:textId="03E60445">
      <w:pPr>
        <w:pStyle w:val="Lijstalinea"/>
        <w:numPr>
          <w:ilvl w:val="0"/>
          <w:numId w:val="49"/>
        </w:numPr>
        <w:ind w:left="0" w:firstLine="0"/>
        <w:rPr>
          <w:szCs w:val="18"/>
        </w:rPr>
      </w:pPr>
      <w:r w:rsidRPr="002D27CB">
        <w:rPr>
          <w:szCs w:val="18"/>
        </w:rPr>
        <w:t>de Nationale en Internationale Wegvervoer Organisatie voor wat betreft de uitvoering van haar taak op grond van artikel 1 septvicies quater, eerste lid quinquies, van de Verordening (EG) 765/2006 van de Raad van 18 mei 2006 betreffende beperkende maatregelen tegen president Loekasjenko en bepaalde functionarissen van Belarus en artikel 3 terdecies, eerste lid quinquies, van de Verordening (EU) 833/2014 van de Raad van 31 juli 2014 betreffende beperkende maatregelen naar aanleiding van de acties van Rusland die de situatie in Oekraïne destabiliseren;</w:t>
      </w:r>
    </w:p>
    <w:p w:rsidRPr="002D27CB" w:rsidR="007441AA" w:rsidP="002D27CB" w:rsidRDefault="007441AA" w14:paraId="283454F1" w14:textId="2F079136">
      <w:pPr>
        <w:pStyle w:val="Lijstalinea"/>
        <w:numPr>
          <w:ilvl w:val="0"/>
          <w:numId w:val="49"/>
        </w:numPr>
        <w:ind w:left="0" w:firstLine="0"/>
        <w:rPr>
          <w:szCs w:val="18"/>
        </w:rPr>
      </w:pPr>
      <w:r w:rsidRPr="002D27CB">
        <w:rPr>
          <w:szCs w:val="18"/>
        </w:rPr>
        <w:t xml:space="preserve">Onze Minister van Binnenlandse Zaken en Koninkrijksrelaties voor wat betreft de uitvoering van zijn taak op grond van artikel 37, eerste lid, van de Wet financiering politieke partijen voor </w:t>
      </w:r>
      <w:r w:rsidRPr="002D27CB" w:rsidR="00505DC9">
        <w:rPr>
          <w:szCs w:val="18"/>
        </w:rPr>
        <w:t xml:space="preserve">zover deze taak ziet op </w:t>
      </w:r>
      <w:r w:rsidRPr="002D27CB">
        <w:rPr>
          <w:szCs w:val="18"/>
        </w:rPr>
        <w:t>de artikelen 21, 25, 25a, 28 en 28a van de Wet financiering politieke partijen.</w:t>
      </w:r>
    </w:p>
    <w:p w:rsidRPr="004A5C7D" w:rsidR="007441AA" w:rsidP="007F0ED6" w:rsidRDefault="007441AA" w14:paraId="67912123" w14:textId="77777777">
      <w:pPr>
        <w:pStyle w:val="Lijstalinea"/>
        <w:ind w:left="0"/>
        <w:rPr>
          <w:szCs w:val="18"/>
        </w:rPr>
      </w:pPr>
    </w:p>
    <w:p w:rsidR="0018041A" w:rsidP="001B7222" w:rsidRDefault="0018041A" w14:paraId="5383C1C5" w14:textId="77777777">
      <w:pPr>
        <w:spacing w:line="276" w:lineRule="auto"/>
        <w:rPr>
          <w:b/>
          <w:bCs/>
        </w:rPr>
      </w:pPr>
    </w:p>
    <w:p w:rsidRPr="003B7EAF" w:rsidR="00EA2B4D" w:rsidP="001B7222" w:rsidRDefault="003B7EAF" w14:paraId="25497654" w14:textId="038D019E">
      <w:pPr>
        <w:spacing w:line="276" w:lineRule="auto"/>
        <w:rPr>
          <w:b/>
          <w:bCs/>
        </w:rPr>
      </w:pPr>
      <w:r w:rsidRPr="003B7EAF">
        <w:rPr>
          <w:b/>
          <w:bCs/>
        </w:rPr>
        <w:t>ARTIKEL III</w:t>
      </w:r>
    </w:p>
    <w:p w:rsidR="003B7EAF" w:rsidP="001B7222" w:rsidRDefault="003B7EAF" w14:paraId="14DE5B38" w14:textId="77777777">
      <w:pPr>
        <w:spacing w:line="276" w:lineRule="auto"/>
      </w:pPr>
    </w:p>
    <w:p w:rsidR="007E797D" w:rsidP="001B7222" w:rsidRDefault="00946856" w14:paraId="3653EA92" w14:textId="1CFA5D02">
      <w:pPr>
        <w:widowControl w:val="0"/>
        <w:spacing w:line="276" w:lineRule="auto"/>
        <w:rPr>
          <w:rFonts w:cs="Arial"/>
          <w:bCs/>
          <w:szCs w:val="18"/>
        </w:rPr>
      </w:pPr>
      <w:r>
        <w:rPr>
          <w:rFonts w:cs="Arial"/>
          <w:bCs/>
          <w:szCs w:val="18"/>
        </w:rPr>
        <w:t>Artikel 7 van het</w:t>
      </w:r>
      <w:r w:rsidR="007E797D">
        <w:rPr>
          <w:rFonts w:cs="Arial"/>
          <w:b/>
          <w:szCs w:val="18"/>
        </w:rPr>
        <w:t xml:space="preserve"> </w:t>
      </w:r>
      <w:r w:rsidRPr="007E797D" w:rsidR="007E797D">
        <w:rPr>
          <w:rFonts w:cs="Arial"/>
          <w:b/>
          <w:szCs w:val="18"/>
        </w:rPr>
        <w:t>Besluit veiligheidstoets investeringen, fusies en overnames</w:t>
      </w:r>
      <w:r w:rsidR="007E797D">
        <w:rPr>
          <w:rFonts w:cs="Arial"/>
          <w:b/>
          <w:szCs w:val="18"/>
        </w:rPr>
        <w:t xml:space="preserve"> </w:t>
      </w:r>
      <w:r w:rsidRPr="00AE3E4B">
        <w:rPr>
          <w:rFonts w:cs="Arial"/>
          <w:bCs/>
          <w:szCs w:val="18"/>
        </w:rPr>
        <w:t>vervalt.</w:t>
      </w:r>
    </w:p>
    <w:p w:rsidR="00D1149D" w:rsidP="001B7222" w:rsidRDefault="00D1149D" w14:paraId="42AD03C6" w14:textId="77777777">
      <w:pPr>
        <w:widowControl w:val="0"/>
        <w:spacing w:line="276" w:lineRule="auto"/>
        <w:rPr>
          <w:rFonts w:cs="Arial"/>
          <w:bCs/>
          <w:szCs w:val="18"/>
        </w:rPr>
      </w:pPr>
    </w:p>
    <w:p w:rsidR="00D1149D" w:rsidP="001B7222" w:rsidRDefault="00D1149D" w14:paraId="212AA134" w14:textId="77777777">
      <w:pPr>
        <w:widowControl w:val="0"/>
        <w:spacing w:line="276" w:lineRule="auto"/>
        <w:rPr>
          <w:rFonts w:cs="Arial"/>
          <w:bCs/>
          <w:szCs w:val="18"/>
        </w:rPr>
      </w:pPr>
    </w:p>
    <w:p w:rsidRPr="001E09B6" w:rsidR="00C5303E" w:rsidP="001B7222" w:rsidRDefault="00C5303E" w14:paraId="69476944" w14:textId="4D76EDAA">
      <w:pPr>
        <w:widowControl w:val="0"/>
        <w:spacing w:line="276" w:lineRule="auto"/>
        <w:rPr>
          <w:rFonts w:cs="Arial"/>
          <w:b/>
          <w:szCs w:val="18"/>
        </w:rPr>
      </w:pPr>
      <w:r w:rsidRPr="001E09B6">
        <w:rPr>
          <w:rFonts w:cs="Arial"/>
          <w:b/>
          <w:szCs w:val="18"/>
        </w:rPr>
        <w:t>A</w:t>
      </w:r>
      <w:r w:rsidR="00576959">
        <w:rPr>
          <w:rFonts w:cs="Arial"/>
          <w:b/>
          <w:szCs w:val="18"/>
        </w:rPr>
        <w:t>RTIKEL</w:t>
      </w:r>
      <w:r w:rsidRPr="001E09B6">
        <w:rPr>
          <w:rFonts w:cs="Arial"/>
          <w:b/>
          <w:szCs w:val="18"/>
        </w:rPr>
        <w:t xml:space="preserve"> IV</w:t>
      </w:r>
    </w:p>
    <w:p w:rsidRPr="001E09B6" w:rsidR="001E09B6" w:rsidP="00B861DA" w:rsidRDefault="001E09B6" w14:paraId="28AC8A63" w14:textId="2239868F">
      <w:pPr>
        <w:pStyle w:val="pf0"/>
        <w:spacing w:line="276" w:lineRule="auto"/>
        <w:rPr>
          <w:rStyle w:val="cf01"/>
          <w:rFonts w:ascii="Verdana" w:hAnsi="Verdana"/>
        </w:rPr>
      </w:pPr>
      <w:r w:rsidRPr="001E09B6">
        <w:rPr>
          <w:rFonts w:ascii="Verdana" w:hAnsi="Verdana" w:cs="Segoe UI"/>
          <w:sz w:val="18"/>
          <w:szCs w:val="18"/>
        </w:rPr>
        <w:t xml:space="preserve">Indien het bij koninklijke boodschap van 13 januari 2025 ingediende voorstel van wet </w:t>
      </w:r>
      <w:r w:rsidR="00A71298">
        <w:rPr>
          <w:rFonts w:ascii="Verdana" w:hAnsi="Verdana" w:cs="Segoe UI"/>
          <w:sz w:val="18"/>
          <w:szCs w:val="18"/>
        </w:rPr>
        <w:t>tot w</w:t>
      </w:r>
      <w:r w:rsidRPr="001E09B6">
        <w:rPr>
          <w:rFonts w:ascii="Verdana" w:hAnsi="Verdana" w:cs="Segoe UI"/>
          <w:sz w:val="18"/>
          <w:szCs w:val="18"/>
        </w:rPr>
        <w:t xml:space="preserve">ijziging van de Wet toezicht accountantsorganisaties, de Wet op het financieel toezicht, het Burgerlijk Wetboek en enige andere wetten in verband met de implementatie van Richtlijn (EU) 2022/2464 met betrekking tot duurzaamheidsrapportering door ondernemingen </w:t>
      </w:r>
      <w:r>
        <w:rPr>
          <w:rFonts w:ascii="Verdana" w:hAnsi="Verdana" w:cs="Segoe UI"/>
          <w:sz w:val="18"/>
          <w:szCs w:val="18"/>
        </w:rPr>
        <w:t>(</w:t>
      </w:r>
      <w:r w:rsidRPr="001E09B6">
        <w:rPr>
          <w:rFonts w:ascii="Verdana" w:hAnsi="Verdana" w:cs="Segoe UI"/>
          <w:sz w:val="18"/>
          <w:szCs w:val="18"/>
        </w:rPr>
        <w:t>36678</w:t>
      </w:r>
      <w:r>
        <w:rPr>
          <w:rFonts w:ascii="Verdana" w:hAnsi="Verdana" w:cs="Segoe UI"/>
          <w:sz w:val="18"/>
          <w:szCs w:val="18"/>
        </w:rPr>
        <w:t xml:space="preserve">) </w:t>
      </w:r>
      <w:r w:rsidRPr="001E09B6">
        <w:rPr>
          <w:rFonts w:ascii="Verdana" w:hAnsi="Verdana" w:cs="Segoe UI"/>
          <w:sz w:val="18"/>
          <w:szCs w:val="18"/>
        </w:rPr>
        <w:t>tot wet is of wordt verheve</w:t>
      </w:r>
      <w:r>
        <w:rPr>
          <w:rFonts w:ascii="Verdana" w:hAnsi="Verdana" w:cs="Segoe UI"/>
          <w:sz w:val="18"/>
          <w:szCs w:val="18"/>
        </w:rPr>
        <w:t>n</w:t>
      </w:r>
      <w:r w:rsidR="00A71298">
        <w:rPr>
          <w:rFonts w:ascii="Verdana" w:hAnsi="Verdana" w:cs="Segoe UI"/>
          <w:sz w:val="18"/>
          <w:szCs w:val="18"/>
        </w:rPr>
        <w:t xml:space="preserve"> en die wet in werking treedt</w:t>
      </w:r>
      <w:r>
        <w:rPr>
          <w:rFonts w:ascii="Verdana" w:hAnsi="Verdana" w:cs="Segoe UI"/>
          <w:sz w:val="18"/>
          <w:szCs w:val="18"/>
        </w:rPr>
        <w:t>:</w:t>
      </w:r>
    </w:p>
    <w:p w:rsidR="00A71298" w:rsidP="00A71298" w:rsidRDefault="000B3D96" w14:paraId="2970DC76" w14:textId="5BCD7FF8">
      <w:pPr>
        <w:pStyle w:val="pf1"/>
        <w:numPr>
          <w:ilvl w:val="0"/>
          <w:numId w:val="48"/>
        </w:numPr>
        <w:spacing w:line="276" w:lineRule="auto"/>
        <w:ind w:left="0" w:firstLine="0"/>
        <w:rPr>
          <w:rFonts w:ascii="Verdana" w:hAnsi="Verdana" w:cs="Segoe UI"/>
          <w:sz w:val="18"/>
          <w:szCs w:val="18"/>
        </w:rPr>
      </w:pPr>
      <w:r w:rsidRPr="006454DE">
        <w:rPr>
          <w:rFonts w:ascii="Verdana" w:hAnsi="Verdana"/>
          <w:sz w:val="18"/>
          <w:szCs w:val="18"/>
        </w:rPr>
        <w:t xml:space="preserve">Wordt in </w:t>
      </w:r>
      <w:r w:rsidRPr="00C17E95" w:rsidR="006A0CE7">
        <w:rPr>
          <w:rFonts w:ascii="Verdana" w:hAnsi="Verdana" w:cs="Segoe UI"/>
          <w:sz w:val="18"/>
          <w:szCs w:val="18"/>
        </w:rPr>
        <w:t xml:space="preserve">artikel </w:t>
      </w:r>
      <w:r w:rsidRPr="00C17E95">
        <w:rPr>
          <w:rFonts w:ascii="Verdana" w:hAnsi="Verdana" w:cs="Segoe UI"/>
          <w:sz w:val="18"/>
          <w:szCs w:val="18"/>
        </w:rPr>
        <w:t>51aa</w:t>
      </w:r>
      <w:r w:rsidRPr="00C17E95" w:rsidR="00C17E95">
        <w:rPr>
          <w:rFonts w:ascii="Verdana" w:hAnsi="Verdana" w:cs="Segoe UI"/>
          <w:sz w:val="18"/>
          <w:szCs w:val="18"/>
        </w:rPr>
        <w:t xml:space="preserve"> van het </w:t>
      </w:r>
      <w:r w:rsidRPr="00C17E95" w:rsidR="00C17E95">
        <w:rPr>
          <w:rFonts w:ascii="Verdana" w:hAnsi="Verdana" w:cs="Segoe UI"/>
          <w:b/>
          <w:bCs/>
          <w:sz w:val="18"/>
          <w:szCs w:val="18"/>
        </w:rPr>
        <w:t>Handelsregisterbesluit 2008</w:t>
      </w:r>
      <w:r w:rsidRPr="00C17E95" w:rsidR="00C17E95">
        <w:rPr>
          <w:rFonts w:ascii="Verdana" w:hAnsi="Verdana" w:cs="Segoe UI"/>
          <w:sz w:val="18"/>
          <w:szCs w:val="18"/>
        </w:rPr>
        <w:t xml:space="preserve"> </w:t>
      </w:r>
      <w:r w:rsidRPr="00C17E95" w:rsidR="006A0CE7">
        <w:rPr>
          <w:rFonts w:ascii="Verdana" w:hAnsi="Verdana" w:cs="Segoe UI"/>
          <w:sz w:val="18"/>
          <w:szCs w:val="18"/>
        </w:rPr>
        <w:t>“</w:t>
      </w:r>
      <w:r w:rsidRPr="006454DE" w:rsidR="006A0CE7">
        <w:rPr>
          <w:rFonts w:ascii="Verdana" w:hAnsi="Verdana" w:cs="Segoe UI"/>
          <w:sz w:val="18"/>
          <w:szCs w:val="18"/>
        </w:rPr>
        <w:t>de Wet toezicht financiële verslaggeving</w:t>
      </w:r>
      <w:r w:rsidR="00A43ACE">
        <w:rPr>
          <w:rFonts w:ascii="Verdana" w:hAnsi="Verdana" w:cs="Segoe UI"/>
          <w:sz w:val="18"/>
          <w:szCs w:val="18"/>
        </w:rPr>
        <w:t>”</w:t>
      </w:r>
      <w:r w:rsidRPr="006454DE" w:rsidR="006A0CE7">
        <w:rPr>
          <w:rFonts w:ascii="Verdana" w:hAnsi="Verdana"/>
          <w:sz w:val="18"/>
          <w:szCs w:val="18"/>
        </w:rPr>
        <w:t xml:space="preserve"> </w:t>
      </w:r>
      <w:r w:rsidRPr="006454DE">
        <w:rPr>
          <w:rFonts w:ascii="Verdana" w:hAnsi="Verdana"/>
          <w:sz w:val="18"/>
          <w:szCs w:val="18"/>
        </w:rPr>
        <w:t xml:space="preserve">vervangen door </w:t>
      </w:r>
      <w:r w:rsidR="006034C9">
        <w:rPr>
          <w:rFonts w:ascii="Verdana" w:hAnsi="Verdana"/>
          <w:sz w:val="18"/>
          <w:szCs w:val="18"/>
        </w:rPr>
        <w:t>“</w:t>
      </w:r>
      <w:r w:rsidRPr="006034C9" w:rsidR="006034C9">
        <w:rPr>
          <w:rFonts w:ascii="Verdana" w:hAnsi="Verdana"/>
          <w:sz w:val="18"/>
          <w:szCs w:val="18"/>
        </w:rPr>
        <w:t>Wet toezicht verslaggeving effectenuitgevende instellingen</w:t>
      </w:r>
      <w:r w:rsidR="006034C9">
        <w:rPr>
          <w:rFonts w:ascii="Verdana" w:hAnsi="Verdana"/>
          <w:sz w:val="18"/>
          <w:szCs w:val="18"/>
        </w:rPr>
        <w:t>”</w:t>
      </w:r>
      <w:r w:rsidRPr="006454DE">
        <w:rPr>
          <w:rFonts w:ascii="Verdana" w:hAnsi="Verdana"/>
          <w:sz w:val="18"/>
          <w:szCs w:val="18"/>
        </w:rPr>
        <w:t>;</w:t>
      </w:r>
    </w:p>
    <w:p w:rsidRPr="002612AF" w:rsidR="002612AF" w:rsidP="002612AF" w:rsidRDefault="000B3D96" w14:paraId="48F9B0E6" w14:textId="39FE8EBC">
      <w:pPr>
        <w:pStyle w:val="pf1"/>
        <w:numPr>
          <w:ilvl w:val="0"/>
          <w:numId w:val="48"/>
        </w:numPr>
        <w:spacing w:line="276" w:lineRule="auto"/>
        <w:ind w:left="0" w:firstLine="0"/>
        <w:rPr>
          <w:rFonts w:ascii="Verdana" w:hAnsi="Verdana" w:cs="Segoe UI"/>
          <w:sz w:val="18"/>
          <w:szCs w:val="18"/>
        </w:rPr>
      </w:pPr>
      <w:r w:rsidRPr="00A71298">
        <w:rPr>
          <w:rFonts w:ascii="Verdana" w:hAnsi="Verdana"/>
          <w:sz w:val="18"/>
          <w:szCs w:val="18"/>
        </w:rPr>
        <w:t xml:space="preserve">Wordt in </w:t>
      </w:r>
      <w:r w:rsidRPr="00A71298" w:rsidR="006A2510">
        <w:rPr>
          <w:rFonts w:ascii="Verdana" w:hAnsi="Verdana"/>
          <w:sz w:val="18"/>
          <w:szCs w:val="18"/>
        </w:rPr>
        <w:t>artikel 6a</w:t>
      </w:r>
      <w:r w:rsidR="00C17E95">
        <w:rPr>
          <w:rFonts w:ascii="Verdana" w:hAnsi="Verdana"/>
          <w:sz w:val="18"/>
          <w:szCs w:val="18"/>
        </w:rPr>
        <w:t xml:space="preserve"> van het </w:t>
      </w:r>
      <w:r w:rsidRPr="00C17E95" w:rsidR="00C17E95">
        <w:rPr>
          <w:rFonts w:ascii="Verdana" w:hAnsi="Verdana"/>
          <w:b/>
          <w:bCs/>
          <w:sz w:val="18"/>
          <w:szCs w:val="18"/>
        </w:rPr>
        <w:t>Implementatiebesluit registratie uiteindelijk belanghebbenden van trusts en soortgelijke juridische constructies</w:t>
      </w:r>
      <w:r w:rsidRPr="00C17E95" w:rsidR="00C17E95">
        <w:rPr>
          <w:rFonts w:ascii="Verdana" w:hAnsi="Verdana"/>
          <w:sz w:val="18"/>
          <w:szCs w:val="18"/>
        </w:rPr>
        <w:t xml:space="preserve"> </w:t>
      </w:r>
      <w:r w:rsidRPr="00A71298" w:rsidR="006A2510">
        <w:rPr>
          <w:rFonts w:ascii="Verdana" w:hAnsi="Verdana"/>
          <w:sz w:val="18"/>
          <w:szCs w:val="18"/>
        </w:rPr>
        <w:t>“</w:t>
      </w:r>
      <w:r w:rsidRPr="00A71298" w:rsidR="006A2510">
        <w:rPr>
          <w:rFonts w:ascii="Verdana" w:hAnsi="Verdana" w:cs="Segoe UI"/>
          <w:sz w:val="18"/>
          <w:szCs w:val="18"/>
        </w:rPr>
        <w:t>de Wet toezicht financiële verslaggeving”</w:t>
      </w:r>
      <w:r w:rsidRPr="00A71298" w:rsidR="006A2510">
        <w:rPr>
          <w:rFonts w:ascii="Verdana" w:hAnsi="Verdana"/>
          <w:sz w:val="18"/>
          <w:szCs w:val="18"/>
        </w:rPr>
        <w:t xml:space="preserve"> vervangen door “Wet toezicht verslaggeving effectenuitgevende instellingen”.</w:t>
      </w:r>
    </w:p>
    <w:p w:rsidR="002612AF" w:rsidP="001B7222" w:rsidRDefault="002612AF" w14:paraId="5B43D790" w14:textId="77777777">
      <w:pPr>
        <w:widowControl w:val="0"/>
        <w:spacing w:line="276" w:lineRule="auto"/>
        <w:rPr>
          <w:b/>
          <w:szCs w:val="18"/>
        </w:rPr>
      </w:pPr>
    </w:p>
    <w:p w:rsidRPr="00B37F00" w:rsidR="00895520" w:rsidP="001B7222" w:rsidRDefault="00895520" w14:paraId="41320AE0" w14:textId="5CDE67E0">
      <w:pPr>
        <w:widowControl w:val="0"/>
        <w:spacing w:line="276" w:lineRule="auto"/>
        <w:rPr>
          <w:b/>
          <w:szCs w:val="18"/>
        </w:rPr>
      </w:pPr>
      <w:r w:rsidRPr="00B37F00">
        <w:rPr>
          <w:b/>
          <w:szCs w:val="18"/>
        </w:rPr>
        <w:t>ARTIKEL</w:t>
      </w:r>
      <w:r w:rsidR="004935D9">
        <w:rPr>
          <w:b/>
          <w:szCs w:val="18"/>
        </w:rPr>
        <w:t xml:space="preserve"> </w:t>
      </w:r>
      <w:r w:rsidR="00C5303E">
        <w:rPr>
          <w:b/>
          <w:szCs w:val="18"/>
        </w:rPr>
        <w:t>V</w:t>
      </w:r>
    </w:p>
    <w:p w:rsidRPr="00B37F00" w:rsidR="00895520" w:rsidP="001B7222" w:rsidRDefault="00895520" w14:paraId="37D8178E" w14:textId="77777777">
      <w:pPr>
        <w:widowControl w:val="0"/>
        <w:spacing w:line="276" w:lineRule="auto"/>
        <w:rPr>
          <w:szCs w:val="18"/>
        </w:rPr>
      </w:pPr>
    </w:p>
    <w:p w:rsidRPr="00B37F00" w:rsidR="00895520" w:rsidP="001B7222" w:rsidRDefault="00895520" w14:paraId="780C76CD" w14:textId="3AC9DF93">
      <w:pPr>
        <w:widowControl w:val="0"/>
        <w:spacing w:line="276" w:lineRule="auto"/>
        <w:rPr>
          <w:rFonts w:cs="Arial"/>
          <w:b/>
          <w:szCs w:val="18"/>
        </w:rPr>
      </w:pPr>
      <w:r>
        <w:rPr>
          <w:szCs w:val="18"/>
        </w:rPr>
        <w:t>Dit besluit</w:t>
      </w:r>
      <w:r w:rsidRPr="00B37F00">
        <w:rPr>
          <w:szCs w:val="18"/>
        </w:rPr>
        <w:t xml:space="preserve"> treedt in werking op een bij koninklijk besluit te bepalen tijdstip dat voor de verschillende artikelen of onderdelen daarvan verschillend kan worden vastgesteld. </w:t>
      </w:r>
    </w:p>
    <w:p w:rsidR="00895520" w:rsidP="001B7222" w:rsidRDefault="00895520" w14:paraId="11369CF9" w14:textId="77777777">
      <w:pPr>
        <w:spacing w:line="276" w:lineRule="auto"/>
      </w:pPr>
    </w:p>
    <w:p w:rsidR="00AA6022" w:rsidP="001B7222" w:rsidRDefault="00AA6022" w14:paraId="0B2C0493" w14:textId="77777777">
      <w:pPr>
        <w:widowControl w:val="0"/>
        <w:spacing w:line="276" w:lineRule="auto"/>
        <w:rPr>
          <w:rFonts w:cs="Arial"/>
          <w:b/>
          <w:szCs w:val="18"/>
        </w:rPr>
      </w:pPr>
    </w:p>
    <w:p w:rsidRPr="00B37F00" w:rsidR="00895520" w:rsidP="001B7222" w:rsidRDefault="00895520" w14:paraId="221F3265" w14:textId="4C77BF2F">
      <w:pPr>
        <w:widowControl w:val="0"/>
        <w:spacing w:line="276" w:lineRule="auto"/>
        <w:rPr>
          <w:rFonts w:cs="Arial"/>
          <w:b/>
          <w:szCs w:val="18"/>
        </w:rPr>
      </w:pPr>
      <w:r w:rsidRPr="00B37F00">
        <w:rPr>
          <w:rFonts w:cs="Arial"/>
          <w:b/>
          <w:szCs w:val="18"/>
        </w:rPr>
        <w:t xml:space="preserve">ARTIKEL </w:t>
      </w:r>
      <w:r w:rsidR="004935D9">
        <w:rPr>
          <w:rFonts w:cs="Arial"/>
          <w:b/>
          <w:szCs w:val="18"/>
        </w:rPr>
        <w:t>V</w:t>
      </w:r>
      <w:r w:rsidR="00C5303E">
        <w:rPr>
          <w:rFonts w:cs="Arial"/>
          <w:b/>
          <w:szCs w:val="18"/>
        </w:rPr>
        <w:t>I</w:t>
      </w:r>
    </w:p>
    <w:p w:rsidRPr="00B37F00" w:rsidR="00895520" w:rsidP="001B7222" w:rsidRDefault="00895520" w14:paraId="21DD100E" w14:textId="77777777">
      <w:pPr>
        <w:widowControl w:val="0"/>
        <w:spacing w:line="276" w:lineRule="auto"/>
        <w:rPr>
          <w:rFonts w:cs="Arial"/>
          <w:szCs w:val="18"/>
        </w:rPr>
      </w:pPr>
    </w:p>
    <w:p w:rsidR="00895520" w:rsidP="001B7222" w:rsidRDefault="00895520" w14:paraId="38BDA7E0" w14:textId="4FDB2A1A">
      <w:pPr>
        <w:spacing w:line="276" w:lineRule="auto"/>
      </w:pPr>
      <w:r>
        <w:rPr>
          <w:rFonts w:cs="Arial"/>
          <w:szCs w:val="18"/>
        </w:rPr>
        <w:t>Dit besluit</w:t>
      </w:r>
      <w:r w:rsidRPr="00B37F00">
        <w:rPr>
          <w:rFonts w:cs="Arial"/>
          <w:szCs w:val="18"/>
        </w:rPr>
        <w:t xml:space="preserve"> wordt aangehaald als: </w:t>
      </w:r>
      <w:r w:rsidRPr="003D6D34" w:rsidR="003D6D34">
        <w:rPr>
          <w:rFonts w:cs="Arial"/>
          <w:szCs w:val="18"/>
        </w:rPr>
        <w:t>Wijzigingsbesluit toegang UBO-registers voor bestuursorganen en rechtspersonen met een overheidstaak</w:t>
      </w:r>
      <w:r w:rsidR="00D86503">
        <w:rPr>
          <w:szCs w:val="18"/>
        </w:rPr>
        <w:t>.</w:t>
      </w:r>
    </w:p>
    <w:p w:rsidR="00832F2C" w:rsidP="001B7222" w:rsidRDefault="00832F2C" w14:paraId="5EDE1E74" w14:textId="77777777">
      <w:pPr>
        <w:spacing w:line="276" w:lineRule="auto"/>
      </w:pPr>
    </w:p>
    <w:p w:rsidR="00832F2C" w:rsidP="001B7222" w:rsidRDefault="00832F2C" w14:paraId="0A433F6E" w14:textId="77777777">
      <w:pPr>
        <w:spacing w:line="276" w:lineRule="auto"/>
      </w:pPr>
    </w:p>
    <w:p w:rsidRPr="00C26C4D" w:rsidR="00832F2C" w:rsidP="001B7222" w:rsidRDefault="00832F2C" w14:paraId="50E51908" w14:textId="77777777">
      <w:pPr>
        <w:spacing w:line="276" w:lineRule="auto"/>
      </w:pPr>
      <w:r w:rsidRPr="00C26C4D">
        <w:t>Lasten en bevelen dat dit besluit met de daarbij behorende nota van toelichting in het Staatsblad zal worden geplaatst.</w:t>
      </w:r>
    </w:p>
    <w:p w:rsidR="00832F2C" w:rsidP="001B7222" w:rsidRDefault="00832F2C" w14:paraId="7FFE18FA" w14:textId="77777777">
      <w:pPr>
        <w:spacing w:line="276" w:lineRule="auto"/>
      </w:pPr>
    </w:p>
    <w:p w:rsidR="00832F2C" w:rsidP="001B7222" w:rsidRDefault="00832F2C" w14:paraId="52111D30" w14:textId="77777777">
      <w:pPr>
        <w:spacing w:line="276" w:lineRule="auto"/>
      </w:pPr>
    </w:p>
    <w:p w:rsidR="00832F2C" w:rsidP="001B7222" w:rsidRDefault="00832F2C" w14:paraId="7599A9B4" w14:textId="77777777">
      <w:pPr>
        <w:spacing w:line="276" w:lineRule="auto"/>
      </w:pPr>
    </w:p>
    <w:p w:rsidR="00832F2C" w:rsidP="001B7222" w:rsidRDefault="00832F2C" w14:paraId="2310547B" w14:textId="77777777">
      <w:pPr>
        <w:spacing w:line="276" w:lineRule="auto"/>
      </w:pPr>
    </w:p>
    <w:p w:rsidR="00832F2C" w:rsidP="001B7222" w:rsidRDefault="00832F2C" w14:paraId="4485B05A" w14:textId="77777777">
      <w:pPr>
        <w:spacing w:line="276" w:lineRule="auto"/>
      </w:pPr>
    </w:p>
    <w:p w:rsidR="00832F2C" w:rsidP="001B7222" w:rsidRDefault="00832F2C" w14:paraId="57CB32FA" w14:textId="77777777">
      <w:pPr>
        <w:spacing w:line="276" w:lineRule="auto"/>
      </w:pPr>
    </w:p>
    <w:p w:rsidRPr="00C26C4D" w:rsidR="00832F2C" w:rsidP="001B7222" w:rsidRDefault="00832F2C" w14:paraId="296F8932" w14:textId="77777777">
      <w:pPr>
        <w:spacing w:line="276" w:lineRule="auto"/>
      </w:pPr>
    </w:p>
    <w:p w:rsidR="00F575DD" w:rsidP="001B7222" w:rsidRDefault="00F575DD" w14:paraId="56CC7E17" w14:textId="77777777">
      <w:pPr>
        <w:spacing w:line="276" w:lineRule="auto"/>
      </w:pPr>
    </w:p>
    <w:p w:rsidR="00F575DD" w:rsidP="001B7222" w:rsidRDefault="00F575DD" w14:paraId="7D7812D9" w14:textId="77777777">
      <w:pPr>
        <w:spacing w:line="276" w:lineRule="auto"/>
      </w:pPr>
    </w:p>
    <w:p w:rsidRPr="00C23029" w:rsidR="00832F2C" w:rsidP="001B7222" w:rsidRDefault="00832F2C" w14:paraId="36EF1DFA" w14:textId="7E0E163D">
      <w:pPr>
        <w:spacing w:line="276" w:lineRule="auto"/>
      </w:pPr>
      <w:r w:rsidRPr="00C23029">
        <w:t>De Minister van Financiën,</w:t>
      </w:r>
    </w:p>
    <w:p w:rsidR="00832F2C" w:rsidP="001B7222" w:rsidRDefault="00832F2C" w14:paraId="0E5DDF5B" w14:textId="77777777">
      <w:pPr>
        <w:spacing w:line="276" w:lineRule="auto"/>
      </w:pPr>
    </w:p>
    <w:p w:rsidR="00EE00D8" w:rsidP="001B7222" w:rsidRDefault="00EE00D8" w14:paraId="36CA7173" w14:textId="77777777">
      <w:pPr>
        <w:spacing w:line="276" w:lineRule="auto"/>
      </w:pPr>
    </w:p>
    <w:p w:rsidR="00C5589D" w:rsidP="001B7222" w:rsidRDefault="00C5589D" w14:paraId="4E64D294" w14:textId="77777777">
      <w:pPr>
        <w:spacing w:line="276" w:lineRule="auto"/>
      </w:pPr>
    </w:p>
    <w:p w:rsidR="00EE00D8" w:rsidP="001B7222" w:rsidRDefault="00EE00D8" w14:paraId="36F1692A" w14:textId="77777777">
      <w:pPr>
        <w:spacing w:line="276" w:lineRule="auto"/>
      </w:pPr>
    </w:p>
    <w:p w:rsidRPr="00CB7AB0" w:rsidR="008479AD" w:rsidP="001B7222" w:rsidRDefault="008479AD" w14:paraId="09BFB85E" w14:textId="77777777">
      <w:pPr>
        <w:widowControl w:val="0"/>
        <w:tabs>
          <w:tab w:val="num" w:pos="720"/>
        </w:tabs>
        <w:spacing w:line="276" w:lineRule="auto"/>
        <w:rPr>
          <w:rFonts w:cs="Arial"/>
          <w:szCs w:val="18"/>
        </w:rPr>
      </w:pPr>
      <w:r w:rsidRPr="00CB7AB0">
        <w:rPr>
          <w:rFonts w:cs="Arial"/>
          <w:szCs w:val="18"/>
        </w:rPr>
        <w:t>De Minister van Justitie en Veiligheid,</w:t>
      </w:r>
    </w:p>
    <w:p w:rsidRPr="00CB7AB0" w:rsidR="008479AD" w:rsidP="001B7222" w:rsidRDefault="008479AD" w14:paraId="1B10AA78" w14:textId="77777777">
      <w:pPr>
        <w:widowControl w:val="0"/>
        <w:tabs>
          <w:tab w:val="num" w:pos="720"/>
        </w:tabs>
        <w:spacing w:line="276" w:lineRule="auto"/>
        <w:rPr>
          <w:rFonts w:cs="Arial"/>
          <w:szCs w:val="18"/>
        </w:rPr>
      </w:pPr>
    </w:p>
    <w:p w:rsidRPr="00CB7AB0" w:rsidR="008479AD" w:rsidP="001B7222" w:rsidRDefault="008479AD" w14:paraId="69687989" w14:textId="77777777">
      <w:pPr>
        <w:widowControl w:val="0"/>
        <w:tabs>
          <w:tab w:val="num" w:pos="720"/>
        </w:tabs>
        <w:spacing w:line="276" w:lineRule="auto"/>
        <w:rPr>
          <w:rFonts w:cs="Arial"/>
          <w:szCs w:val="18"/>
        </w:rPr>
      </w:pPr>
    </w:p>
    <w:p w:rsidRPr="00CB7AB0" w:rsidR="008479AD" w:rsidP="001B7222" w:rsidRDefault="008479AD" w14:paraId="680B6298" w14:textId="77777777">
      <w:pPr>
        <w:widowControl w:val="0"/>
        <w:tabs>
          <w:tab w:val="num" w:pos="720"/>
        </w:tabs>
        <w:spacing w:line="276" w:lineRule="auto"/>
        <w:rPr>
          <w:rFonts w:cs="Arial"/>
          <w:szCs w:val="18"/>
        </w:rPr>
      </w:pPr>
    </w:p>
    <w:p w:rsidRPr="00CB7AB0" w:rsidR="008479AD" w:rsidP="001B7222" w:rsidRDefault="008479AD" w14:paraId="17D25BA8" w14:textId="77777777">
      <w:pPr>
        <w:widowControl w:val="0"/>
        <w:tabs>
          <w:tab w:val="num" w:pos="720"/>
        </w:tabs>
        <w:spacing w:line="276" w:lineRule="auto"/>
        <w:rPr>
          <w:rFonts w:cs="Arial"/>
          <w:szCs w:val="18"/>
        </w:rPr>
      </w:pPr>
    </w:p>
    <w:p w:rsidR="0059578A" w:rsidP="001B7222" w:rsidRDefault="008479AD" w14:paraId="6B648E2B" w14:textId="2922E531">
      <w:pPr>
        <w:spacing w:line="276" w:lineRule="auto"/>
        <w:rPr>
          <w:b/>
        </w:rPr>
      </w:pPr>
      <w:r w:rsidRPr="00CB7AB0">
        <w:rPr>
          <w:rFonts w:cs="Arial"/>
          <w:szCs w:val="18"/>
        </w:rPr>
        <w:t xml:space="preserve">De Minister van Economische Zaken </w:t>
      </w:r>
    </w:p>
    <w:p w:rsidR="00B61A1A" w:rsidRDefault="00B61A1A" w14:paraId="17B5E454" w14:textId="77777777">
      <w:pPr>
        <w:spacing w:line="276" w:lineRule="auto"/>
        <w:rPr>
          <w:b/>
        </w:rPr>
      </w:pPr>
    </w:p>
    <w:p w:rsidR="006B5524" w:rsidP="006B5524" w:rsidRDefault="006B5524" w14:paraId="2848E1F1" w14:textId="77777777">
      <w:pPr>
        <w:spacing w:line="240" w:lineRule="auto"/>
        <w:rPr>
          <w:b/>
        </w:rPr>
      </w:pPr>
    </w:p>
    <w:p w:rsidR="006B5524" w:rsidP="006B5524" w:rsidRDefault="006B5524" w14:paraId="0EB17455" w14:textId="77777777">
      <w:pPr>
        <w:spacing w:line="240" w:lineRule="auto"/>
        <w:rPr>
          <w:b/>
        </w:rPr>
      </w:pPr>
    </w:p>
    <w:p w:rsidR="006B5524" w:rsidP="006B5524" w:rsidRDefault="006B5524" w14:paraId="517D3DE7" w14:textId="77777777">
      <w:pPr>
        <w:spacing w:line="240" w:lineRule="auto"/>
        <w:rPr>
          <w:b/>
        </w:rPr>
      </w:pPr>
    </w:p>
    <w:p w:rsidR="006B5524" w:rsidP="006B5524" w:rsidRDefault="006B5524" w14:paraId="7D13B143" w14:textId="77777777">
      <w:pPr>
        <w:spacing w:line="240" w:lineRule="auto"/>
        <w:rPr>
          <w:b/>
        </w:rPr>
      </w:pPr>
    </w:p>
    <w:p w:rsidR="00B82BC6" w:rsidP="006B5524" w:rsidRDefault="00B82BC6" w14:paraId="1C39A71B" w14:textId="77777777">
      <w:pPr>
        <w:spacing w:line="240" w:lineRule="auto"/>
        <w:rPr>
          <w:b/>
        </w:rPr>
      </w:pPr>
    </w:p>
    <w:p w:rsidR="00B82BC6" w:rsidP="006B5524" w:rsidRDefault="00B82BC6" w14:paraId="00F2E1C2" w14:textId="77777777">
      <w:pPr>
        <w:spacing w:line="240" w:lineRule="auto"/>
        <w:rPr>
          <w:b/>
        </w:rPr>
      </w:pPr>
    </w:p>
    <w:p w:rsidR="00B82BC6" w:rsidP="006B5524" w:rsidRDefault="00B82BC6" w14:paraId="5BBE931D" w14:textId="77777777">
      <w:pPr>
        <w:spacing w:line="240" w:lineRule="auto"/>
        <w:rPr>
          <w:b/>
        </w:rPr>
      </w:pPr>
    </w:p>
    <w:p w:rsidR="00B82BC6" w:rsidP="006B5524" w:rsidRDefault="00B82BC6" w14:paraId="765E8527" w14:textId="77777777">
      <w:pPr>
        <w:spacing w:line="240" w:lineRule="auto"/>
        <w:rPr>
          <w:b/>
        </w:rPr>
      </w:pPr>
    </w:p>
    <w:p w:rsidR="00B82BC6" w:rsidP="006B5524" w:rsidRDefault="00B82BC6" w14:paraId="282D7BF5" w14:textId="77777777">
      <w:pPr>
        <w:spacing w:line="240" w:lineRule="auto"/>
        <w:rPr>
          <w:b/>
        </w:rPr>
      </w:pPr>
    </w:p>
    <w:p w:rsidR="00B82BC6" w:rsidP="006B5524" w:rsidRDefault="00B82BC6" w14:paraId="3E2AB1C9" w14:textId="77777777">
      <w:pPr>
        <w:spacing w:line="240" w:lineRule="auto"/>
        <w:rPr>
          <w:b/>
        </w:rPr>
      </w:pPr>
    </w:p>
    <w:p w:rsidR="00B82BC6" w:rsidP="006B5524" w:rsidRDefault="00B82BC6" w14:paraId="2B389529" w14:textId="77777777">
      <w:pPr>
        <w:spacing w:line="240" w:lineRule="auto"/>
        <w:rPr>
          <w:b/>
        </w:rPr>
      </w:pPr>
    </w:p>
    <w:p w:rsidR="00B82BC6" w:rsidP="006B5524" w:rsidRDefault="00B82BC6" w14:paraId="4AA48426" w14:textId="77777777">
      <w:pPr>
        <w:spacing w:line="240" w:lineRule="auto"/>
        <w:rPr>
          <w:b/>
        </w:rPr>
      </w:pPr>
    </w:p>
    <w:p w:rsidR="00B82BC6" w:rsidP="006B5524" w:rsidRDefault="00B82BC6" w14:paraId="6AF4B80E" w14:textId="77777777">
      <w:pPr>
        <w:spacing w:line="240" w:lineRule="auto"/>
        <w:rPr>
          <w:b/>
        </w:rPr>
      </w:pPr>
    </w:p>
    <w:p w:rsidR="00B82BC6" w:rsidP="006B5524" w:rsidRDefault="00B82BC6" w14:paraId="184F97C6" w14:textId="77777777">
      <w:pPr>
        <w:spacing w:line="240" w:lineRule="auto"/>
        <w:rPr>
          <w:b/>
        </w:rPr>
      </w:pPr>
    </w:p>
    <w:p w:rsidR="00B82BC6" w:rsidP="006B5524" w:rsidRDefault="00B82BC6" w14:paraId="19D65BD9" w14:textId="77777777">
      <w:pPr>
        <w:spacing w:line="240" w:lineRule="auto"/>
        <w:rPr>
          <w:b/>
        </w:rPr>
      </w:pPr>
    </w:p>
    <w:p w:rsidR="00B82BC6" w:rsidP="006B5524" w:rsidRDefault="00B82BC6" w14:paraId="22355DA5" w14:textId="77777777">
      <w:pPr>
        <w:spacing w:line="240" w:lineRule="auto"/>
        <w:rPr>
          <w:b/>
        </w:rPr>
      </w:pPr>
    </w:p>
    <w:p w:rsidR="00B82BC6" w:rsidP="006B5524" w:rsidRDefault="00B82BC6" w14:paraId="2FDBFA36" w14:textId="77777777">
      <w:pPr>
        <w:spacing w:line="240" w:lineRule="auto"/>
        <w:rPr>
          <w:b/>
        </w:rPr>
      </w:pPr>
    </w:p>
    <w:p w:rsidR="00B82BC6" w:rsidP="006B5524" w:rsidRDefault="00B82BC6" w14:paraId="5966E2F7" w14:textId="77777777">
      <w:pPr>
        <w:spacing w:line="240" w:lineRule="auto"/>
        <w:rPr>
          <w:b/>
        </w:rPr>
      </w:pPr>
    </w:p>
    <w:p w:rsidR="00B82BC6" w:rsidP="006B5524" w:rsidRDefault="00B82BC6" w14:paraId="1AA6446C" w14:textId="77777777">
      <w:pPr>
        <w:spacing w:line="240" w:lineRule="auto"/>
        <w:rPr>
          <w:b/>
        </w:rPr>
      </w:pPr>
    </w:p>
    <w:p w:rsidR="00B82BC6" w:rsidP="006B5524" w:rsidRDefault="00B82BC6" w14:paraId="207953AC" w14:textId="77777777">
      <w:pPr>
        <w:spacing w:line="240" w:lineRule="auto"/>
        <w:rPr>
          <w:b/>
        </w:rPr>
      </w:pPr>
    </w:p>
    <w:p w:rsidR="00B82BC6" w:rsidP="006B5524" w:rsidRDefault="00B82BC6" w14:paraId="50904A80" w14:textId="77777777">
      <w:pPr>
        <w:spacing w:line="240" w:lineRule="auto"/>
        <w:rPr>
          <w:b/>
        </w:rPr>
      </w:pPr>
    </w:p>
    <w:p w:rsidR="00B82BC6" w:rsidP="006B5524" w:rsidRDefault="00B82BC6" w14:paraId="5F8D00EE" w14:textId="77777777">
      <w:pPr>
        <w:spacing w:line="240" w:lineRule="auto"/>
        <w:rPr>
          <w:b/>
        </w:rPr>
      </w:pPr>
    </w:p>
    <w:p w:rsidR="00B82BC6" w:rsidP="006B5524" w:rsidRDefault="00B82BC6" w14:paraId="2EF90D5A" w14:textId="77777777">
      <w:pPr>
        <w:spacing w:line="240" w:lineRule="auto"/>
        <w:rPr>
          <w:b/>
        </w:rPr>
      </w:pPr>
    </w:p>
    <w:p w:rsidR="00B82BC6" w:rsidP="006B5524" w:rsidRDefault="00B82BC6" w14:paraId="500DC745" w14:textId="77777777">
      <w:pPr>
        <w:spacing w:line="240" w:lineRule="auto"/>
        <w:rPr>
          <w:b/>
        </w:rPr>
      </w:pPr>
    </w:p>
    <w:p w:rsidR="00B82BC6" w:rsidP="006B5524" w:rsidRDefault="00B82BC6" w14:paraId="452536C4" w14:textId="77777777">
      <w:pPr>
        <w:spacing w:line="240" w:lineRule="auto"/>
        <w:rPr>
          <w:b/>
        </w:rPr>
      </w:pPr>
    </w:p>
    <w:p w:rsidR="00B82BC6" w:rsidP="006B5524" w:rsidRDefault="00B82BC6" w14:paraId="29D03B32" w14:textId="77777777">
      <w:pPr>
        <w:spacing w:line="240" w:lineRule="auto"/>
        <w:rPr>
          <w:b/>
        </w:rPr>
      </w:pPr>
    </w:p>
    <w:p w:rsidR="00B82BC6" w:rsidP="006B5524" w:rsidRDefault="00B82BC6" w14:paraId="6A29A8B4" w14:textId="77777777">
      <w:pPr>
        <w:spacing w:line="240" w:lineRule="auto"/>
        <w:rPr>
          <w:b/>
        </w:rPr>
      </w:pPr>
    </w:p>
    <w:p w:rsidR="00B82BC6" w:rsidP="006B5524" w:rsidRDefault="00B82BC6" w14:paraId="2E1E40CD" w14:textId="77777777">
      <w:pPr>
        <w:spacing w:line="240" w:lineRule="auto"/>
        <w:rPr>
          <w:b/>
        </w:rPr>
      </w:pPr>
    </w:p>
    <w:p w:rsidR="00B82BC6" w:rsidP="006B5524" w:rsidRDefault="00B82BC6" w14:paraId="640E40FC" w14:textId="77777777">
      <w:pPr>
        <w:spacing w:line="240" w:lineRule="auto"/>
        <w:rPr>
          <w:b/>
        </w:rPr>
      </w:pPr>
    </w:p>
    <w:p w:rsidR="00B82BC6" w:rsidP="006B5524" w:rsidRDefault="00B82BC6" w14:paraId="48369069" w14:textId="77777777">
      <w:pPr>
        <w:spacing w:line="240" w:lineRule="auto"/>
        <w:rPr>
          <w:b/>
        </w:rPr>
      </w:pPr>
    </w:p>
    <w:p w:rsidR="00B82BC6" w:rsidP="006B5524" w:rsidRDefault="00B82BC6" w14:paraId="2B1694BD" w14:textId="77777777">
      <w:pPr>
        <w:spacing w:line="240" w:lineRule="auto"/>
        <w:rPr>
          <w:b/>
        </w:rPr>
      </w:pPr>
    </w:p>
    <w:p w:rsidR="00B82BC6" w:rsidP="006B5524" w:rsidRDefault="00B82BC6" w14:paraId="584E5463" w14:textId="77777777">
      <w:pPr>
        <w:spacing w:line="240" w:lineRule="auto"/>
        <w:rPr>
          <w:b/>
        </w:rPr>
      </w:pPr>
    </w:p>
    <w:p w:rsidR="00B82BC6" w:rsidP="006B5524" w:rsidRDefault="00B82BC6" w14:paraId="24FC708A" w14:textId="77777777">
      <w:pPr>
        <w:spacing w:line="240" w:lineRule="auto"/>
        <w:rPr>
          <w:b/>
        </w:rPr>
      </w:pPr>
    </w:p>
    <w:p w:rsidR="00B82BC6" w:rsidP="006B5524" w:rsidRDefault="00B82BC6" w14:paraId="48A146D5" w14:textId="77777777">
      <w:pPr>
        <w:spacing w:line="240" w:lineRule="auto"/>
        <w:rPr>
          <w:b/>
        </w:rPr>
      </w:pPr>
    </w:p>
    <w:p w:rsidR="00B82BC6" w:rsidP="006B5524" w:rsidRDefault="00B82BC6" w14:paraId="43DBD8FC" w14:textId="77777777">
      <w:pPr>
        <w:spacing w:line="240" w:lineRule="auto"/>
        <w:rPr>
          <w:b/>
        </w:rPr>
      </w:pPr>
    </w:p>
    <w:p w:rsidR="00B82BC6" w:rsidP="006B5524" w:rsidRDefault="00B82BC6" w14:paraId="3F513815" w14:textId="77777777">
      <w:pPr>
        <w:spacing w:line="240" w:lineRule="auto"/>
        <w:rPr>
          <w:b/>
        </w:rPr>
      </w:pPr>
    </w:p>
    <w:p w:rsidR="00B82BC6" w:rsidP="006B5524" w:rsidRDefault="00B82BC6" w14:paraId="79F72002" w14:textId="77777777">
      <w:pPr>
        <w:spacing w:line="240" w:lineRule="auto"/>
        <w:rPr>
          <w:b/>
        </w:rPr>
      </w:pPr>
    </w:p>
    <w:p w:rsidR="00DE679F" w:rsidP="006B5524" w:rsidRDefault="00DE679F" w14:paraId="385617D9" w14:textId="77777777">
      <w:pPr>
        <w:spacing w:line="240" w:lineRule="auto"/>
        <w:rPr>
          <w:b/>
        </w:rPr>
      </w:pPr>
    </w:p>
    <w:p w:rsidR="00DE679F" w:rsidP="006B5524" w:rsidRDefault="00DE679F" w14:paraId="27E9E706" w14:textId="77777777">
      <w:pPr>
        <w:spacing w:line="240" w:lineRule="auto"/>
        <w:rPr>
          <w:b/>
        </w:rPr>
      </w:pPr>
    </w:p>
    <w:p w:rsidRPr="006B5524" w:rsidR="00832F2C" w:rsidP="006B5524" w:rsidRDefault="00832F2C" w14:paraId="424E703D" w14:textId="59DDAAAF">
      <w:pPr>
        <w:spacing w:line="240" w:lineRule="auto"/>
        <w:rPr>
          <w:b/>
        </w:rPr>
      </w:pPr>
      <w:r>
        <w:rPr>
          <w:b/>
        </w:rPr>
        <w:t>NOTA VAN TOELICHTING</w:t>
      </w:r>
    </w:p>
    <w:p w:rsidR="00832F2C" w:rsidP="001B7222" w:rsidRDefault="00832F2C" w14:paraId="5634A741" w14:textId="77777777">
      <w:pPr>
        <w:spacing w:line="276" w:lineRule="auto"/>
      </w:pPr>
    </w:p>
    <w:p w:rsidR="00EA2B4D" w:rsidP="001B7222" w:rsidRDefault="00EA2B4D" w14:paraId="3D015350" w14:textId="77777777">
      <w:pPr>
        <w:spacing w:line="276" w:lineRule="auto"/>
      </w:pPr>
      <w:r>
        <w:rPr>
          <w:b/>
        </w:rPr>
        <w:t>Algemeen</w:t>
      </w:r>
    </w:p>
    <w:p w:rsidR="00EA2B4D" w:rsidP="001B7222" w:rsidRDefault="00EA2B4D" w14:paraId="76E5F0B6" w14:textId="77777777">
      <w:pPr>
        <w:spacing w:line="276" w:lineRule="auto"/>
      </w:pPr>
    </w:p>
    <w:p w:rsidRPr="00E319AA" w:rsidR="00EA2B4D" w:rsidP="001B7222" w:rsidRDefault="00EA2B4D" w14:paraId="6E506F59" w14:textId="77777777">
      <w:pPr>
        <w:spacing w:line="276" w:lineRule="auto"/>
        <w:rPr>
          <w:i/>
        </w:rPr>
      </w:pPr>
      <w:r>
        <w:rPr>
          <w:i/>
        </w:rPr>
        <w:t>§ 1. Inleiding</w:t>
      </w:r>
    </w:p>
    <w:p w:rsidR="009D3F1E" w:rsidP="001B7222" w:rsidRDefault="00594FEC" w14:paraId="5A7DB742" w14:textId="60E16C53">
      <w:pPr>
        <w:spacing w:line="276" w:lineRule="auto"/>
        <w:rPr>
          <w:szCs w:val="18"/>
        </w:rPr>
      </w:pPr>
      <w:r>
        <w:rPr>
          <w:szCs w:val="18"/>
        </w:rPr>
        <w:t>O</w:t>
      </w:r>
      <w:r w:rsidR="00797ACF">
        <w:rPr>
          <w:szCs w:val="18"/>
        </w:rPr>
        <w:t xml:space="preserve">p 22 november 2022 </w:t>
      </w:r>
      <w:r>
        <w:rPr>
          <w:szCs w:val="18"/>
        </w:rPr>
        <w:t xml:space="preserve">heeft </w:t>
      </w:r>
      <w:r w:rsidR="00CE7518">
        <w:rPr>
          <w:szCs w:val="18"/>
        </w:rPr>
        <w:t>het Hof van Justitie van de Europese Unie (HvJ EU)</w:t>
      </w:r>
      <w:r w:rsidR="00D84950">
        <w:rPr>
          <w:rStyle w:val="Voetnootmarkering"/>
          <w:szCs w:val="18"/>
        </w:rPr>
        <w:footnoteReference w:id="2"/>
      </w:r>
      <w:r w:rsidRPr="000A5F87" w:rsidR="00BA586D">
        <w:rPr>
          <w:szCs w:val="18"/>
        </w:rPr>
        <w:t xml:space="preserve"> </w:t>
      </w:r>
      <w:r>
        <w:rPr>
          <w:szCs w:val="18"/>
        </w:rPr>
        <w:t xml:space="preserve">uitspraak gedaan in een prejudiciële zaak </w:t>
      </w:r>
      <w:r w:rsidRPr="000A5F87" w:rsidR="005028EB">
        <w:rPr>
          <w:szCs w:val="18"/>
        </w:rPr>
        <w:t>over het Luxemburgse UBO-register voor juridische entiteiten</w:t>
      </w:r>
      <w:r w:rsidRPr="000A5F87" w:rsidR="005028EB">
        <w:rPr>
          <w:bCs/>
          <w:szCs w:val="18"/>
        </w:rPr>
        <w:t>.</w:t>
      </w:r>
      <w:r w:rsidR="005028EB">
        <w:rPr>
          <w:bCs/>
          <w:szCs w:val="18"/>
        </w:rPr>
        <w:t xml:space="preserve"> </w:t>
      </w:r>
      <w:r w:rsidRPr="000A5F87" w:rsidR="005028EB">
        <w:rPr>
          <w:szCs w:val="18"/>
        </w:rPr>
        <w:t>In d</w:t>
      </w:r>
      <w:r w:rsidRPr="000A5F87" w:rsidR="005028EB">
        <w:rPr>
          <w:rFonts w:cs="Arial"/>
          <w:szCs w:val="18"/>
        </w:rPr>
        <w:t xml:space="preserve">eze uitspraak is </w:t>
      </w:r>
      <w:r w:rsidR="005028EB">
        <w:rPr>
          <w:szCs w:val="18"/>
        </w:rPr>
        <w:t xml:space="preserve">artikel 30, vijfde lid, onderdeel c, van </w:t>
      </w:r>
      <w:r w:rsidRPr="000A5F87" w:rsidR="005028EB">
        <w:rPr>
          <w:rFonts w:cs="Arial"/>
          <w:szCs w:val="18"/>
        </w:rPr>
        <w:t>de gewijzigde Europese anti-witwasrichtlijn</w:t>
      </w:r>
      <w:r w:rsidR="00B57A10">
        <w:rPr>
          <w:rFonts w:cs="Arial"/>
          <w:szCs w:val="18"/>
        </w:rPr>
        <w:t>,</w:t>
      </w:r>
      <w:r w:rsidRPr="00633144" w:rsidR="005028EB">
        <w:rPr>
          <w:rStyle w:val="Voetnootmarkering"/>
          <w:rFonts w:cs="Arial"/>
          <w:szCs w:val="18"/>
        </w:rPr>
        <w:footnoteReference w:id="3"/>
      </w:r>
      <w:r w:rsidRPr="000A5F87" w:rsidR="005028EB">
        <w:rPr>
          <w:rFonts w:cs="Arial"/>
          <w:szCs w:val="18"/>
        </w:rPr>
        <w:t xml:space="preserve"> </w:t>
      </w:r>
      <w:r w:rsidR="005028EB">
        <w:rPr>
          <w:szCs w:val="18"/>
        </w:rPr>
        <w:t xml:space="preserve">op grond waarvan het register met informatie over uiteindelijk belanghebbenden </w:t>
      </w:r>
      <w:r w:rsidR="00F80B89">
        <w:rPr>
          <w:szCs w:val="18"/>
        </w:rPr>
        <w:t>(</w:t>
      </w:r>
      <w:r w:rsidR="002F4FD3">
        <w:t>het UBO-register</w:t>
      </w:r>
      <w:r w:rsidR="00F80B89">
        <w:t>)</w:t>
      </w:r>
      <w:r w:rsidR="00F80B89">
        <w:rPr>
          <w:szCs w:val="18"/>
        </w:rPr>
        <w:t xml:space="preserve"> </w:t>
      </w:r>
      <w:r w:rsidR="005028EB">
        <w:rPr>
          <w:szCs w:val="18"/>
        </w:rPr>
        <w:t xml:space="preserve">van vennootschappen en andere juridische entiteiten voor iedereen toegankelijk werd, ongeldig verklaard. </w:t>
      </w:r>
      <w:r w:rsidR="005028EB">
        <w:rPr>
          <w:rFonts w:cs="Verdana"/>
          <w:iCs/>
          <w:szCs w:val="18"/>
        </w:rPr>
        <w:t xml:space="preserve">De strekking van de uitspraak </w:t>
      </w:r>
      <w:r w:rsidR="002F4FD3">
        <w:rPr>
          <w:rFonts w:cs="Verdana"/>
          <w:iCs/>
          <w:szCs w:val="18"/>
        </w:rPr>
        <w:t>had</w:t>
      </w:r>
      <w:r w:rsidR="005028EB">
        <w:rPr>
          <w:rFonts w:cs="Verdana"/>
          <w:iCs/>
          <w:szCs w:val="18"/>
        </w:rPr>
        <w:t xml:space="preserve"> ook gevolgen voor de publieke toegang tot informatie over uiteindelijk belanghebbenden van trusts en soortgelijke juridische constructies.</w:t>
      </w:r>
      <w:r w:rsidR="005028EB">
        <w:rPr>
          <w:szCs w:val="18"/>
        </w:rPr>
        <w:t xml:space="preserve"> </w:t>
      </w:r>
      <w:r>
        <w:rPr>
          <w:szCs w:val="18"/>
        </w:rPr>
        <w:t>Naar aanleiding van deze uitspraak is toegang tot de UBO-registers i</w:t>
      </w:r>
      <w:r w:rsidR="002F4FD3">
        <w:rPr>
          <w:szCs w:val="18"/>
        </w:rPr>
        <w:t>n</w:t>
      </w:r>
      <w:r>
        <w:rPr>
          <w:szCs w:val="18"/>
        </w:rPr>
        <w:t xml:space="preserve"> de Nederlandse wetgeving </w:t>
      </w:r>
      <w:r w:rsidR="002F4FD3">
        <w:rPr>
          <w:szCs w:val="18"/>
        </w:rPr>
        <w:t>beperkt</w:t>
      </w:r>
      <w:r w:rsidRPr="000A5F87" w:rsidR="002F4FD3">
        <w:rPr>
          <w:szCs w:val="18"/>
        </w:rPr>
        <w:t xml:space="preserve"> </w:t>
      </w:r>
      <w:r w:rsidRPr="000A5F87">
        <w:rPr>
          <w:szCs w:val="18"/>
        </w:rPr>
        <w:t xml:space="preserve">door middel van de </w:t>
      </w:r>
      <w:r w:rsidRPr="002E5BD2">
        <w:rPr>
          <w:rFonts w:cs="Arial"/>
          <w:bCs/>
          <w:szCs w:val="18"/>
        </w:rPr>
        <w:t>Wijzigingswet beperking toegang UBO-registers</w:t>
      </w:r>
      <w:r>
        <w:rPr>
          <w:rFonts w:cs="Arial"/>
          <w:bCs/>
          <w:szCs w:val="18"/>
        </w:rPr>
        <w:t xml:space="preserve"> (hierna: de </w:t>
      </w:r>
      <w:r w:rsidR="00A8083C">
        <w:rPr>
          <w:rFonts w:cs="Arial"/>
          <w:bCs/>
          <w:szCs w:val="18"/>
        </w:rPr>
        <w:t>W</w:t>
      </w:r>
      <w:r>
        <w:rPr>
          <w:rFonts w:cs="Arial"/>
          <w:bCs/>
          <w:szCs w:val="18"/>
        </w:rPr>
        <w:t xml:space="preserve">ijzigingswet). </w:t>
      </w:r>
    </w:p>
    <w:p w:rsidR="009D3F1E" w:rsidP="001B7222" w:rsidRDefault="009D3F1E" w14:paraId="3BADB4AC" w14:textId="77777777">
      <w:pPr>
        <w:spacing w:line="276" w:lineRule="auto"/>
        <w:rPr>
          <w:szCs w:val="18"/>
        </w:rPr>
      </w:pPr>
    </w:p>
    <w:p w:rsidRPr="005028EB" w:rsidR="00463A75" w:rsidP="001B7222" w:rsidRDefault="00D84950" w14:paraId="21FE8567" w14:textId="51E76058">
      <w:pPr>
        <w:spacing w:line="276" w:lineRule="auto"/>
        <w:rPr>
          <w:szCs w:val="18"/>
        </w:rPr>
      </w:pPr>
      <w:r>
        <w:rPr>
          <w:rFonts w:cs="Arial"/>
          <w:bCs/>
          <w:szCs w:val="18"/>
        </w:rPr>
        <w:t xml:space="preserve">Met de </w:t>
      </w:r>
      <w:r w:rsidR="00A8083C">
        <w:rPr>
          <w:rFonts w:cs="Arial"/>
          <w:bCs/>
          <w:szCs w:val="18"/>
        </w:rPr>
        <w:t>W</w:t>
      </w:r>
      <w:r>
        <w:rPr>
          <w:rFonts w:cs="Arial"/>
          <w:bCs/>
          <w:szCs w:val="18"/>
        </w:rPr>
        <w:t xml:space="preserve">ijzigingswet zijn </w:t>
      </w:r>
      <w:r w:rsidRPr="000A5F87" w:rsidR="003A25FE">
        <w:rPr>
          <w:rFonts w:cs="Arial"/>
          <w:bCs/>
          <w:szCs w:val="18"/>
        </w:rPr>
        <w:t xml:space="preserve">de </w:t>
      </w:r>
      <w:r w:rsidRPr="002E5BD2" w:rsidR="003A25FE">
        <w:t xml:space="preserve">Handelsregisterwet 2007 en </w:t>
      </w:r>
      <w:r w:rsidRPr="002E5BD2" w:rsidR="003A25FE">
        <w:rPr>
          <w:bCs/>
          <w:szCs w:val="18"/>
        </w:rPr>
        <w:t xml:space="preserve">Implementatiewet registratie uiteindelijk belanghebbenden van trusts en soortgelijke </w:t>
      </w:r>
      <w:r w:rsidRPr="00A937C3" w:rsidR="003A25FE">
        <w:rPr>
          <w:bCs/>
          <w:szCs w:val="18"/>
        </w:rPr>
        <w:t>juridische constructies</w:t>
      </w:r>
      <w:r w:rsidRPr="00EF31FD" w:rsidR="009D3F1E">
        <w:rPr>
          <w:bCs/>
          <w:i/>
          <w:iCs/>
          <w:szCs w:val="18"/>
        </w:rPr>
        <w:t xml:space="preserve"> </w:t>
      </w:r>
      <w:r w:rsidR="009D3F1E">
        <w:rPr>
          <w:bCs/>
          <w:szCs w:val="18"/>
        </w:rPr>
        <w:t>aangepast</w:t>
      </w:r>
      <w:r w:rsidRPr="000A5F87" w:rsidR="003A25FE">
        <w:rPr>
          <w:bCs/>
          <w:szCs w:val="18"/>
        </w:rPr>
        <w:t xml:space="preserve">. </w:t>
      </w:r>
      <w:r w:rsidR="009D3F1E">
        <w:rPr>
          <w:bCs/>
          <w:szCs w:val="18"/>
        </w:rPr>
        <w:t>Z</w:t>
      </w:r>
      <w:r w:rsidR="003C176E">
        <w:rPr>
          <w:bCs/>
          <w:szCs w:val="18"/>
        </w:rPr>
        <w:t xml:space="preserve">owel het UBO-register voor </w:t>
      </w:r>
      <w:r w:rsidR="001B6B55">
        <w:rPr>
          <w:bCs/>
          <w:szCs w:val="18"/>
        </w:rPr>
        <w:t xml:space="preserve">vennootschappen of andere </w:t>
      </w:r>
      <w:r w:rsidR="003C176E">
        <w:rPr>
          <w:bCs/>
          <w:szCs w:val="18"/>
        </w:rPr>
        <w:t>juridische entiteiten</w:t>
      </w:r>
      <w:r w:rsidR="001B6B55">
        <w:rPr>
          <w:bCs/>
          <w:szCs w:val="18"/>
        </w:rPr>
        <w:t>,</w:t>
      </w:r>
      <w:r w:rsidR="003C176E">
        <w:rPr>
          <w:bCs/>
          <w:szCs w:val="18"/>
        </w:rPr>
        <w:t xml:space="preserve"> als het UBO</w:t>
      </w:r>
      <w:r w:rsidR="002F4FD3">
        <w:rPr>
          <w:bCs/>
          <w:szCs w:val="18"/>
        </w:rPr>
        <w:t>-</w:t>
      </w:r>
      <w:r w:rsidR="003C176E">
        <w:rPr>
          <w:bCs/>
          <w:szCs w:val="18"/>
        </w:rPr>
        <w:t xml:space="preserve">register voor trusts en </w:t>
      </w:r>
      <w:r w:rsidR="001B6B55">
        <w:rPr>
          <w:bCs/>
          <w:szCs w:val="18"/>
        </w:rPr>
        <w:t>soortgelijke</w:t>
      </w:r>
      <w:r w:rsidR="003C176E">
        <w:rPr>
          <w:bCs/>
          <w:szCs w:val="18"/>
        </w:rPr>
        <w:t xml:space="preserve"> juridische constructies </w:t>
      </w:r>
      <w:r w:rsidR="009D3F1E">
        <w:rPr>
          <w:bCs/>
          <w:szCs w:val="18"/>
        </w:rPr>
        <w:t xml:space="preserve">zijn </w:t>
      </w:r>
      <w:r w:rsidRPr="000A5F87" w:rsidR="003A25FE">
        <w:rPr>
          <w:bCs/>
          <w:szCs w:val="18"/>
        </w:rPr>
        <w:t xml:space="preserve">nu enkel nog </w:t>
      </w:r>
      <w:r w:rsidRPr="000A5F87" w:rsidR="0045102A">
        <w:rPr>
          <w:bCs/>
          <w:szCs w:val="18"/>
        </w:rPr>
        <w:t>toegank</w:t>
      </w:r>
      <w:r w:rsidR="0045102A">
        <w:rPr>
          <w:bCs/>
          <w:szCs w:val="18"/>
        </w:rPr>
        <w:t>elijk</w:t>
      </w:r>
      <w:r w:rsidRPr="000A5F87" w:rsidR="003A25FE">
        <w:rPr>
          <w:bCs/>
          <w:szCs w:val="18"/>
        </w:rPr>
        <w:t xml:space="preserve"> voor</w:t>
      </w:r>
      <w:r w:rsidR="006C00EC">
        <w:rPr>
          <w:bCs/>
          <w:szCs w:val="18"/>
        </w:rPr>
        <w:t xml:space="preserve"> bij wet bepaalde</w:t>
      </w:r>
      <w:r w:rsidRPr="000A5F87" w:rsidR="003A25FE">
        <w:rPr>
          <w:bCs/>
          <w:szCs w:val="18"/>
        </w:rPr>
        <w:t xml:space="preserve"> specifieke groepen</w:t>
      </w:r>
      <w:r w:rsidRPr="000A5F87" w:rsidR="000A5F87">
        <w:rPr>
          <w:bCs/>
          <w:szCs w:val="18"/>
        </w:rPr>
        <w:t>.</w:t>
      </w:r>
    </w:p>
    <w:p w:rsidRPr="000A5F87" w:rsidR="000A5F87" w:rsidP="001B7222" w:rsidRDefault="000A5F87" w14:paraId="33CB1D2E" w14:textId="3C507CD0">
      <w:pPr>
        <w:kinsoku w:val="0"/>
        <w:overflowPunct w:val="0"/>
        <w:autoSpaceDE w:val="0"/>
        <w:autoSpaceDN w:val="0"/>
        <w:adjustRightInd w:val="0"/>
        <w:spacing w:line="276" w:lineRule="auto"/>
        <w:rPr>
          <w:rFonts w:cs="Arial"/>
          <w:szCs w:val="18"/>
        </w:rPr>
      </w:pPr>
    </w:p>
    <w:p w:rsidRPr="00F31E2A" w:rsidR="000F7FA3" w:rsidRDefault="00CD1E81" w14:paraId="1E611335" w14:textId="46E93FB7">
      <w:pPr>
        <w:spacing w:line="276" w:lineRule="auto"/>
        <w:rPr>
          <w:szCs w:val="18"/>
        </w:rPr>
      </w:pPr>
      <w:r>
        <w:rPr>
          <w:bCs/>
          <w:szCs w:val="18"/>
        </w:rPr>
        <w:t>De</w:t>
      </w:r>
      <w:r w:rsidR="00F31E2A">
        <w:rPr>
          <w:bCs/>
          <w:szCs w:val="18"/>
        </w:rPr>
        <w:t xml:space="preserve"> Wijzigingswet</w:t>
      </w:r>
      <w:r>
        <w:rPr>
          <w:bCs/>
          <w:szCs w:val="18"/>
        </w:rPr>
        <w:t xml:space="preserve"> regelt</w:t>
      </w:r>
      <w:r w:rsidR="00F31E2A">
        <w:rPr>
          <w:bCs/>
          <w:szCs w:val="18"/>
        </w:rPr>
        <w:t xml:space="preserve"> </w:t>
      </w:r>
      <w:r w:rsidR="00A645E6">
        <w:rPr>
          <w:bCs/>
          <w:szCs w:val="18"/>
        </w:rPr>
        <w:t xml:space="preserve">de toegang voor deze </w:t>
      </w:r>
      <w:r>
        <w:rPr>
          <w:bCs/>
          <w:szCs w:val="18"/>
        </w:rPr>
        <w:t xml:space="preserve">specifieke </w:t>
      </w:r>
      <w:r w:rsidR="00A645E6">
        <w:rPr>
          <w:bCs/>
          <w:szCs w:val="18"/>
        </w:rPr>
        <w:t>groep</w:t>
      </w:r>
      <w:r>
        <w:rPr>
          <w:bCs/>
          <w:szCs w:val="18"/>
        </w:rPr>
        <w:t>en</w:t>
      </w:r>
      <w:r w:rsidR="00A645E6">
        <w:rPr>
          <w:bCs/>
          <w:szCs w:val="18"/>
        </w:rPr>
        <w:t xml:space="preserve"> en </w:t>
      </w:r>
      <w:r w:rsidR="00DE206D">
        <w:rPr>
          <w:bCs/>
          <w:szCs w:val="18"/>
        </w:rPr>
        <w:t xml:space="preserve">bevat </w:t>
      </w:r>
      <w:r w:rsidR="00A645E6">
        <w:rPr>
          <w:bCs/>
          <w:szCs w:val="18"/>
        </w:rPr>
        <w:t xml:space="preserve">tevens </w:t>
      </w:r>
      <w:r w:rsidR="00F31E2A">
        <w:rPr>
          <w:bCs/>
          <w:szCs w:val="18"/>
        </w:rPr>
        <w:t xml:space="preserve">een grondslag om </w:t>
      </w:r>
      <w:r>
        <w:rPr>
          <w:bCs/>
          <w:szCs w:val="18"/>
        </w:rPr>
        <w:t>de toegang</w:t>
      </w:r>
      <w:r w:rsidR="00F31E2A">
        <w:rPr>
          <w:bCs/>
          <w:szCs w:val="18"/>
        </w:rPr>
        <w:t xml:space="preserve"> </w:t>
      </w:r>
      <w:r w:rsidR="00DE206D">
        <w:rPr>
          <w:bCs/>
          <w:szCs w:val="18"/>
        </w:rPr>
        <w:t xml:space="preserve">voor deze groep nader </w:t>
      </w:r>
      <w:r w:rsidR="00F31E2A">
        <w:rPr>
          <w:bCs/>
          <w:szCs w:val="18"/>
        </w:rPr>
        <w:t>uit te werken bij besluit.</w:t>
      </w:r>
      <w:r w:rsidR="00FF034C">
        <w:rPr>
          <w:rStyle w:val="Voetnootmarkering"/>
          <w:bCs/>
          <w:szCs w:val="18"/>
        </w:rPr>
        <w:footnoteReference w:id="4"/>
      </w:r>
      <w:r w:rsidR="00F31E2A">
        <w:rPr>
          <w:bCs/>
          <w:szCs w:val="18"/>
        </w:rPr>
        <w:t xml:space="preserve"> </w:t>
      </w:r>
      <w:r w:rsidR="006A1EDA">
        <w:rPr>
          <w:rFonts w:cs="Arial"/>
          <w:szCs w:val="18"/>
          <w:shd w:val="clear" w:color="auto" w:fill="FFFFFF"/>
        </w:rPr>
        <w:t>In dit besluit worden</w:t>
      </w:r>
      <w:r w:rsidRPr="0045102A" w:rsidR="006A1EDA">
        <w:rPr>
          <w:rFonts w:cs="Arial"/>
          <w:szCs w:val="18"/>
          <w:shd w:val="clear" w:color="auto" w:fill="FFFFFF"/>
        </w:rPr>
        <w:t xml:space="preserve"> </w:t>
      </w:r>
      <w:r w:rsidRPr="000F7FA3" w:rsidR="006A1EDA">
        <w:rPr>
          <w:szCs w:val="18"/>
        </w:rPr>
        <w:t xml:space="preserve">bestuursorganen en rechtspersonen met een overheidstaak </w:t>
      </w:r>
      <w:r w:rsidR="006A1EDA">
        <w:rPr>
          <w:szCs w:val="18"/>
        </w:rPr>
        <w:t xml:space="preserve">aangewezen </w:t>
      </w:r>
      <w:r w:rsidRPr="000F7FA3" w:rsidR="006A1EDA">
        <w:rPr>
          <w:szCs w:val="18"/>
        </w:rPr>
        <w:t>waarvoor het in verband met een wettelijke of Europeesrechtelijke taak of bevoegdheid noodzakelijk is om UBO</w:t>
      </w:r>
      <w:r w:rsidR="006A1EDA">
        <w:rPr>
          <w:szCs w:val="18"/>
        </w:rPr>
        <w:t>’</w:t>
      </w:r>
      <w:r w:rsidRPr="000F7FA3" w:rsidR="006A1EDA">
        <w:rPr>
          <w:szCs w:val="18"/>
        </w:rPr>
        <w:t>s te achterhalen</w:t>
      </w:r>
      <w:r w:rsidRPr="002E5BD2" w:rsidR="006A1EDA">
        <w:rPr>
          <w:szCs w:val="18"/>
        </w:rPr>
        <w:t xml:space="preserve">. </w:t>
      </w:r>
      <w:r w:rsidR="006A1EDA">
        <w:rPr>
          <w:bCs/>
          <w:szCs w:val="18"/>
        </w:rPr>
        <w:t xml:space="preserve">Voor deze partijen is het </w:t>
      </w:r>
      <w:r>
        <w:rPr>
          <w:bCs/>
          <w:szCs w:val="18"/>
        </w:rPr>
        <w:t xml:space="preserve">namelijk </w:t>
      </w:r>
      <w:r w:rsidR="006A1EDA">
        <w:rPr>
          <w:bCs/>
          <w:szCs w:val="18"/>
        </w:rPr>
        <w:t xml:space="preserve">noodzakelijk is dat zij toegang krijgen tot de informatie uit de UBO-registers. </w:t>
      </w:r>
      <w:r w:rsidR="00CF51D1">
        <w:rPr>
          <w:bCs/>
          <w:szCs w:val="18"/>
        </w:rPr>
        <w:t xml:space="preserve">Omdat, zoals hierboven vermeld, er twee registers zijn, worden </w:t>
      </w:r>
      <w:r w:rsidR="00CF51D1">
        <w:rPr>
          <w:szCs w:val="18"/>
        </w:rPr>
        <w:t>in dit</w:t>
      </w:r>
      <w:r w:rsidR="00A645E6">
        <w:rPr>
          <w:rFonts w:cs="Arial"/>
          <w:szCs w:val="18"/>
          <w:shd w:val="clear" w:color="auto" w:fill="FFFFFF"/>
        </w:rPr>
        <w:t xml:space="preserve"> besluit</w:t>
      </w:r>
      <w:r w:rsidR="00FF034C">
        <w:rPr>
          <w:rFonts w:cs="Arial"/>
          <w:szCs w:val="18"/>
          <w:shd w:val="clear" w:color="auto" w:fill="FFFFFF"/>
        </w:rPr>
        <w:t xml:space="preserve"> </w:t>
      </w:r>
      <w:r w:rsidRPr="002E5BD2" w:rsidR="00F15471">
        <w:rPr>
          <w:szCs w:val="18"/>
        </w:rPr>
        <w:t xml:space="preserve">het Handelsregisterbesluit 2008 en </w:t>
      </w:r>
      <w:r w:rsidR="00166125">
        <w:rPr>
          <w:szCs w:val="18"/>
        </w:rPr>
        <w:t xml:space="preserve">het </w:t>
      </w:r>
      <w:r w:rsidRPr="002E5BD2" w:rsidR="00F15471">
        <w:t>Implementatiebesluit registratie uiteindelijk belanghebbenden van trusts en soortgelijke juridische constructies</w:t>
      </w:r>
      <w:r w:rsidRPr="002E5BD2" w:rsidR="00F15471">
        <w:rPr>
          <w:szCs w:val="18"/>
        </w:rPr>
        <w:t xml:space="preserve"> gewijzigd. </w:t>
      </w:r>
    </w:p>
    <w:p w:rsidR="00D74BAC" w:rsidP="00FB7ED5" w:rsidRDefault="00D74BAC" w14:paraId="76A42F1A" w14:textId="77777777">
      <w:pPr>
        <w:spacing w:line="276" w:lineRule="auto"/>
        <w:rPr>
          <w:bCs/>
          <w:szCs w:val="18"/>
        </w:rPr>
      </w:pPr>
    </w:p>
    <w:p w:rsidRPr="00BA586D" w:rsidR="0045102A" w:rsidP="00FB7ED5" w:rsidRDefault="000F7FA3" w14:paraId="2D068D6D" w14:textId="5FEC43CE">
      <w:pPr>
        <w:spacing w:line="276" w:lineRule="auto"/>
        <w:rPr>
          <w:bCs/>
          <w:szCs w:val="18"/>
        </w:rPr>
      </w:pPr>
      <w:r>
        <w:rPr>
          <w:rFonts w:cs="Arial"/>
          <w:szCs w:val="18"/>
          <w:shd w:val="clear" w:color="auto" w:fill="FFFFFF"/>
        </w:rPr>
        <w:t xml:space="preserve">Tevens </w:t>
      </w:r>
      <w:r w:rsidR="00CD1E81">
        <w:rPr>
          <w:rFonts w:cs="Arial"/>
          <w:szCs w:val="18"/>
          <w:shd w:val="clear" w:color="auto" w:fill="FFFFFF"/>
        </w:rPr>
        <w:t>wordt</w:t>
      </w:r>
      <w:r w:rsidR="00A010C1">
        <w:rPr>
          <w:rFonts w:cs="Arial"/>
          <w:szCs w:val="18"/>
          <w:shd w:val="clear" w:color="auto" w:fill="FFFFFF"/>
        </w:rPr>
        <w:t xml:space="preserve"> </w:t>
      </w:r>
      <w:r>
        <w:rPr>
          <w:rFonts w:cs="Arial"/>
          <w:szCs w:val="18"/>
          <w:shd w:val="clear" w:color="auto" w:fill="FFFFFF"/>
        </w:rPr>
        <w:t>een</w:t>
      </w:r>
      <w:r w:rsidRPr="004E72C0" w:rsidR="0045102A">
        <w:rPr>
          <w:rFonts w:cs="Arial"/>
          <w:szCs w:val="18"/>
          <w:shd w:val="clear" w:color="auto" w:fill="FFFFFF"/>
        </w:rPr>
        <w:t xml:space="preserve"> </w:t>
      </w:r>
      <w:r w:rsidR="00A010C1">
        <w:rPr>
          <w:rFonts w:cs="Arial"/>
          <w:szCs w:val="18"/>
          <w:shd w:val="clear" w:color="auto" w:fill="FFFFFF"/>
        </w:rPr>
        <w:t xml:space="preserve">tweede </w:t>
      </w:r>
      <w:r w:rsidRPr="004E72C0" w:rsidR="0045102A">
        <w:rPr>
          <w:rFonts w:cs="Arial"/>
          <w:szCs w:val="18"/>
          <w:shd w:val="clear" w:color="auto" w:fill="FFFFFF"/>
        </w:rPr>
        <w:t xml:space="preserve">algemene maatregel van bestuur </w:t>
      </w:r>
      <w:r w:rsidR="00CD1E81">
        <w:rPr>
          <w:rFonts w:cs="Arial"/>
          <w:szCs w:val="18"/>
          <w:shd w:val="clear" w:color="auto" w:fill="FFFFFF"/>
        </w:rPr>
        <w:t xml:space="preserve">voorbereid </w:t>
      </w:r>
      <w:r w:rsidR="00A010C1">
        <w:rPr>
          <w:rFonts w:cs="Arial"/>
          <w:szCs w:val="18"/>
          <w:shd w:val="clear" w:color="auto" w:fill="FFFFFF"/>
        </w:rPr>
        <w:t xml:space="preserve">waarin een </w:t>
      </w:r>
      <w:r w:rsidR="003F631F">
        <w:rPr>
          <w:rFonts w:cs="Arial"/>
          <w:szCs w:val="18"/>
          <w:shd w:val="clear" w:color="auto" w:fill="FFFFFF"/>
        </w:rPr>
        <w:t>andere specifieke groep die toegang heeft tot de UBO-registers</w:t>
      </w:r>
      <w:r w:rsidR="0092209B">
        <w:rPr>
          <w:rFonts w:cs="Arial"/>
          <w:szCs w:val="18"/>
          <w:shd w:val="clear" w:color="auto" w:fill="FFFFFF"/>
        </w:rPr>
        <w:t xml:space="preserve"> </w:t>
      </w:r>
      <w:r w:rsidR="00A645E6">
        <w:rPr>
          <w:rFonts w:cs="Arial"/>
          <w:szCs w:val="18"/>
          <w:shd w:val="clear" w:color="auto" w:fill="FFFFFF"/>
        </w:rPr>
        <w:t>nader wordt uitgewerkt</w:t>
      </w:r>
      <w:r w:rsidR="003F631F">
        <w:rPr>
          <w:rFonts w:cs="Arial"/>
          <w:szCs w:val="18"/>
          <w:shd w:val="clear" w:color="auto" w:fill="FFFFFF"/>
        </w:rPr>
        <w:t xml:space="preserve">, namelijk </w:t>
      </w:r>
      <w:r w:rsidR="004E72C0">
        <w:rPr>
          <w:szCs w:val="18"/>
        </w:rPr>
        <w:t xml:space="preserve">categorieën van natuurlijke personen en rechtspersonen </w:t>
      </w:r>
      <w:r w:rsidR="00E16CC2">
        <w:rPr>
          <w:szCs w:val="18"/>
        </w:rPr>
        <w:t xml:space="preserve">die </w:t>
      </w:r>
      <w:r w:rsidR="00115A23">
        <w:rPr>
          <w:szCs w:val="18"/>
        </w:rPr>
        <w:t xml:space="preserve">een </w:t>
      </w:r>
      <w:r w:rsidR="00E16CC2">
        <w:rPr>
          <w:szCs w:val="18"/>
        </w:rPr>
        <w:t>aantoonbaar legitiem belang hebben bij inzage in de UBO-registers.</w:t>
      </w:r>
      <w:r w:rsidR="00E16CC2">
        <w:rPr>
          <w:rStyle w:val="Voetnootmarkering"/>
          <w:szCs w:val="18"/>
        </w:rPr>
        <w:footnoteReference w:id="5"/>
      </w:r>
      <w:r w:rsidR="00C973C7">
        <w:rPr>
          <w:szCs w:val="18"/>
        </w:rPr>
        <w:t xml:space="preserve">Dit besluit is van </w:t>
      </w:r>
      <w:r w:rsidR="00B77537">
        <w:rPr>
          <w:szCs w:val="18"/>
        </w:rPr>
        <w:t>28 november 2025 tot 9 januari 2026 openbaar geconsulteerd.</w:t>
      </w:r>
    </w:p>
    <w:p w:rsidR="001E0D25" w:rsidRDefault="001E0D25" w14:paraId="5CABCA65" w14:textId="77777777">
      <w:pPr>
        <w:spacing w:line="276" w:lineRule="auto"/>
        <w:rPr>
          <w:bCs/>
        </w:rPr>
      </w:pPr>
    </w:p>
    <w:p w:rsidR="00A010C1" w:rsidRDefault="00A010C1" w14:paraId="41D9EB6B" w14:textId="58C50082">
      <w:pPr>
        <w:spacing w:line="276" w:lineRule="auto"/>
        <w:rPr>
          <w:rFonts w:cs="Arial"/>
          <w:szCs w:val="18"/>
        </w:rPr>
      </w:pPr>
      <w:r>
        <w:rPr>
          <w:rFonts w:cs="Arial"/>
          <w:szCs w:val="18"/>
        </w:rPr>
        <w:t xml:space="preserve">Voor een nadere toelichting op de uitspraak van het HvJ EU, de betreffende Europese anti-witwasrichtlijnen en de inhoud van de </w:t>
      </w:r>
      <w:r w:rsidR="00DE206D">
        <w:rPr>
          <w:rFonts w:cs="Arial"/>
          <w:szCs w:val="18"/>
        </w:rPr>
        <w:t>Wijzigingswet</w:t>
      </w:r>
      <w:r>
        <w:rPr>
          <w:rFonts w:cs="Arial"/>
          <w:szCs w:val="18"/>
        </w:rPr>
        <w:t xml:space="preserve"> wordt verwezen naar de memorie van toelichting van de </w:t>
      </w:r>
      <w:r w:rsidR="00DE206D">
        <w:rPr>
          <w:rFonts w:cs="Arial"/>
          <w:szCs w:val="18"/>
        </w:rPr>
        <w:t>Wijzigingswet</w:t>
      </w:r>
      <w:r>
        <w:rPr>
          <w:rFonts w:cs="Arial"/>
          <w:szCs w:val="18"/>
        </w:rPr>
        <w:t>.</w:t>
      </w:r>
      <w:r>
        <w:rPr>
          <w:rStyle w:val="Voetnootmarkering"/>
          <w:rFonts w:cs="Arial"/>
          <w:szCs w:val="18"/>
        </w:rPr>
        <w:footnoteReference w:id="6"/>
      </w:r>
    </w:p>
    <w:p w:rsidR="00D870AF" w:rsidRDefault="00D870AF" w14:paraId="7BFC9659" w14:textId="77777777">
      <w:pPr>
        <w:spacing w:line="276" w:lineRule="auto"/>
        <w:rPr>
          <w:rFonts w:cs="Arial"/>
          <w:szCs w:val="18"/>
        </w:rPr>
      </w:pPr>
    </w:p>
    <w:p w:rsidR="00D34538" w:rsidRDefault="00D870AF" w14:paraId="2D14A69B" w14:textId="36834127">
      <w:pPr>
        <w:spacing w:line="276" w:lineRule="auto"/>
        <w:rPr>
          <w:rStyle w:val="normaltextrun"/>
          <w:rFonts w:cstheme="minorHAnsi"/>
        </w:rPr>
      </w:pPr>
      <w:r w:rsidRPr="00E5511D">
        <w:rPr>
          <w:rStyle w:val="normaltextrun"/>
          <w:rFonts w:cstheme="minorHAnsi"/>
        </w:rPr>
        <w:t>Op 19 juni 2024 is</w:t>
      </w:r>
      <w:r w:rsidR="004F7E47">
        <w:rPr>
          <w:rStyle w:val="normaltextrun"/>
          <w:rFonts w:cstheme="minorHAnsi"/>
        </w:rPr>
        <w:t xml:space="preserve"> er een nieuwe verordening en een nieuwe richtlijn op het gebied van </w:t>
      </w:r>
      <w:r w:rsidRPr="00E5511D">
        <w:rPr>
          <w:rStyle w:val="normaltextrun"/>
          <w:rFonts w:cstheme="minorHAnsi"/>
        </w:rPr>
        <w:t xml:space="preserve"> anti-witwas</w:t>
      </w:r>
      <w:r w:rsidR="004F7E47">
        <w:rPr>
          <w:rStyle w:val="normaltextrun"/>
          <w:rFonts w:cstheme="minorHAnsi"/>
        </w:rPr>
        <w:t xml:space="preserve">regelgeving </w:t>
      </w:r>
      <w:r w:rsidRPr="00E5511D">
        <w:rPr>
          <w:rStyle w:val="normaltextrun"/>
          <w:rFonts w:cstheme="minorHAnsi"/>
        </w:rPr>
        <w:t>gepubliceerd</w:t>
      </w:r>
      <w:r w:rsidR="00F2655A">
        <w:rPr>
          <w:rStyle w:val="normaltextrun"/>
          <w:rFonts w:cstheme="minorHAnsi"/>
        </w:rPr>
        <w:t xml:space="preserve"> (hierna: de zesde anti-witwasrichtlijn en de zesde anti-witwasverordening)</w:t>
      </w:r>
      <w:r w:rsidR="004F7E47">
        <w:rPr>
          <w:rStyle w:val="normaltextrun"/>
          <w:rFonts w:cstheme="minorHAnsi"/>
        </w:rPr>
        <w:t>.</w:t>
      </w:r>
      <w:r w:rsidR="004F7E47">
        <w:rPr>
          <w:rStyle w:val="Voetnootmarkering"/>
          <w:rFonts w:cstheme="minorHAnsi"/>
        </w:rPr>
        <w:footnoteReference w:id="7"/>
      </w:r>
      <w:r w:rsidR="00033F5F">
        <w:rPr>
          <w:rStyle w:val="normaltextrun"/>
          <w:rFonts w:cstheme="minorHAnsi"/>
        </w:rPr>
        <w:t xml:space="preserve"> </w:t>
      </w:r>
      <w:r w:rsidR="00664401">
        <w:rPr>
          <w:rStyle w:val="normaltextrun"/>
          <w:rFonts w:cstheme="minorHAnsi"/>
        </w:rPr>
        <w:t>De</w:t>
      </w:r>
      <w:r w:rsidR="00706426">
        <w:rPr>
          <w:rStyle w:val="normaltextrun"/>
          <w:rFonts w:cstheme="minorHAnsi"/>
        </w:rPr>
        <w:t xml:space="preserve"> partijen die worden aangewezen in </w:t>
      </w:r>
      <w:r w:rsidR="00001585">
        <w:rPr>
          <w:rStyle w:val="normaltextrun"/>
          <w:rFonts w:cstheme="minorHAnsi"/>
        </w:rPr>
        <w:t xml:space="preserve">dit </w:t>
      </w:r>
      <w:r w:rsidR="000E09FB">
        <w:rPr>
          <w:rStyle w:val="normaltextrun"/>
          <w:rFonts w:cstheme="minorHAnsi"/>
        </w:rPr>
        <w:t>besluit volgen</w:t>
      </w:r>
      <w:r w:rsidR="00664401">
        <w:rPr>
          <w:rStyle w:val="normaltextrun"/>
          <w:rFonts w:cstheme="minorHAnsi"/>
        </w:rPr>
        <w:t xml:space="preserve"> niet</w:t>
      </w:r>
      <w:r w:rsidR="000E09FB">
        <w:rPr>
          <w:rStyle w:val="normaltextrun"/>
          <w:rFonts w:cstheme="minorHAnsi"/>
        </w:rPr>
        <w:t xml:space="preserve"> uit het nieuwe anti-witwaspakket, evenmin uit de huidige anti-witwasrichtlijn.</w:t>
      </w:r>
    </w:p>
    <w:p w:rsidR="00C41DB8" w:rsidRDefault="00C41DB8" w14:paraId="3A74700E" w14:textId="77777777">
      <w:pPr>
        <w:spacing w:line="276" w:lineRule="auto"/>
        <w:rPr>
          <w:rStyle w:val="normaltextrun"/>
          <w:rFonts w:cstheme="minorHAnsi"/>
        </w:rPr>
      </w:pPr>
    </w:p>
    <w:p w:rsidR="00C41DB8" w:rsidP="00C41DB8" w:rsidRDefault="001E7A82" w14:paraId="5D98D1A4" w14:textId="3E087AEA">
      <w:pPr>
        <w:spacing w:line="276" w:lineRule="auto"/>
      </w:pPr>
      <w:r>
        <w:t>Hieronder zal de inhoud van het besluit nader worden toegelicht. Vanaf paragraaf 2.1 zullen de partijen die toegang krijgen afzonderlijk worden besproken.</w:t>
      </w:r>
    </w:p>
    <w:p w:rsidRPr="002B7DF8" w:rsidR="00921A4A" w:rsidP="00FB7ED5" w:rsidRDefault="00921A4A" w14:paraId="293BABAD" w14:textId="77777777">
      <w:pPr>
        <w:spacing w:line="276" w:lineRule="auto"/>
        <w:rPr>
          <w:szCs w:val="18"/>
        </w:rPr>
      </w:pPr>
    </w:p>
    <w:p w:rsidR="00D744DB" w:rsidP="00FB7ED5" w:rsidRDefault="00D744DB" w14:paraId="617286D4" w14:textId="1D2B6183">
      <w:pPr>
        <w:spacing w:line="276" w:lineRule="auto"/>
        <w:rPr>
          <w:i/>
          <w:iCs/>
        </w:rPr>
      </w:pPr>
      <w:r>
        <w:rPr>
          <w:i/>
          <w:iCs/>
        </w:rPr>
        <w:t>§2. Hoofdlijnen</w:t>
      </w:r>
    </w:p>
    <w:p w:rsidRPr="002E5BD2" w:rsidR="00BD547C" w:rsidP="00FB7ED5" w:rsidRDefault="00F15471" w14:paraId="6A787CCD" w14:textId="1330D7D8">
      <w:pPr>
        <w:spacing w:line="276" w:lineRule="auto"/>
      </w:pPr>
      <w:r w:rsidRPr="002E5BD2">
        <w:rPr>
          <w:bCs/>
          <w:szCs w:val="18"/>
        </w:rPr>
        <w:t>Zoals hierboven is vermeld</w:t>
      </w:r>
      <w:r w:rsidRPr="002E5BD2" w:rsidR="00CD36D7">
        <w:rPr>
          <w:bCs/>
          <w:szCs w:val="18"/>
        </w:rPr>
        <w:t>,</w:t>
      </w:r>
      <w:r w:rsidRPr="002E5BD2">
        <w:rPr>
          <w:bCs/>
          <w:szCs w:val="18"/>
        </w:rPr>
        <w:t xml:space="preserve"> wor</w:t>
      </w:r>
      <w:r w:rsidRPr="002E5BD2" w:rsidR="00115A23">
        <w:rPr>
          <w:bCs/>
          <w:szCs w:val="18"/>
        </w:rPr>
        <w:t>den</w:t>
      </w:r>
      <w:r w:rsidRPr="002E5BD2">
        <w:rPr>
          <w:bCs/>
          <w:szCs w:val="18"/>
        </w:rPr>
        <w:t xml:space="preserve"> in dit </w:t>
      </w:r>
      <w:r w:rsidR="007E72C9">
        <w:rPr>
          <w:bCs/>
          <w:szCs w:val="18"/>
        </w:rPr>
        <w:t>besluit</w:t>
      </w:r>
      <w:r w:rsidRPr="002E5BD2">
        <w:rPr>
          <w:bCs/>
          <w:szCs w:val="18"/>
        </w:rPr>
        <w:t xml:space="preserve"> </w:t>
      </w:r>
      <w:r w:rsidRPr="002E5BD2" w:rsidR="00CD36D7">
        <w:rPr>
          <w:bCs/>
          <w:szCs w:val="18"/>
        </w:rPr>
        <w:t xml:space="preserve">wijzigingen doorgevoerd in </w:t>
      </w:r>
      <w:r w:rsidRPr="002E5BD2">
        <w:rPr>
          <w:bCs/>
          <w:szCs w:val="18"/>
        </w:rPr>
        <w:t>het Handelsregisterbesluit 2008</w:t>
      </w:r>
      <w:r w:rsidRPr="002E5BD2" w:rsidR="00CD36D7">
        <w:rPr>
          <w:bCs/>
          <w:szCs w:val="18"/>
        </w:rPr>
        <w:t xml:space="preserve"> en het </w:t>
      </w:r>
      <w:r w:rsidRPr="002E5BD2" w:rsidR="00CD36D7">
        <w:t>Implementatiebesluit registratie uiteindelijk belanghebbenden van trusts en soortgelijke juridische constructies</w:t>
      </w:r>
      <w:r w:rsidRPr="002E5BD2" w:rsidR="00E01407">
        <w:t>.</w:t>
      </w:r>
    </w:p>
    <w:p w:rsidRPr="002E5BD2" w:rsidR="00BD547C" w:rsidP="00FB7ED5" w:rsidRDefault="00BD547C" w14:paraId="1FA5A583" w14:textId="77777777">
      <w:pPr>
        <w:spacing w:line="276" w:lineRule="auto"/>
      </w:pPr>
    </w:p>
    <w:p w:rsidRPr="00BD547C" w:rsidR="00B003FB" w:rsidP="00FB7ED5" w:rsidRDefault="00E43560" w14:paraId="0FF85699" w14:textId="53D5484B">
      <w:pPr>
        <w:spacing w:line="276" w:lineRule="auto"/>
      </w:pPr>
      <w:r w:rsidRPr="002E5BD2">
        <w:t>Eén van deze wijzigingen is het aanwijzen van</w:t>
      </w:r>
      <w:r w:rsidRPr="002E5BD2" w:rsidR="00CD36D7">
        <w:rPr>
          <w:szCs w:val="18"/>
        </w:rPr>
        <w:t xml:space="preserve"> bestuursorganen en rechtspersonen</w:t>
      </w:r>
      <w:r w:rsidRPr="000F7FA3" w:rsidR="00CD36D7">
        <w:rPr>
          <w:szCs w:val="18"/>
        </w:rPr>
        <w:t xml:space="preserve"> met een overheidstaak waarvoor het in verband met een wettelijke of Europeesrechtelijke taak of bevoegdheid noodzakelijk is om </w:t>
      </w:r>
      <w:r w:rsidR="00B77537">
        <w:rPr>
          <w:szCs w:val="18"/>
        </w:rPr>
        <w:t xml:space="preserve">de </w:t>
      </w:r>
      <w:r w:rsidRPr="000F7FA3" w:rsidR="00CD36D7">
        <w:rPr>
          <w:szCs w:val="18"/>
        </w:rPr>
        <w:t>UBO</w:t>
      </w:r>
      <w:r w:rsidR="00674665">
        <w:rPr>
          <w:szCs w:val="18"/>
        </w:rPr>
        <w:t>’</w:t>
      </w:r>
      <w:r w:rsidRPr="000F7FA3" w:rsidR="00CD36D7">
        <w:rPr>
          <w:szCs w:val="18"/>
        </w:rPr>
        <w:t>s te achterhalen</w:t>
      </w:r>
      <w:r w:rsidR="00CD36D7">
        <w:rPr>
          <w:szCs w:val="18"/>
        </w:rPr>
        <w:t>.</w:t>
      </w:r>
    </w:p>
    <w:p w:rsidRPr="000A63AB" w:rsidR="00BD547C" w:rsidP="00FB7ED5" w:rsidRDefault="00BD547C" w14:paraId="30EE48BA" w14:textId="77777777">
      <w:pPr>
        <w:spacing w:line="276" w:lineRule="auto"/>
        <w:rPr>
          <w:bCs/>
          <w:szCs w:val="18"/>
          <w:highlight w:val="yellow"/>
        </w:rPr>
      </w:pPr>
    </w:p>
    <w:p w:rsidR="00F448B5" w:rsidP="00FB7ED5" w:rsidRDefault="00F448B5" w14:paraId="53395A34" w14:textId="535E55A4">
      <w:pPr>
        <w:spacing w:line="276" w:lineRule="auto"/>
        <w:rPr>
          <w:szCs w:val="18"/>
        </w:rPr>
      </w:pPr>
      <w:r>
        <w:t xml:space="preserve">In dit besluit </w:t>
      </w:r>
      <w:r w:rsidR="00A607C2">
        <w:t>worden</w:t>
      </w:r>
      <w:r>
        <w:t xml:space="preserve"> de volgende </w:t>
      </w:r>
      <w:r w:rsidRPr="00CB7AB0">
        <w:rPr>
          <w:szCs w:val="18"/>
        </w:rPr>
        <w:t>bestuursorgan</w:t>
      </w:r>
      <w:r>
        <w:rPr>
          <w:szCs w:val="18"/>
        </w:rPr>
        <w:t>en en rechtspersonen met een overheidstaak aangewezen</w:t>
      </w:r>
      <w:r w:rsidR="00E01407">
        <w:rPr>
          <w:szCs w:val="18"/>
        </w:rPr>
        <w:t>:</w:t>
      </w:r>
    </w:p>
    <w:p w:rsidRPr="00CB7AB0" w:rsidR="00F448B5" w:rsidP="00FB7ED5" w:rsidRDefault="00F448B5" w14:paraId="6E5FAB09" w14:textId="77777777">
      <w:pPr>
        <w:spacing w:line="276" w:lineRule="auto"/>
        <w:rPr>
          <w:szCs w:val="18"/>
        </w:rPr>
      </w:pPr>
    </w:p>
    <w:p w:rsidRPr="002E5BD2" w:rsidR="00193595" w:rsidP="00B52560" w:rsidRDefault="00F237BC" w14:paraId="5AE52C94" w14:textId="38434262">
      <w:pPr>
        <w:pStyle w:val="Lijstalinea"/>
        <w:numPr>
          <w:ilvl w:val="0"/>
          <w:numId w:val="34"/>
        </w:numPr>
        <w:rPr>
          <w:bCs/>
          <w:szCs w:val="18"/>
        </w:rPr>
      </w:pPr>
      <w:r>
        <w:rPr>
          <w:szCs w:val="18"/>
        </w:rPr>
        <w:t>De</w:t>
      </w:r>
      <w:r w:rsidR="0059578A">
        <w:rPr>
          <w:szCs w:val="18"/>
        </w:rPr>
        <w:t xml:space="preserve"> Minister van Financiën en </w:t>
      </w:r>
      <w:r>
        <w:rPr>
          <w:szCs w:val="18"/>
        </w:rPr>
        <w:t>de</w:t>
      </w:r>
      <w:r w:rsidR="0059578A">
        <w:rPr>
          <w:szCs w:val="18"/>
        </w:rPr>
        <w:t xml:space="preserve"> ministers die het mede aangaat</w:t>
      </w:r>
      <w:r w:rsidR="005908A1">
        <w:rPr>
          <w:szCs w:val="18"/>
        </w:rPr>
        <w:t xml:space="preserve"> </w:t>
      </w:r>
      <w:r w:rsidR="0059578A">
        <w:rPr>
          <w:szCs w:val="18"/>
        </w:rPr>
        <w:t xml:space="preserve">in het kader van hun taak voor de </w:t>
      </w:r>
      <w:r w:rsidRPr="00633144" w:rsidR="00193595">
        <w:rPr>
          <w:szCs w:val="18"/>
        </w:rPr>
        <w:t xml:space="preserve">herstel- en veerkrachtfaciliteit, die op 12 februari 2021 is vastgesteld bij </w:t>
      </w:r>
      <w:r w:rsidRPr="009F43E9" w:rsidR="009F43E9">
        <w:rPr>
          <w:szCs w:val="18"/>
        </w:rPr>
        <w:t xml:space="preserve">Verordening (EU) 2021/241 van het Europees Parlement en de Raad van 12 februari 2021 tot instelling van de herstel- en </w:t>
      </w:r>
      <w:r w:rsidRPr="002E5BD2" w:rsidR="009F43E9">
        <w:rPr>
          <w:szCs w:val="18"/>
        </w:rPr>
        <w:t xml:space="preserve">veerkrachtfaciliteit (hierna: </w:t>
      </w:r>
      <w:r w:rsidR="00B77537">
        <w:rPr>
          <w:szCs w:val="18"/>
        </w:rPr>
        <w:t>V</w:t>
      </w:r>
      <w:r w:rsidRPr="002E5BD2" w:rsidR="009F43E9">
        <w:rPr>
          <w:szCs w:val="18"/>
        </w:rPr>
        <w:t>erordening 2021/241)</w:t>
      </w:r>
      <w:r w:rsidRPr="002E5BD2" w:rsidR="003F0AB4">
        <w:rPr>
          <w:szCs w:val="18"/>
        </w:rPr>
        <w:t>;</w:t>
      </w:r>
    </w:p>
    <w:p w:rsidRPr="002E5BD2" w:rsidR="00E01407" w:rsidP="00B52560" w:rsidRDefault="00115A23" w14:paraId="6D1A5A78" w14:textId="1A9E3450">
      <w:pPr>
        <w:pStyle w:val="Lijstalinea"/>
        <w:numPr>
          <w:ilvl w:val="0"/>
          <w:numId w:val="34"/>
        </w:numPr>
        <w:rPr>
          <w:bCs/>
          <w:szCs w:val="18"/>
        </w:rPr>
      </w:pPr>
      <w:r w:rsidRPr="002E5BD2">
        <w:rPr>
          <w:szCs w:val="18"/>
        </w:rPr>
        <w:t>B</w:t>
      </w:r>
      <w:r w:rsidRPr="002E5BD2" w:rsidR="00193595">
        <w:rPr>
          <w:szCs w:val="18"/>
        </w:rPr>
        <w:t xml:space="preserve">estuursorganen en rechtspersonen met een overheidstaak waarvoor toegang noodzakelijk is om uitvoering te kunnen geven aan hun </w:t>
      </w:r>
      <w:r w:rsidR="00EB0552">
        <w:rPr>
          <w:szCs w:val="18"/>
        </w:rPr>
        <w:t xml:space="preserve">eigen </w:t>
      </w:r>
      <w:r w:rsidRPr="002E5BD2" w:rsidR="00193595">
        <w:rPr>
          <w:szCs w:val="18"/>
        </w:rPr>
        <w:t>onderzoek op basis van de Wet bevordering integriteitsbeoordelingen door het openbaar bestuur (Wet Bibob);</w:t>
      </w:r>
    </w:p>
    <w:p w:rsidRPr="005652E3" w:rsidR="0039110F" w:rsidP="005652E3" w:rsidRDefault="00E01407" w14:paraId="3014BCE7" w14:textId="223DC2DC">
      <w:pPr>
        <w:pStyle w:val="Lijstalinea"/>
        <w:numPr>
          <w:ilvl w:val="0"/>
          <w:numId w:val="34"/>
        </w:numPr>
        <w:rPr>
          <w:bCs/>
          <w:szCs w:val="18"/>
        </w:rPr>
      </w:pPr>
      <w:r w:rsidRPr="002E5BD2">
        <w:rPr>
          <w:bCs/>
          <w:szCs w:val="18"/>
        </w:rPr>
        <w:t xml:space="preserve">De Nederlandsche </w:t>
      </w:r>
      <w:r w:rsidRPr="002E5BD2" w:rsidR="00B26D6A">
        <w:rPr>
          <w:bCs/>
          <w:szCs w:val="18"/>
        </w:rPr>
        <w:t>B</w:t>
      </w:r>
      <w:r w:rsidRPr="002E5BD2">
        <w:rPr>
          <w:bCs/>
          <w:szCs w:val="18"/>
        </w:rPr>
        <w:t>ank</w:t>
      </w:r>
      <w:r w:rsidR="00B77537">
        <w:rPr>
          <w:bCs/>
          <w:szCs w:val="18"/>
        </w:rPr>
        <w:t xml:space="preserve"> </w:t>
      </w:r>
      <w:r w:rsidR="00F168A9">
        <w:rPr>
          <w:bCs/>
          <w:szCs w:val="18"/>
        </w:rPr>
        <w:t>N.V.</w:t>
      </w:r>
      <w:r w:rsidR="007A7531">
        <w:rPr>
          <w:bCs/>
          <w:szCs w:val="18"/>
        </w:rPr>
        <w:t xml:space="preserve"> </w:t>
      </w:r>
      <w:r w:rsidR="00B77537">
        <w:rPr>
          <w:bCs/>
          <w:szCs w:val="18"/>
        </w:rPr>
        <w:t>(DNB)</w:t>
      </w:r>
      <w:r w:rsidRPr="00C07412" w:rsidR="003F0AB4">
        <w:rPr>
          <w:bCs/>
          <w:szCs w:val="18"/>
        </w:rPr>
        <w:t xml:space="preserve"> in verband met het behandelen van </w:t>
      </w:r>
      <w:r w:rsidRPr="00C07412" w:rsidR="003F0AB4">
        <w:t>aanvragen om vergoeding van guldenbiljetten en beschadigde eurobankbiljette</w:t>
      </w:r>
      <w:r w:rsidRPr="00C07412" w:rsidR="00C07412">
        <w:t>n</w:t>
      </w:r>
      <w:r w:rsidR="005652E3">
        <w:t xml:space="preserve"> en </w:t>
      </w:r>
      <w:r w:rsidRPr="005652E3" w:rsidR="00C07412">
        <w:rPr>
          <w:bCs/>
          <w:szCs w:val="18"/>
        </w:rPr>
        <w:t>in verband met personentoetsingen;</w:t>
      </w:r>
    </w:p>
    <w:p w:rsidRPr="00FD1797" w:rsidR="002D3A6E" w:rsidP="00B52560" w:rsidRDefault="007D7CAC" w14:paraId="56CE048E" w14:textId="11066FF4">
      <w:pPr>
        <w:pStyle w:val="Lijstalinea"/>
        <w:numPr>
          <w:ilvl w:val="0"/>
          <w:numId w:val="34"/>
        </w:numPr>
        <w:rPr>
          <w:bCs/>
          <w:szCs w:val="18"/>
        </w:rPr>
      </w:pPr>
      <w:r w:rsidRPr="00FD1797">
        <w:rPr>
          <w:bCs/>
          <w:szCs w:val="18"/>
        </w:rPr>
        <w:t>De Autoriteit Financiële Markte</w:t>
      </w:r>
      <w:r w:rsidRPr="00FD1797" w:rsidR="000F6700">
        <w:rPr>
          <w:bCs/>
          <w:szCs w:val="18"/>
        </w:rPr>
        <w:t>n</w:t>
      </w:r>
      <w:r w:rsidR="00B77537">
        <w:rPr>
          <w:bCs/>
          <w:szCs w:val="18"/>
        </w:rPr>
        <w:t xml:space="preserve"> (AFM)</w:t>
      </w:r>
      <w:r w:rsidRPr="00FD1797" w:rsidR="000F6700">
        <w:rPr>
          <w:bCs/>
          <w:szCs w:val="18"/>
        </w:rPr>
        <w:t xml:space="preserve"> in verband met personentoetsing</w:t>
      </w:r>
      <w:r w:rsidR="002F7E17">
        <w:rPr>
          <w:bCs/>
          <w:szCs w:val="18"/>
        </w:rPr>
        <w:t>en</w:t>
      </w:r>
      <w:r w:rsidRPr="00FD1797" w:rsidR="000F6700">
        <w:rPr>
          <w:bCs/>
          <w:szCs w:val="18"/>
        </w:rPr>
        <w:t xml:space="preserve">, </w:t>
      </w:r>
      <w:r w:rsidRPr="00FD1797" w:rsidR="006D64C0">
        <w:rPr>
          <w:bCs/>
          <w:szCs w:val="18"/>
        </w:rPr>
        <w:t>met</w:t>
      </w:r>
      <w:r w:rsidRPr="00FD1797" w:rsidR="000F6700">
        <w:rPr>
          <w:bCs/>
          <w:szCs w:val="18"/>
        </w:rPr>
        <w:t xml:space="preserve"> verrijken van signalen,</w:t>
      </w:r>
      <w:r w:rsidRPr="00FD1797" w:rsidR="00AF4AED">
        <w:rPr>
          <w:bCs/>
          <w:szCs w:val="18"/>
        </w:rPr>
        <w:t xml:space="preserve"> </w:t>
      </w:r>
      <w:r w:rsidRPr="00FD1797" w:rsidR="006D64C0">
        <w:rPr>
          <w:bCs/>
          <w:szCs w:val="18"/>
        </w:rPr>
        <w:t>met toezicht op verslaggeving en accountantsorganisaties</w:t>
      </w:r>
      <w:r w:rsidR="00794964">
        <w:rPr>
          <w:bCs/>
          <w:szCs w:val="18"/>
        </w:rPr>
        <w:t>,</w:t>
      </w:r>
      <w:r w:rsidR="003B4956">
        <w:rPr>
          <w:bCs/>
          <w:szCs w:val="18"/>
        </w:rPr>
        <w:t xml:space="preserve"> </w:t>
      </w:r>
      <w:r w:rsidRPr="00FD1797" w:rsidR="006D64C0">
        <w:rPr>
          <w:bCs/>
          <w:szCs w:val="18"/>
        </w:rPr>
        <w:t>met toezicht prospectus</w:t>
      </w:r>
      <w:r w:rsidR="000D4D57">
        <w:rPr>
          <w:bCs/>
          <w:szCs w:val="18"/>
        </w:rPr>
        <w:t xml:space="preserve">, </w:t>
      </w:r>
      <w:r w:rsidR="00794964">
        <w:rPr>
          <w:bCs/>
          <w:szCs w:val="18"/>
        </w:rPr>
        <w:t xml:space="preserve">toezicht </w:t>
      </w:r>
      <w:r w:rsidR="003B4956">
        <w:rPr>
          <w:bCs/>
          <w:szCs w:val="18"/>
        </w:rPr>
        <w:t>in het kader van oneerlijke handelspraktijken</w:t>
      </w:r>
      <w:r w:rsidR="000D4D57">
        <w:rPr>
          <w:bCs/>
          <w:szCs w:val="18"/>
        </w:rPr>
        <w:t xml:space="preserve"> en </w:t>
      </w:r>
      <w:r w:rsidR="006A20AD">
        <w:rPr>
          <w:bCs/>
          <w:szCs w:val="18"/>
        </w:rPr>
        <w:t>het vergunningsverleningsproces</w:t>
      </w:r>
      <w:r w:rsidR="00B77537">
        <w:rPr>
          <w:bCs/>
          <w:szCs w:val="18"/>
        </w:rPr>
        <w:t>;</w:t>
      </w:r>
    </w:p>
    <w:p w:rsidRPr="00C018A0" w:rsidR="002D3A6E" w:rsidP="00B52560" w:rsidRDefault="00115A23" w14:paraId="1AC2D2E4" w14:textId="0317A2E8">
      <w:pPr>
        <w:pStyle w:val="Lijstalinea"/>
        <w:numPr>
          <w:ilvl w:val="0"/>
          <w:numId w:val="34"/>
        </w:numPr>
        <w:rPr>
          <w:bCs/>
          <w:szCs w:val="18"/>
        </w:rPr>
      </w:pPr>
      <w:r>
        <w:t>D</w:t>
      </w:r>
      <w:r w:rsidRPr="0039110F" w:rsidR="0039110F">
        <w:t xml:space="preserve">e Minister van Economische Zaken voor wat betreft de uitvoering van </w:t>
      </w:r>
      <w:r w:rsidR="00F81307">
        <w:t xml:space="preserve">zijn </w:t>
      </w:r>
      <w:r w:rsidRPr="0039110F" w:rsidR="0039110F">
        <w:t xml:space="preserve">taak op grond van </w:t>
      </w:r>
      <w:r w:rsidRPr="00C018A0" w:rsidR="0039110F">
        <w:t>Wet veiligheidstoets investeringen, fusies en overnames;</w:t>
      </w:r>
    </w:p>
    <w:p w:rsidRPr="00AD567F" w:rsidR="00766342" w:rsidP="00B52560" w:rsidRDefault="00B77537" w14:paraId="69E7CA95" w14:textId="562D805D">
      <w:pPr>
        <w:pStyle w:val="Lijstalinea"/>
        <w:numPr>
          <w:ilvl w:val="0"/>
          <w:numId w:val="34"/>
        </w:numPr>
        <w:rPr>
          <w:bCs/>
          <w:szCs w:val="18"/>
        </w:rPr>
      </w:pPr>
      <w:r>
        <w:t>De</w:t>
      </w:r>
      <w:r w:rsidRPr="00C018A0">
        <w:t xml:space="preserve"> </w:t>
      </w:r>
      <w:r w:rsidRPr="00C018A0" w:rsidR="0039110F">
        <w:t xml:space="preserve">gerechtsdeurwaarder voor </w:t>
      </w:r>
      <w:r w:rsidR="000D4D57">
        <w:t>wat</w:t>
      </w:r>
      <w:r w:rsidRPr="000D4D57" w:rsidR="000D4D57">
        <w:t xml:space="preserve"> betreft de uitvoering van zijn taak op grond van de Gerechtsdeurwaarderswet</w:t>
      </w:r>
      <w:r w:rsidR="00AD567F">
        <w:t>;</w:t>
      </w:r>
    </w:p>
    <w:p w:rsidRPr="004E1036" w:rsidR="00AD567F" w:rsidP="00AD567F" w:rsidRDefault="00A55BD3" w14:paraId="5F358AF4" w14:textId="7901A8AB">
      <w:pPr>
        <w:pStyle w:val="Lijstalinea"/>
        <w:numPr>
          <w:ilvl w:val="0"/>
          <w:numId w:val="34"/>
        </w:numPr>
        <w:rPr>
          <w:szCs w:val="18"/>
        </w:rPr>
      </w:pPr>
      <w:r>
        <w:t>Ee</w:t>
      </w:r>
      <w:r w:rsidRPr="0041783D" w:rsidR="00AD567F">
        <w:t xml:space="preserve">n notaris voor wat betreft </w:t>
      </w:r>
      <w:r w:rsidRPr="00753D93" w:rsidR="00753D93">
        <w:t>de uitoefening van zijn taak op grond van de Wet op het notarisambt;</w:t>
      </w:r>
    </w:p>
    <w:p w:rsidRPr="00753D93" w:rsidR="004E1036" w:rsidP="00753D93" w:rsidRDefault="00631AF1" w14:paraId="0725F0A9" w14:textId="2AA25756">
      <w:pPr>
        <w:pStyle w:val="Lijstalinea"/>
        <w:numPr>
          <w:ilvl w:val="0"/>
          <w:numId w:val="34"/>
        </w:numPr>
        <w:rPr>
          <w:szCs w:val="18"/>
        </w:rPr>
      </w:pPr>
      <w:r>
        <w:rPr>
          <w:szCs w:val="18"/>
        </w:rPr>
        <w:t>H</w:t>
      </w:r>
      <w:r w:rsidRPr="004E1036" w:rsidR="004E1036">
        <w:rPr>
          <w:szCs w:val="18"/>
        </w:rPr>
        <w:t xml:space="preserve">et Bureau Financieel Toezicht </w:t>
      </w:r>
      <w:r w:rsidRPr="00753D93" w:rsidR="00753D93">
        <w:rPr>
          <w:szCs w:val="18"/>
        </w:rPr>
        <w:t>voor wat betreft de uitvoering van zijn taak op grond van de Gerechtsdeurwaarderswet en van de Wet op het notarisambt;</w:t>
      </w:r>
    </w:p>
    <w:p w:rsidR="00563CEB" w:rsidP="00B52560" w:rsidRDefault="00EC1BB9" w14:paraId="34FB7EF0" w14:textId="30FD5922">
      <w:pPr>
        <w:pStyle w:val="Lijstalinea"/>
        <w:numPr>
          <w:ilvl w:val="0"/>
          <w:numId w:val="34"/>
        </w:numPr>
      </w:pPr>
      <w:r>
        <w:t>De</w:t>
      </w:r>
      <w:r w:rsidRPr="003426CA" w:rsidR="00BB6157">
        <w:t xml:space="preserve"> ministers die het aangaat en de door hen aangewezen beheerautoriteiten in het kader van de uitvoering van de Verordening (EU) 2021/1060 van het Europees Parlement en de Raad van 24 juni 2021 houdende gemeenschappelijke bepalingen inzake het Europees Fonds voor regionale 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 financiële steun voor grensbeheer en visumbeleid (</w:t>
      </w:r>
      <w:r w:rsidR="00BB6157">
        <w:t xml:space="preserve">hierna: </w:t>
      </w:r>
      <w:r w:rsidR="00EE580D">
        <w:t>V</w:t>
      </w:r>
      <w:r w:rsidR="00BB6157">
        <w:t>erordening 2021/60)</w:t>
      </w:r>
      <w:r w:rsidR="00563CEB">
        <w:t>;</w:t>
      </w:r>
    </w:p>
    <w:p w:rsidRPr="00F17FB9" w:rsidR="00F17FB9" w:rsidP="00167307" w:rsidRDefault="00F17FB9" w14:paraId="15E40370" w14:textId="02512D7F">
      <w:pPr>
        <w:pStyle w:val="Lijstalinea"/>
        <w:numPr>
          <w:ilvl w:val="0"/>
          <w:numId w:val="34"/>
        </w:numPr>
      </w:pPr>
      <w:r w:rsidRPr="002D27CB">
        <w:rPr>
          <w:szCs w:val="18"/>
        </w:rPr>
        <w:t xml:space="preserve">de Nationale en Internationale Wegvervoer Organisatie voor wat betreft de uitvoering van haar taak van de Verordening (EG) 765/2006 van de Raad van 18 mei 2006 betreffende beperkende maatregelen tegen president Loekasjenko en bepaalde functionarissen van Belarus </w:t>
      </w:r>
      <w:r>
        <w:rPr>
          <w:szCs w:val="18"/>
        </w:rPr>
        <w:t xml:space="preserve">(hierna: verordening 765/2006) </w:t>
      </w:r>
      <w:r w:rsidRPr="002D27CB">
        <w:rPr>
          <w:szCs w:val="18"/>
        </w:rPr>
        <w:t>en de Verordening (EU) 833/2014 van de Raad van 31 juli 2014 betreffende beperkende maatregelen naar aanleiding van de acties van Rusland die de situatie in Oekraïne destabiliseren</w:t>
      </w:r>
      <w:r>
        <w:rPr>
          <w:szCs w:val="18"/>
        </w:rPr>
        <w:t xml:space="preserve"> (hierna: </w:t>
      </w:r>
      <w:r w:rsidR="00EE580D">
        <w:rPr>
          <w:szCs w:val="18"/>
        </w:rPr>
        <w:t>V</w:t>
      </w:r>
      <w:r>
        <w:rPr>
          <w:szCs w:val="18"/>
        </w:rPr>
        <w:t>erordening 833/2014);</w:t>
      </w:r>
    </w:p>
    <w:p w:rsidRPr="00AD567F" w:rsidR="00AD567F" w:rsidP="00AD567F" w:rsidRDefault="00AD567F" w14:paraId="75F9A231" w14:textId="55D0A693">
      <w:pPr>
        <w:pStyle w:val="Lijstalinea"/>
        <w:numPr>
          <w:ilvl w:val="0"/>
          <w:numId w:val="34"/>
        </w:numPr>
        <w:rPr>
          <w:szCs w:val="18"/>
        </w:rPr>
      </w:pPr>
      <w:r w:rsidRPr="007441AA">
        <w:rPr>
          <w:szCs w:val="18"/>
        </w:rPr>
        <w:t xml:space="preserve">Onze Minister van Binnenlandse Zaken en Koninkrijksrelaties </w:t>
      </w:r>
      <w:r w:rsidR="00753D93">
        <w:rPr>
          <w:szCs w:val="18"/>
        </w:rPr>
        <w:t xml:space="preserve">voor </w:t>
      </w:r>
      <w:r w:rsidRPr="00753D93" w:rsidR="00753D93">
        <w:rPr>
          <w:szCs w:val="18"/>
        </w:rPr>
        <w:t>wat betreft de uitvoering van zijn taak op grond van de Wet financiering politieke partijen.</w:t>
      </w:r>
    </w:p>
    <w:p w:rsidR="004A7A91" w:rsidP="00DB5D7C" w:rsidRDefault="004A7A91" w14:paraId="4F993CDC" w14:textId="77777777">
      <w:pPr>
        <w:spacing w:line="276" w:lineRule="auto"/>
      </w:pPr>
    </w:p>
    <w:p w:rsidRPr="00B5471D" w:rsidR="004A7A91" w:rsidP="004A7A91" w:rsidRDefault="004A7A91" w14:paraId="5189F6A5" w14:textId="2862151F">
      <w:pPr>
        <w:spacing w:line="276" w:lineRule="auto"/>
      </w:pPr>
      <w:r>
        <w:t>Het</w:t>
      </w:r>
      <w:r w:rsidRPr="00B5471D">
        <w:t xml:space="preserve"> opvragen van de gegevens door bestuursorganen en rechtspersonen </w:t>
      </w:r>
      <w:r>
        <w:t xml:space="preserve">is </w:t>
      </w:r>
      <w:r w:rsidRPr="00B5471D">
        <w:t xml:space="preserve">noodzakelijk omdat </w:t>
      </w:r>
      <w:r>
        <w:t>ze</w:t>
      </w:r>
      <w:r w:rsidRPr="00B5471D">
        <w:t xml:space="preserve"> hiermee aan hun wettelijke verplichting kunnen voldoen. De verwerking is evenredig omdat de bestuursorganen en rechtspersonen enkel de opvraging mogen doen in verband met </w:t>
      </w:r>
      <w:r w:rsidR="00631AF1">
        <w:t>hun</w:t>
      </w:r>
      <w:r w:rsidRPr="00B5471D">
        <w:t xml:space="preserve"> wettelijke taak of bevoegdheid zoals opgenomen in het besluit. Er is bovendien geen andere (betrouwbare) bron voor het verkrijgen </w:t>
      </w:r>
      <w:r w:rsidR="002136BC">
        <w:t xml:space="preserve">en verifiëren </w:t>
      </w:r>
      <w:r w:rsidRPr="00B5471D">
        <w:t>van de benodigde gegevens die minder ingrijpend is dan het raadplegen van de UBO-registers.</w:t>
      </w:r>
    </w:p>
    <w:p w:rsidR="004A7A91" w:rsidP="00DB5D7C" w:rsidRDefault="004A7A91" w14:paraId="428D860A" w14:textId="77777777">
      <w:pPr>
        <w:spacing w:line="276" w:lineRule="auto"/>
      </w:pPr>
    </w:p>
    <w:p w:rsidR="008E6CF7" w:rsidP="00DB5D7C" w:rsidRDefault="00BC7DE1" w14:paraId="1A1ACD24" w14:textId="17E8CD46">
      <w:pPr>
        <w:spacing w:line="276" w:lineRule="auto"/>
      </w:pPr>
      <w:r>
        <w:t xml:space="preserve">De toegang voor de bestuursorganen en rechtspersonen </w:t>
      </w:r>
      <w:r w:rsidRPr="000F7FA3">
        <w:rPr>
          <w:szCs w:val="18"/>
        </w:rPr>
        <w:t>met een overheidstaak waarvoor het in verband met een wettelijke of Europeesrechtelijke taak of bevoegdheid noodzakelijk is om UBO</w:t>
      </w:r>
      <w:r>
        <w:rPr>
          <w:szCs w:val="18"/>
        </w:rPr>
        <w:t>’</w:t>
      </w:r>
      <w:r w:rsidRPr="000F7FA3">
        <w:rPr>
          <w:szCs w:val="18"/>
        </w:rPr>
        <w:t>s te achterhalen</w:t>
      </w:r>
      <w:r>
        <w:rPr>
          <w:szCs w:val="18"/>
        </w:rPr>
        <w:t xml:space="preserve">, </w:t>
      </w:r>
      <w:r>
        <w:t>brengt in sommige gevallen met zich mee dat er persoonsgegevens worden verwerkt voor een ander doel dan waarvoor de persoonsgegevens oorspronkelijk zijn verzameld. De toegang op basis van de anti-witwasrichtlijn beperkt zich immers tot de doelstellingen van de richtlijn, namelijk het voorkomen of bestrijden van witwassen, daarmee verband houdende basisdelicten of financieren van terrorisme. Deze verwerking voor een ander doel is gerechtvaardigd wanneer deze geschiedt op grond van een wettelijke grondslag die in een democratische samenleving een noodzakelijk en evenredige maatregel vormt ter waarborging van de in het eerste lid van artikel 23 van de</w:t>
      </w:r>
      <w:r w:rsidR="00631AF1">
        <w:t xml:space="preserve"> Algemene verordening gegevensbescherming (AVG)</w:t>
      </w:r>
      <w:r>
        <w:t xml:space="preserve"> AVG bedoelde doelstellingen.</w:t>
      </w:r>
      <w:r>
        <w:rPr>
          <w:rStyle w:val="Voetnootmarkering"/>
        </w:rPr>
        <w:footnoteReference w:id="8"/>
      </w:r>
      <w:r>
        <w:t xml:space="preserve"> </w:t>
      </w:r>
    </w:p>
    <w:p w:rsidR="008E6CF7" w:rsidDel="008E6CF7" w:rsidP="00DB5D7C" w:rsidRDefault="008E6CF7" w14:paraId="694806B9" w14:textId="77777777">
      <w:pPr>
        <w:spacing w:line="276" w:lineRule="auto"/>
      </w:pPr>
    </w:p>
    <w:p w:rsidR="007A6B73" w:rsidP="00E73267" w:rsidRDefault="007A6B73" w14:paraId="26548020" w14:textId="771D837A">
      <w:pPr>
        <w:spacing w:line="276" w:lineRule="auto"/>
      </w:pPr>
      <w:r>
        <w:t>Hieronder wordt</w:t>
      </w:r>
      <w:r w:rsidR="00BC7DE1">
        <w:t xml:space="preserve"> per bestuursorgaan of rechtspersoon </w:t>
      </w:r>
      <w:r w:rsidRPr="000F7FA3" w:rsidR="00BC7DE1">
        <w:rPr>
          <w:szCs w:val="18"/>
        </w:rPr>
        <w:t xml:space="preserve">met een overheidstaak </w:t>
      </w:r>
      <w:r w:rsidR="00631AF1">
        <w:rPr>
          <w:szCs w:val="18"/>
        </w:rPr>
        <w:t>die in dit besluit wordt aangewezen</w:t>
      </w:r>
      <w:r w:rsidR="00BC7DE1">
        <w:rPr>
          <w:szCs w:val="18"/>
        </w:rPr>
        <w:t>,</w:t>
      </w:r>
      <w:r w:rsidR="00BC7DE1">
        <w:t xml:space="preserve"> onderbouwd waarom deze verwerking voor een ander doel gerechtvaardigd is en een noodzakelijke en evenredige maatregel vormt ter waarborging van de in artikel 23, eerste lid, AVG bedoelde doelstellingen</w:t>
      </w:r>
      <w:r>
        <w:t>.</w:t>
      </w:r>
    </w:p>
    <w:p w:rsidR="00BA34DF" w:rsidP="00E73267" w:rsidRDefault="00BA34DF" w14:paraId="45622FA2" w14:textId="77777777">
      <w:pPr>
        <w:spacing w:line="276" w:lineRule="auto"/>
      </w:pPr>
    </w:p>
    <w:p w:rsidRPr="002E5BD2" w:rsidR="00BA34DF" w:rsidP="00BA34DF" w:rsidRDefault="00BA34DF" w14:paraId="22BB6E7E" w14:textId="77777777">
      <w:pPr>
        <w:spacing w:line="276" w:lineRule="auto"/>
      </w:pPr>
      <w:r>
        <w:rPr>
          <w:bCs/>
          <w:szCs w:val="18"/>
        </w:rPr>
        <w:t xml:space="preserve">Tevens zijn in het </w:t>
      </w:r>
      <w:r w:rsidRPr="002E5BD2">
        <w:rPr>
          <w:bCs/>
          <w:szCs w:val="18"/>
        </w:rPr>
        <w:t xml:space="preserve">Handelsregisterbesluit 2008 en het </w:t>
      </w:r>
      <w:r w:rsidRPr="002E5BD2">
        <w:t xml:space="preserve">Implementatiebesluit registratie uiteindelijk belanghebbenden van trusts en soortgelijke juridische constructies de bevoegde autoriteiten aangewezen die toegang hebben tot de UBO-registers. </w:t>
      </w:r>
    </w:p>
    <w:p w:rsidRPr="002E5BD2" w:rsidR="00BA34DF" w:rsidP="00BA34DF" w:rsidRDefault="00BA34DF" w14:paraId="0B8A8F00" w14:textId="24C3A404">
      <w:pPr>
        <w:spacing w:line="276" w:lineRule="auto"/>
      </w:pPr>
      <w:r w:rsidRPr="002E5BD2">
        <w:t xml:space="preserve">In dit </w:t>
      </w:r>
      <w:r w:rsidR="007E72C9">
        <w:t xml:space="preserve">besluit </w:t>
      </w:r>
      <w:r w:rsidRPr="002E5BD2">
        <w:t>wordt de Douane toegevoegd aan de lijst van bevoegde autoriteiten die toegang hebben tot de UBO-registers.</w:t>
      </w:r>
    </w:p>
    <w:p w:rsidR="000F7FA3" w:rsidP="00E73267" w:rsidRDefault="00AC5FDC" w14:paraId="67C48AFC" w14:textId="03F271B7">
      <w:pPr>
        <w:spacing w:line="276" w:lineRule="auto"/>
        <w:rPr>
          <w:i/>
          <w:iCs/>
        </w:rPr>
      </w:pPr>
      <w:r>
        <w:rPr>
          <w:szCs w:val="18"/>
        </w:rPr>
        <w:t xml:space="preserve">                                                                                                                                   </w:t>
      </w:r>
      <w:r w:rsidRPr="003C5152" w:rsidR="008D2B18">
        <w:rPr>
          <w:i/>
          <w:iCs/>
        </w:rPr>
        <w:t>§2.1 De herstel- en veerkrachtfaciliteit</w:t>
      </w:r>
    </w:p>
    <w:p w:rsidR="003D5B86" w:rsidP="00C018A0" w:rsidRDefault="005B4461" w14:paraId="221AF920" w14:textId="2749CE95">
      <w:pPr>
        <w:spacing w:line="276" w:lineRule="auto"/>
        <w:jc w:val="both"/>
        <w:rPr>
          <w:rFonts w:eastAsia="Calibri"/>
          <w:szCs w:val="18"/>
          <w:lang w:eastAsia="en-US"/>
        </w:rPr>
      </w:pPr>
      <w:r>
        <w:rPr>
          <w:rFonts w:eastAsia="Calibri"/>
          <w:szCs w:val="18"/>
          <w:lang w:eastAsia="en-US"/>
        </w:rPr>
        <w:t xml:space="preserve">De </w:t>
      </w:r>
      <w:r w:rsidRPr="00633144">
        <w:rPr>
          <w:rFonts w:eastAsia="Calibri"/>
          <w:szCs w:val="18"/>
          <w:lang w:eastAsia="en-US"/>
        </w:rPr>
        <w:t>herstel- en veerkrachtfaciliteit</w:t>
      </w:r>
      <w:r>
        <w:rPr>
          <w:rFonts w:eastAsia="Calibri"/>
          <w:szCs w:val="18"/>
          <w:lang w:eastAsia="en-US"/>
        </w:rPr>
        <w:t xml:space="preserve"> is </w:t>
      </w:r>
      <w:r w:rsidRPr="00633144">
        <w:rPr>
          <w:rFonts w:eastAsia="Calibri"/>
          <w:szCs w:val="18"/>
          <w:lang w:eastAsia="en-US"/>
        </w:rPr>
        <w:t xml:space="preserve">op 12 februari 2021 vastgesteld bij </w:t>
      </w:r>
      <w:r w:rsidR="00631AF1">
        <w:rPr>
          <w:rFonts w:eastAsia="Calibri"/>
          <w:szCs w:val="18"/>
          <w:lang w:eastAsia="en-US"/>
        </w:rPr>
        <w:t>V</w:t>
      </w:r>
      <w:r w:rsidRPr="00633144">
        <w:rPr>
          <w:rFonts w:eastAsia="Calibri"/>
          <w:szCs w:val="18"/>
          <w:lang w:eastAsia="en-US"/>
        </w:rPr>
        <w:t>erordening 2021/241.</w:t>
      </w:r>
      <w:r w:rsidR="00000F00">
        <w:rPr>
          <w:rStyle w:val="Voetnootmarkering"/>
          <w:rFonts w:eastAsia="Calibri"/>
          <w:szCs w:val="18"/>
          <w:lang w:eastAsia="en-US"/>
        </w:rPr>
        <w:footnoteReference w:id="9"/>
      </w:r>
      <w:r w:rsidRPr="00633144">
        <w:rPr>
          <w:rFonts w:eastAsia="Calibri"/>
          <w:szCs w:val="18"/>
          <w:lang w:eastAsia="en-US"/>
        </w:rPr>
        <w:t xml:space="preserve"> Deze faciliteit </w:t>
      </w:r>
      <w:r w:rsidR="00631AF1">
        <w:rPr>
          <w:rFonts w:eastAsia="Calibri"/>
          <w:szCs w:val="18"/>
          <w:lang w:eastAsia="en-US"/>
        </w:rPr>
        <w:t>biedt financiële ondersteuning aan</w:t>
      </w:r>
      <w:r w:rsidRPr="00633144" w:rsidR="00631AF1">
        <w:rPr>
          <w:rFonts w:eastAsia="Calibri"/>
          <w:szCs w:val="18"/>
          <w:lang w:eastAsia="en-US"/>
        </w:rPr>
        <w:t xml:space="preserve"> </w:t>
      </w:r>
      <w:r w:rsidRPr="00633144">
        <w:rPr>
          <w:rFonts w:eastAsia="Calibri"/>
          <w:szCs w:val="18"/>
          <w:lang w:eastAsia="en-US"/>
        </w:rPr>
        <w:t>EU-lidstaten om het herstel na de Covid-19-pandemie een impuls te geven.</w:t>
      </w:r>
      <w:r w:rsidR="005908A1">
        <w:rPr>
          <w:rFonts w:eastAsia="Calibri"/>
          <w:szCs w:val="18"/>
          <w:lang w:eastAsia="en-US"/>
        </w:rPr>
        <w:t xml:space="preserve"> Ter implementatie van de herstel- en veerkrachtfaciliteit hebben alle lidstaten een nationaal herstel- en veerkrachtplan opgesteld.</w:t>
      </w:r>
      <w:r w:rsidR="00C018A0">
        <w:rPr>
          <w:rFonts w:eastAsia="Calibri"/>
          <w:szCs w:val="18"/>
          <w:lang w:eastAsia="en-US"/>
        </w:rPr>
        <w:t xml:space="preserve"> </w:t>
      </w:r>
      <w:r w:rsidRPr="00921C9F">
        <w:rPr>
          <w:rFonts w:eastAsia="Calibri"/>
          <w:szCs w:val="18"/>
          <w:lang w:eastAsia="en-US"/>
        </w:rPr>
        <w:t xml:space="preserve">Lidstaten hebben op grond van </w:t>
      </w:r>
      <w:r w:rsidR="00CD53DA">
        <w:rPr>
          <w:rFonts w:eastAsia="Calibri"/>
          <w:szCs w:val="18"/>
          <w:lang w:eastAsia="en-US"/>
        </w:rPr>
        <w:t>V</w:t>
      </w:r>
      <w:r w:rsidRPr="00921C9F">
        <w:rPr>
          <w:rFonts w:eastAsia="Calibri"/>
          <w:szCs w:val="18"/>
          <w:lang w:eastAsia="en-US"/>
        </w:rPr>
        <w:t>erordening</w:t>
      </w:r>
      <w:r w:rsidR="005908A1">
        <w:rPr>
          <w:rFonts w:eastAsia="Calibri"/>
          <w:szCs w:val="18"/>
          <w:lang w:eastAsia="en-US"/>
        </w:rPr>
        <w:t xml:space="preserve"> 2021/241</w:t>
      </w:r>
      <w:r w:rsidRPr="00921C9F" w:rsidR="005908A1">
        <w:rPr>
          <w:rFonts w:eastAsia="Calibri"/>
          <w:szCs w:val="18"/>
          <w:lang w:eastAsia="en-US"/>
        </w:rPr>
        <w:t xml:space="preserve"> </w:t>
      </w:r>
      <w:r w:rsidR="005908A1">
        <w:rPr>
          <w:rFonts w:eastAsia="Calibri"/>
          <w:szCs w:val="18"/>
          <w:lang w:eastAsia="en-US"/>
        </w:rPr>
        <w:t>onder meer</w:t>
      </w:r>
      <w:r w:rsidRPr="00921C9F">
        <w:rPr>
          <w:rFonts w:eastAsia="Calibri"/>
          <w:szCs w:val="18"/>
          <w:lang w:eastAsia="en-US"/>
        </w:rPr>
        <w:t xml:space="preserve"> de </w:t>
      </w:r>
      <w:r w:rsidR="00634A11">
        <w:rPr>
          <w:rFonts w:eastAsia="Calibri"/>
          <w:szCs w:val="18"/>
          <w:lang w:eastAsia="en-US"/>
        </w:rPr>
        <w:t>verplichting</w:t>
      </w:r>
      <w:r w:rsidRPr="00921C9F">
        <w:rPr>
          <w:rFonts w:eastAsia="Calibri"/>
          <w:szCs w:val="18"/>
          <w:lang w:eastAsia="en-US"/>
        </w:rPr>
        <w:t xml:space="preserve"> om </w:t>
      </w:r>
      <w:r w:rsidR="00C018A0">
        <w:rPr>
          <w:rFonts w:eastAsia="Calibri"/>
          <w:szCs w:val="18"/>
          <w:lang w:eastAsia="en-US"/>
        </w:rPr>
        <w:t>bepaalde informatie</w:t>
      </w:r>
      <w:r w:rsidRPr="00921C9F">
        <w:rPr>
          <w:rFonts w:eastAsia="Calibri"/>
          <w:szCs w:val="18"/>
          <w:lang w:eastAsia="en-US"/>
        </w:rPr>
        <w:t xml:space="preserve"> te verzamelen van organisaties die in het kader van de</w:t>
      </w:r>
      <w:r w:rsidR="0045379E">
        <w:rPr>
          <w:rFonts w:eastAsia="Calibri"/>
          <w:szCs w:val="18"/>
          <w:lang w:eastAsia="en-US"/>
        </w:rPr>
        <w:t>ze</w:t>
      </w:r>
      <w:r w:rsidRPr="00921C9F">
        <w:rPr>
          <w:rFonts w:eastAsia="Calibri"/>
          <w:szCs w:val="18"/>
          <w:lang w:eastAsia="en-US"/>
        </w:rPr>
        <w:t xml:space="preserve"> faciliteit financiële steun ontvangen</w:t>
      </w:r>
      <w:r w:rsidR="00634A11">
        <w:rPr>
          <w:rFonts w:eastAsia="Calibri"/>
          <w:szCs w:val="18"/>
          <w:lang w:eastAsia="en-US"/>
        </w:rPr>
        <w:t xml:space="preserve">. Dit in </w:t>
      </w:r>
      <w:r w:rsidR="0045379E">
        <w:rPr>
          <w:rFonts w:eastAsia="Calibri"/>
          <w:szCs w:val="18"/>
          <w:lang w:eastAsia="en-US"/>
        </w:rPr>
        <w:t>verband met</w:t>
      </w:r>
      <w:r w:rsidR="00634A11">
        <w:rPr>
          <w:rFonts w:eastAsia="Calibri"/>
          <w:szCs w:val="18"/>
          <w:lang w:eastAsia="en-US"/>
        </w:rPr>
        <w:t xml:space="preserve"> de controle en audit van de verstrekte middelen</w:t>
      </w:r>
      <w:r w:rsidR="005908A1">
        <w:rPr>
          <w:rFonts w:eastAsia="Calibri"/>
          <w:szCs w:val="18"/>
          <w:lang w:eastAsia="en-US"/>
        </w:rPr>
        <w:t xml:space="preserve"> uit de herstel- en veerkrachtfaciliteit.</w:t>
      </w:r>
    </w:p>
    <w:p w:rsidR="008C7423" w:rsidP="00E73267" w:rsidRDefault="008C7423" w14:paraId="166E9111" w14:textId="77777777">
      <w:pPr>
        <w:spacing w:line="276" w:lineRule="auto"/>
        <w:jc w:val="both"/>
      </w:pPr>
    </w:p>
    <w:p w:rsidRPr="00237716" w:rsidR="005908A1" w:rsidRDefault="005908A1" w14:paraId="0C15B5E0" w14:textId="5AC30BE7">
      <w:pPr>
        <w:spacing w:line="276" w:lineRule="auto"/>
        <w:jc w:val="both"/>
        <w:rPr>
          <w:rFonts w:eastAsia="Calibri"/>
          <w:szCs w:val="18"/>
          <w:lang w:eastAsia="en-US"/>
        </w:rPr>
      </w:pPr>
      <w:r w:rsidRPr="003D5B86">
        <w:rPr>
          <w:rFonts w:eastAsia="Calibri"/>
          <w:szCs w:val="18"/>
          <w:lang w:eastAsia="en-US"/>
        </w:rPr>
        <w:t xml:space="preserve">Toegang tot </w:t>
      </w:r>
      <w:r w:rsidR="00A07C92">
        <w:rPr>
          <w:rFonts w:eastAsia="Calibri"/>
          <w:szCs w:val="18"/>
          <w:lang w:eastAsia="en-US"/>
        </w:rPr>
        <w:t>de</w:t>
      </w:r>
      <w:r w:rsidR="00F17FB9">
        <w:rPr>
          <w:rFonts w:eastAsia="Calibri"/>
          <w:szCs w:val="18"/>
          <w:lang w:eastAsia="en-US"/>
        </w:rPr>
        <w:t xml:space="preserve"> </w:t>
      </w:r>
      <w:r w:rsidRPr="003D5B86">
        <w:rPr>
          <w:rFonts w:eastAsia="Calibri"/>
          <w:szCs w:val="18"/>
          <w:lang w:eastAsia="en-US"/>
        </w:rPr>
        <w:t>UBO-register</w:t>
      </w:r>
      <w:r w:rsidR="00A07C92">
        <w:rPr>
          <w:rFonts w:eastAsia="Calibri"/>
          <w:szCs w:val="18"/>
          <w:lang w:eastAsia="en-US"/>
        </w:rPr>
        <w:t>s</w:t>
      </w:r>
      <w:r w:rsidR="00E473B2">
        <w:rPr>
          <w:rFonts w:eastAsia="Calibri"/>
          <w:szCs w:val="18"/>
          <w:lang w:eastAsia="en-US"/>
        </w:rPr>
        <w:t xml:space="preserve"> is </w:t>
      </w:r>
      <w:r w:rsidRPr="003D5B86" w:rsidR="008C7423">
        <w:rPr>
          <w:rFonts w:eastAsia="Calibri"/>
          <w:szCs w:val="18"/>
          <w:lang w:eastAsia="en-US"/>
        </w:rPr>
        <w:t xml:space="preserve">dus </w:t>
      </w:r>
      <w:r w:rsidRPr="003D5B86">
        <w:rPr>
          <w:rFonts w:eastAsia="Calibri"/>
          <w:szCs w:val="18"/>
          <w:lang w:eastAsia="en-US"/>
        </w:rPr>
        <w:t xml:space="preserve">noodzakelijk om aanspraak te kunnen maken op de voor Nederland geoormerkte middelen uit de herstel- en veerkrachtfaciliteit. </w:t>
      </w:r>
      <w:r w:rsidRPr="00BD2693">
        <w:rPr>
          <w:rFonts w:eastAsia="Calibri"/>
          <w:szCs w:val="18"/>
          <w:lang w:eastAsia="en-US"/>
        </w:rPr>
        <w:t xml:space="preserve">Het Ministerie van Financiën coördineert de implementatie van het </w:t>
      </w:r>
      <w:r>
        <w:rPr>
          <w:rFonts w:eastAsia="Calibri"/>
          <w:szCs w:val="18"/>
          <w:lang w:eastAsia="en-US"/>
        </w:rPr>
        <w:t>Nederlandse h</w:t>
      </w:r>
      <w:r w:rsidRPr="00BD2693">
        <w:rPr>
          <w:rFonts w:eastAsia="Calibri"/>
          <w:szCs w:val="18"/>
          <w:lang w:eastAsia="en-US"/>
        </w:rPr>
        <w:t xml:space="preserve">erstel- en </w:t>
      </w:r>
      <w:r>
        <w:rPr>
          <w:rFonts w:eastAsia="Calibri"/>
          <w:szCs w:val="18"/>
          <w:lang w:eastAsia="en-US"/>
        </w:rPr>
        <w:t>v</w:t>
      </w:r>
      <w:r w:rsidRPr="00BD2693">
        <w:rPr>
          <w:rFonts w:eastAsia="Calibri"/>
          <w:szCs w:val="18"/>
          <w:lang w:eastAsia="en-US"/>
        </w:rPr>
        <w:t xml:space="preserve">eerkrachtplan </w:t>
      </w:r>
      <w:r>
        <w:rPr>
          <w:rFonts w:eastAsia="Calibri"/>
          <w:szCs w:val="18"/>
          <w:lang w:eastAsia="en-US"/>
        </w:rPr>
        <w:t xml:space="preserve">en </w:t>
      </w:r>
      <w:r w:rsidRPr="00BD2693">
        <w:rPr>
          <w:rFonts w:eastAsia="Calibri"/>
          <w:szCs w:val="18"/>
          <w:lang w:eastAsia="en-US"/>
        </w:rPr>
        <w:t xml:space="preserve">is gezamenlijk met </w:t>
      </w:r>
      <w:r w:rsidR="002D6C8B">
        <w:rPr>
          <w:rFonts w:eastAsia="Calibri"/>
          <w:szCs w:val="18"/>
          <w:lang w:eastAsia="en-US"/>
        </w:rPr>
        <w:t>verschillende ministeries</w:t>
      </w:r>
      <w:r w:rsidR="009A7F2A">
        <w:rPr>
          <w:rStyle w:val="Voetnootmarkering"/>
          <w:rFonts w:eastAsia="Calibri"/>
          <w:szCs w:val="18"/>
          <w:lang w:eastAsia="en-US"/>
        </w:rPr>
        <w:footnoteReference w:id="10"/>
      </w:r>
      <w:r w:rsidR="002D6C8B">
        <w:rPr>
          <w:rFonts w:eastAsia="Calibri"/>
          <w:szCs w:val="18"/>
          <w:lang w:eastAsia="en-US"/>
        </w:rPr>
        <w:t xml:space="preserve"> </w:t>
      </w:r>
      <w:r w:rsidRPr="00BD2693">
        <w:rPr>
          <w:rFonts w:eastAsia="Calibri"/>
          <w:szCs w:val="18"/>
          <w:lang w:eastAsia="en-US"/>
        </w:rPr>
        <w:t xml:space="preserve">belegd met de taak </w:t>
      </w:r>
      <w:r>
        <w:rPr>
          <w:rFonts w:eastAsia="Calibri"/>
          <w:szCs w:val="18"/>
          <w:lang w:eastAsia="en-US"/>
        </w:rPr>
        <w:t xml:space="preserve">om de benodigde gegevens te verzamelen. Het is voor deze genoemde bestuursorganen noodzakelijk toegang te hebben tot </w:t>
      </w:r>
      <w:r w:rsidR="00A07C92">
        <w:rPr>
          <w:rFonts w:eastAsia="Calibri"/>
          <w:szCs w:val="18"/>
          <w:lang w:eastAsia="en-US"/>
        </w:rPr>
        <w:t>de</w:t>
      </w:r>
      <w:r>
        <w:rPr>
          <w:rFonts w:eastAsia="Calibri"/>
          <w:szCs w:val="18"/>
          <w:lang w:eastAsia="en-US"/>
        </w:rPr>
        <w:t xml:space="preserve"> UBO-register</w:t>
      </w:r>
      <w:r w:rsidR="00A07C92">
        <w:rPr>
          <w:rFonts w:eastAsia="Calibri"/>
          <w:szCs w:val="18"/>
          <w:lang w:eastAsia="en-US"/>
        </w:rPr>
        <w:t>s</w:t>
      </w:r>
      <w:r>
        <w:rPr>
          <w:rFonts w:eastAsia="Calibri"/>
          <w:szCs w:val="18"/>
          <w:lang w:eastAsia="en-US"/>
        </w:rPr>
        <w:t xml:space="preserve">, </w:t>
      </w:r>
      <w:r w:rsidR="009A7F2A">
        <w:rPr>
          <w:rFonts w:eastAsia="Calibri"/>
          <w:szCs w:val="18"/>
          <w:lang w:eastAsia="en-US"/>
        </w:rPr>
        <w:t xml:space="preserve">om </w:t>
      </w:r>
      <w:r>
        <w:rPr>
          <w:rFonts w:eastAsia="Calibri"/>
          <w:szCs w:val="18"/>
          <w:lang w:eastAsia="en-US"/>
        </w:rPr>
        <w:t xml:space="preserve">te kunnen voldoen aan de wettelijke verplichting die is neergelegd in artikel 22, tweede lid, onderdeel d, van </w:t>
      </w:r>
      <w:r w:rsidR="009A7F2A">
        <w:rPr>
          <w:rFonts w:eastAsia="Calibri"/>
          <w:szCs w:val="18"/>
          <w:lang w:eastAsia="en-US"/>
        </w:rPr>
        <w:t>V</w:t>
      </w:r>
      <w:r>
        <w:rPr>
          <w:rFonts w:eastAsia="Calibri"/>
          <w:szCs w:val="18"/>
          <w:lang w:eastAsia="en-US"/>
        </w:rPr>
        <w:t xml:space="preserve">erordening 2021/241. </w:t>
      </w:r>
      <w:r w:rsidRPr="008B7D3A">
        <w:t xml:space="preserve">Ten behoeve van de controle en audit, </w:t>
      </w:r>
      <w:r>
        <w:t>stelt de</w:t>
      </w:r>
      <w:r w:rsidRPr="008B7D3A">
        <w:t xml:space="preserve"> Europese Commissie</w:t>
      </w:r>
      <w:r>
        <w:t xml:space="preserve"> strenge eisen aan de toets op </w:t>
      </w:r>
      <w:r w:rsidRPr="008B7D3A">
        <w:t>de rechtmatig</w:t>
      </w:r>
      <w:r>
        <w:t xml:space="preserve">e besteding </w:t>
      </w:r>
      <w:r w:rsidRPr="008B7D3A">
        <w:t>van de door de eind</w:t>
      </w:r>
      <w:r>
        <w:t xml:space="preserve">ontvangers </w:t>
      </w:r>
      <w:r w:rsidRPr="008B7D3A">
        <w:t>ontvangen middelen.</w:t>
      </w:r>
      <w:r>
        <w:t xml:space="preserve"> Dit om </w:t>
      </w:r>
      <w:r w:rsidRPr="005974EE">
        <w:t>fraude, corruptie</w:t>
      </w:r>
      <w:r>
        <w:t>, dubbele financiering</w:t>
      </w:r>
      <w:r w:rsidRPr="005974EE">
        <w:t xml:space="preserve"> en belangenconflicten</w:t>
      </w:r>
      <w:r>
        <w:t xml:space="preserve"> te voorkomen.</w:t>
      </w:r>
      <w:r w:rsidRPr="008B7D3A">
        <w:t xml:space="preserve"> </w:t>
      </w:r>
    </w:p>
    <w:p w:rsidR="00662C8E" w:rsidRDefault="00662C8E" w14:paraId="49D53B50" w14:textId="77777777">
      <w:pPr>
        <w:spacing w:line="276" w:lineRule="auto"/>
        <w:jc w:val="both"/>
      </w:pPr>
    </w:p>
    <w:p w:rsidR="00662C8E" w:rsidRDefault="009A7F2A" w14:paraId="6A6774EE" w14:textId="0F1E7F58">
      <w:pPr>
        <w:spacing w:line="276" w:lineRule="auto"/>
        <w:jc w:val="both"/>
      </w:pPr>
      <w:r>
        <w:rPr>
          <w:bCs/>
          <w:szCs w:val="18"/>
        </w:rPr>
        <w:t>Het gebruik van de UBO-registers en d</w:t>
      </w:r>
      <w:r w:rsidRPr="00974952" w:rsidR="00EF409E">
        <w:rPr>
          <w:bCs/>
          <w:szCs w:val="18"/>
        </w:rPr>
        <w:t xml:space="preserve">e verwerking </w:t>
      </w:r>
      <w:r>
        <w:rPr>
          <w:bCs/>
          <w:szCs w:val="18"/>
        </w:rPr>
        <w:t xml:space="preserve">van de gegevens daarin </w:t>
      </w:r>
      <w:r w:rsidRPr="00974952" w:rsidR="00EF409E">
        <w:rPr>
          <w:bCs/>
          <w:szCs w:val="18"/>
        </w:rPr>
        <w:t xml:space="preserve">voor </w:t>
      </w:r>
      <w:r>
        <w:rPr>
          <w:bCs/>
          <w:szCs w:val="18"/>
        </w:rPr>
        <w:t>dit</w:t>
      </w:r>
      <w:r w:rsidRPr="00974952" w:rsidR="00EF409E">
        <w:rPr>
          <w:bCs/>
          <w:szCs w:val="18"/>
        </w:rPr>
        <w:t xml:space="preserve"> doel is </w:t>
      </w:r>
      <w:r w:rsidR="00EF409E">
        <w:rPr>
          <w:bCs/>
          <w:szCs w:val="18"/>
        </w:rPr>
        <w:t xml:space="preserve">gerechtvaardigd </w:t>
      </w:r>
      <w:r w:rsidR="00EF409E">
        <w:t xml:space="preserve">omdat deze geschiedt op grond van een wettelijke grondslag die in een democratische samenleving een noodzakelijk en evenredige maatregel vormt ter waarborging van de in artikel 23, eerste lid, </w:t>
      </w:r>
      <w:r w:rsidR="00631AF1">
        <w:t>AVG</w:t>
      </w:r>
      <w:r w:rsidR="00EF409E">
        <w:t xml:space="preserve"> bedoelde doelstellingen. </w:t>
      </w:r>
      <w:r w:rsidRPr="003578F0" w:rsidR="003578F0">
        <w:rPr>
          <w:bCs/>
          <w:szCs w:val="18"/>
        </w:rPr>
        <w:t xml:space="preserve">De verwerking </w:t>
      </w:r>
      <w:r w:rsidR="00EF409E">
        <w:rPr>
          <w:bCs/>
          <w:szCs w:val="18"/>
        </w:rPr>
        <w:t>dient namelijk het belang dat</w:t>
      </w:r>
      <w:r w:rsidRPr="003578F0" w:rsidR="003578F0">
        <w:rPr>
          <w:bCs/>
          <w:szCs w:val="18"/>
        </w:rPr>
        <w:t xml:space="preserve"> in het eerste lid, onderdeel h, van artikel 23 AVG wordt genoemd, een taak op het gebied van toezicht die verband houdt met de uitoefening van het openbaar gezag in punt e, </w:t>
      </w:r>
      <w:r w:rsidR="006F6154">
        <w:rPr>
          <w:bCs/>
          <w:szCs w:val="18"/>
        </w:rPr>
        <w:t xml:space="preserve">van artikel 23, eerste lid, AVG </w:t>
      </w:r>
      <w:r w:rsidRPr="003578F0" w:rsidR="003578F0">
        <w:rPr>
          <w:bCs/>
          <w:szCs w:val="18"/>
        </w:rPr>
        <w:t>bedoelde gevallen.</w:t>
      </w:r>
    </w:p>
    <w:p w:rsidR="009601B7" w:rsidP="00367C4F" w:rsidRDefault="009601B7" w14:paraId="418F7782" w14:textId="77777777">
      <w:pPr>
        <w:spacing w:line="276" w:lineRule="auto"/>
        <w:jc w:val="both"/>
        <w:rPr>
          <w:rFonts w:eastAsia="Calibri"/>
          <w:szCs w:val="18"/>
          <w:lang w:eastAsia="en-US"/>
        </w:rPr>
      </w:pPr>
    </w:p>
    <w:p w:rsidR="00921A4A" w:rsidP="00367C4F" w:rsidRDefault="00D16512" w14:paraId="68756906" w14:textId="2007F98F">
      <w:pPr>
        <w:spacing w:line="276" w:lineRule="auto"/>
        <w:rPr>
          <w:i/>
          <w:iCs/>
        </w:rPr>
      </w:pPr>
      <w:r>
        <w:rPr>
          <w:i/>
          <w:iCs/>
        </w:rPr>
        <w:t>§</w:t>
      </w:r>
      <w:r w:rsidRPr="008D2B18">
        <w:rPr>
          <w:i/>
          <w:iCs/>
        </w:rPr>
        <w:t>2.</w:t>
      </w:r>
      <w:r>
        <w:rPr>
          <w:i/>
          <w:iCs/>
        </w:rPr>
        <w:t>2 Wet Bibob</w:t>
      </w:r>
    </w:p>
    <w:p w:rsidR="00FC180E" w:rsidP="00FC180E" w:rsidRDefault="00FC180E" w14:paraId="603430DE" w14:textId="5AA2A130">
      <w:pPr>
        <w:spacing w:line="276" w:lineRule="auto"/>
      </w:pPr>
      <w:r>
        <w:t>De Wet Bibob is een preventief instrument om de integriteit van de overheid te beschermen door te voorkomen dat zij ongewild criminele activiteiten faciliteert. De Wet Bibob is van toepassing op vergunningen, subsidies, vastgoedtransacties en overheidstransacties. Wanneer er een ernstig gevaar dreigt dat een beschikking overheidsopdracht of vastgoedtransactie wordt misbruikt om strafbare feiten te plegen (de zogenaamde ‘b-grond</w:t>
      </w:r>
      <w:r w:rsidR="009A7F2A">
        <w:t>’</w:t>
      </w:r>
      <w:r>
        <w:t xml:space="preserve">), dan wel uit gepleegde strafbare feiten verkregen of te verkrijgen, op geld waardeerbare voordelen te benutten (de zogenaamde ‘a-grond’, i.c. witwassen), dan kan het bestuursorgaan </w:t>
      </w:r>
      <w:r w:rsidR="009A7F2A">
        <w:t xml:space="preserve">aan </w:t>
      </w:r>
      <w:r>
        <w:t>rechtspersonen met een overheidstaak een beschikking weigeren of intrekken, een overheidsopdracht niet gunnen, een vastgoedtransactie niet aangaan of een ter zake gesloten overeenkomst ontbinden.</w:t>
      </w:r>
    </w:p>
    <w:p w:rsidR="00FC180E" w:rsidP="00FC180E" w:rsidRDefault="00FC180E" w14:paraId="4D438EB6" w14:textId="77777777">
      <w:pPr>
        <w:spacing w:line="276" w:lineRule="auto"/>
      </w:pPr>
    </w:p>
    <w:p w:rsidR="00FC180E" w:rsidP="00FC180E" w:rsidRDefault="00FC180E" w14:paraId="33C6C2B2" w14:textId="44AB9C2C">
      <w:pPr>
        <w:spacing w:line="276" w:lineRule="auto"/>
      </w:pPr>
      <w:r>
        <w:t>Om de mate van gevaar te kunnen bepalen worden de betrokkene(n)</w:t>
      </w:r>
      <w:r w:rsidR="00A45A63">
        <w:rPr>
          <w:rStyle w:val="Voetnootmarkering"/>
        </w:rPr>
        <w:footnoteReference w:id="11"/>
      </w:r>
      <w:r>
        <w:t>en, indien daarvoor aanleiding bestaat, personen in zijn zakelijke omgeving die als Bibob-relatie kunnen worden aangemerkt</w:t>
      </w:r>
      <w:r w:rsidR="00A45A63">
        <w:t>,</w:t>
      </w:r>
      <w:r>
        <w:t xml:space="preserve"> onderworpen aan een Bibob-onderzoek. De vier relevante Bibob-relaties zijn de (rechts)personen die (in)direct zeggenschap hebben over de betrokkene, (in)direct leiding geven aan de betrokkene, (in)direct vermogen verschaffen aan de betrokkene en degene die in een zakelijk samenwerkingsverband staan tot de betrokkene. Voor een gedegen onderzoek is het noodzakelijk informatie over strafbare feiten, vermoedelijke strafbare feiten en bestuurlijke boetes te ontvangen van informatieleveranciers, zoals het OM, de politie en de Belastingdienst en andere inspecties en opsporingsdiensten. Ook andere, openbare en gesloten bronnen kunnen geraadpleegd worden om informatie te vergaren over de betrokkene en relevante derden uit zijn zakelijke omgeving. Hierbij kan gedacht worden aan het Justitieel Documentatie Systeem (JDS) of het handelsregister.</w:t>
      </w:r>
    </w:p>
    <w:p w:rsidR="00FC180E" w:rsidP="00FC180E" w:rsidRDefault="00FC180E" w14:paraId="6B27F3B0" w14:textId="77777777">
      <w:pPr>
        <w:spacing w:line="276" w:lineRule="auto"/>
      </w:pPr>
    </w:p>
    <w:p w:rsidR="00FC180E" w:rsidP="00FC180E" w:rsidRDefault="00FC180E" w14:paraId="76BC9CA6" w14:textId="77AA88B8">
      <w:pPr>
        <w:spacing w:line="276" w:lineRule="auto"/>
      </w:pPr>
      <w:r>
        <w:t>Het Landelijk Bureau Bibob (LBB) heeft op grond van artikel 51a, onderdeel e, van het Handelsregisterbesluit</w:t>
      </w:r>
      <w:r w:rsidR="00A45A63">
        <w:t xml:space="preserve"> 2008</w:t>
      </w:r>
      <w:r>
        <w:t xml:space="preserve"> al toegang tot de UBO-registers. Dit zou tot de redenatie kunnen leiden dat toegang voor bestuursorganen en rechtspersonen met een overheidstaak niet noodzakelijk is, omdat zij de mogelijkheid hebben om bij het LBB een advies over de mate van gevaar van misbruik voor criminele doeleinden aan te vragen. Volgens de wetsgeschiedenis is echter beoogd dat bestuursorganen in hun eigen Bibob-onderzoek de relatief eenvoudige zaken behandelen en dat het daartoe geëquipeerde </w:t>
      </w:r>
      <w:r w:rsidR="00A45A63">
        <w:t>LBB</w:t>
      </w:r>
      <w:r>
        <w:t xml:space="preserve"> adviseert over de meer complexe zake</w:t>
      </w:r>
      <w:r w:rsidR="00D60CDD">
        <w:t>n</w:t>
      </w:r>
      <w:r w:rsidR="00132C02">
        <w:t xml:space="preserve">. </w:t>
      </w:r>
      <w:r>
        <w:t>Door bestuursorganen en rechtspersonen met een overheidstaak voldoende eigen mogelijkheden tot onderzoek te geven, waaronder de toegang tot de UBO-registers, wordt het eenvoudiger om zelfstandig een conclusie te trekken over de mate van gevaar dat een vergunning, subsidie, vastgoedtransactie of een overheidsopdracht wordt misbruikt voor criminele doeleinden. Een meer ingrijpend onderzoek door het LBB, waarbij meer bronnen en meer privacygevoelige gegevens geraadpleegd worden, kan in die gevallen achterwege blijven.</w:t>
      </w:r>
    </w:p>
    <w:p w:rsidR="00FC180E" w:rsidP="00FC180E" w:rsidRDefault="00FC180E" w14:paraId="3CD273EE" w14:textId="77777777">
      <w:pPr>
        <w:spacing w:line="276" w:lineRule="auto"/>
      </w:pPr>
    </w:p>
    <w:p w:rsidR="00FC180E" w:rsidP="00FC180E" w:rsidRDefault="00FC180E" w14:paraId="70B65364" w14:textId="537A5B34">
      <w:pPr>
        <w:spacing w:line="276" w:lineRule="auto"/>
      </w:pPr>
      <w:r>
        <w:t xml:space="preserve">Om inzicht te krijgen in de feitelijke zeggenschapsverhoudingen rondom de aanvrager van een rechtshandeling met een bestuursorgaan of een rechtspersoon met een overheidstaak, moet een bestuursorgaan of die rechtspersoon met een overheidstaak inzicht krijgen in en controle uitvoeren op de identiteit van degenen die onderdeel uitmaken van de zakelijke omgeving – waaronder de uiteindelijk leidinggevenden en uiteindelijk zeggenschaphebbenden – van de aanvrager. Dat is van belang om eventuele versluieringsconstructies bij het aanvragen van een beschikking, een vastgoedtransactie of een overheidsopdracht boven water te krijgen. Met deze informatie kan de mate van gevaar bepaald worden dat het bestuursorgaan of de rechtspersoon met een overheidstaak met het verlenen van een beschikking, het gunnen van een overheidsopdracht of het aangaan van een vastgoedtransactie criminele activiteiten faciliteert. Dit dient </w:t>
      </w:r>
      <w:r w:rsidR="00A45A63">
        <w:t xml:space="preserve">de bescherming van </w:t>
      </w:r>
      <w:r>
        <w:t>de eigen integriteit. Voor wat betreft deze bestuursorganen en rechtspersonen met een overheidstaak geldt dat de toegang tot de UBO-registers noodzakelijk is en evenredig wordt geacht om de integriteit van de overheid te kunnen beschermen door de risico’s op het faciliteren van criminele activiteiten te kunnen bepalen.</w:t>
      </w:r>
    </w:p>
    <w:p w:rsidR="00FC180E" w:rsidP="00E678FA" w:rsidRDefault="00FC180E" w14:paraId="533C6FE7" w14:textId="77777777">
      <w:pPr>
        <w:spacing w:line="276" w:lineRule="auto"/>
      </w:pPr>
    </w:p>
    <w:p w:rsidR="001C6658" w:rsidP="00367C4F" w:rsidRDefault="009B200C" w14:paraId="17A0BE90" w14:textId="49AAE2CD">
      <w:pPr>
        <w:spacing w:line="276" w:lineRule="auto"/>
      </w:pPr>
      <w:r w:rsidRPr="00974952">
        <w:rPr>
          <w:bCs/>
          <w:szCs w:val="18"/>
        </w:rPr>
        <w:t xml:space="preserve">Deze verwerking voor een ander doel is </w:t>
      </w:r>
      <w:r>
        <w:rPr>
          <w:bCs/>
          <w:szCs w:val="18"/>
        </w:rPr>
        <w:t>gerechtvaardigd</w:t>
      </w:r>
      <w:r w:rsidR="00EF409E">
        <w:rPr>
          <w:bCs/>
          <w:szCs w:val="18"/>
        </w:rPr>
        <w:t xml:space="preserve"> </w:t>
      </w:r>
      <w:r w:rsidR="00EF409E">
        <w:t xml:space="preserve">omdat deze geschiedt op grond van een wettelijke grondslag die in een democratische samenleving een noodzakelijk en evenredige maatregel vormt ter waarborging van de in artikel 23, eerste lid, van de AVG bedoelde doelstellingen. </w:t>
      </w:r>
      <w:r w:rsidR="00EF409E">
        <w:rPr>
          <w:bCs/>
          <w:szCs w:val="18"/>
        </w:rPr>
        <w:t xml:space="preserve">De </w:t>
      </w:r>
      <w:r w:rsidRPr="00974952">
        <w:rPr>
          <w:bCs/>
          <w:szCs w:val="18"/>
        </w:rPr>
        <w:t xml:space="preserve">gegevensverwerking </w:t>
      </w:r>
      <w:r w:rsidR="00EF409E">
        <w:rPr>
          <w:bCs/>
          <w:szCs w:val="18"/>
        </w:rPr>
        <w:t xml:space="preserve">dient </w:t>
      </w:r>
      <w:r w:rsidRPr="00974952">
        <w:rPr>
          <w:bCs/>
          <w:szCs w:val="18"/>
        </w:rPr>
        <w:t xml:space="preserve">een belang dat in het eerste lid, onderdeel </w:t>
      </w:r>
      <w:r>
        <w:rPr>
          <w:bCs/>
          <w:szCs w:val="18"/>
        </w:rPr>
        <w:t>d</w:t>
      </w:r>
      <w:r w:rsidRPr="00974952">
        <w:rPr>
          <w:bCs/>
          <w:szCs w:val="18"/>
        </w:rPr>
        <w:t xml:space="preserve">, van artikel 23 van de AVG wordt genoemd, </w:t>
      </w:r>
      <w:r w:rsidR="00A45A63">
        <w:rPr>
          <w:bCs/>
          <w:szCs w:val="18"/>
        </w:rPr>
        <w:t xml:space="preserve">namelijk </w:t>
      </w:r>
      <w:r w:rsidR="00A45A63">
        <w:t>het voorkomen</w:t>
      </w:r>
      <w:r w:rsidR="0043758B">
        <w:t xml:space="preserve"> van strafbare feiten. </w:t>
      </w:r>
    </w:p>
    <w:p w:rsidR="001C6658" w:rsidP="00367C4F" w:rsidRDefault="001C6658" w14:paraId="0ACED719" w14:textId="77777777">
      <w:pPr>
        <w:spacing w:line="276" w:lineRule="auto"/>
        <w:rPr>
          <w:i/>
          <w:iCs/>
        </w:rPr>
      </w:pPr>
    </w:p>
    <w:p w:rsidRPr="00C739A0" w:rsidR="00D16512" w:rsidP="00367C4F" w:rsidRDefault="00D16512" w14:paraId="7A97F78B" w14:textId="3BCBA831">
      <w:pPr>
        <w:spacing w:line="276" w:lineRule="auto"/>
        <w:rPr>
          <w:rFonts w:eastAsia="Calibri"/>
          <w:szCs w:val="18"/>
          <w:lang w:eastAsia="en-US"/>
        </w:rPr>
      </w:pPr>
      <w:r>
        <w:rPr>
          <w:i/>
          <w:iCs/>
        </w:rPr>
        <w:t>§</w:t>
      </w:r>
      <w:r w:rsidRPr="008D2B18">
        <w:rPr>
          <w:i/>
          <w:iCs/>
        </w:rPr>
        <w:t>2.</w:t>
      </w:r>
      <w:r>
        <w:rPr>
          <w:i/>
          <w:iCs/>
        </w:rPr>
        <w:t>3 De Nederlandsche Bank</w:t>
      </w:r>
      <w:r w:rsidR="004828B5">
        <w:rPr>
          <w:i/>
          <w:iCs/>
        </w:rPr>
        <w:t xml:space="preserve"> in verband met het verwisselen of vergoeden van bankbiljetten</w:t>
      </w:r>
    </w:p>
    <w:p w:rsidR="005A634C" w:rsidP="00367C4F" w:rsidRDefault="00A45A63" w14:paraId="1AB4868F" w14:textId="2BDCDB37">
      <w:pPr>
        <w:spacing w:line="276" w:lineRule="auto"/>
        <w:rPr>
          <w:bCs/>
          <w:szCs w:val="18"/>
        </w:rPr>
      </w:pPr>
      <w:r>
        <w:rPr>
          <w:bCs/>
          <w:szCs w:val="18"/>
        </w:rPr>
        <w:t>DNB</w:t>
      </w:r>
      <w:r w:rsidRPr="004828B5" w:rsidR="004828B5">
        <w:rPr>
          <w:bCs/>
          <w:szCs w:val="18"/>
        </w:rPr>
        <w:t xml:space="preserve"> heeft de wettelijke taak om bankbiljetten te verwisselen of te vergoeden. </w:t>
      </w:r>
      <w:r w:rsidR="005C48A4">
        <w:rPr>
          <w:bCs/>
          <w:szCs w:val="18"/>
        </w:rPr>
        <w:t xml:space="preserve">Dit is vastgelegd in </w:t>
      </w:r>
      <w:r w:rsidRPr="005C48A4" w:rsidR="005C48A4">
        <w:rPr>
          <w:bCs/>
          <w:szCs w:val="18"/>
        </w:rPr>
        <w:t xml:space="preserve">artikel 27, </w:t>
      </w:r>
      <w:r w:rsidR="00C12E85">
        <w:rPr>
          <w:bCs/>
          <w:szCs w:val="18"/>
        </w:rPr>
        <w:t>derde lid</w:t>
      </w:r>
      <w:r w:rsidRPr="005C48A4" w:rsidR="005C48A4">
        <w:rPr>
          <w:bCs/>
          <w:szCs w:val="18"/>
        </w:rPr>
        <w:t xml:space="preserve">, </w:t>
      </w:r>
      <w:r w:rsidR="007E41C2">
        <w:rPr>
          <w:bCs/>
          <w:szCs w:val="18"/>
        </w:rPr>
        <w:t xml:space="preserve">van de </w:t>
      </w:r>
      <w:r w:rsidRPr="005C48A4" w:rsidR="005C48A4">
        <w:rPr>
          <w:bCs/>
          <w:szCs w:val="18"/>
        </w:rPr>
        <w:t xml:space="preserve">Bankwet 1998 en het daarop berustende Besluit verwisseling en intrekking van bankbiljetten, en artikel 3 van het Besluit van de ECB betreffende de denominaties, specificaties, reproductie, vervanging en het uit circulatie nemen van eurobankbiljetten (ECB/2013/10). </w:t>
      </w:r>
      <w:r w:rsidRPr="004828B5" w:rsidR="004828B5">
        <w:rPr>
          <w:bCs/>
          <w:szCs w:val="18"/>
        </w:rPr>
        <w:t xml:space="preserve">Bankbiljetten worden in voorkomende gevallen namens rechtspersonen aan DNB aangeboden. De </w:t>
      </w:r>
      <w:r w:rsidRPr="00C04D54" w:rsidR="00D45E73">
        <w:rPr>
          <w:bCs/>
          <w:szCs w:val="18"/>
        </w:rPr>
        <w:t>Wet ter voorkoming van witwassen en financieren van terrorisme</w:t>
      </w:r>
      <w:r w:rsidR="00D45E73">
        <w:rPr>
          <w:bCs/>
          <w:szCs w:val="18"/>
        </w:rPr>
        <w:t xml:space="preserve"> (</w:t>
      </w:r>
      <w:r w:rsidRPr="004828B5" w:rsidR="004828B5">
        <w:rPr>
          <w:bCs/>
          <w:szCs w:val="18"/>
        </w:rPr>
        <w:t>Wwft</w:t>
      </w:r>
      <w:r w:rsidR="00D45E73">
        <w:rPr>
          <w:bCs/>
          <w:szCs w:val="18"/>
        </w:rPr>
        <w:t>)</w:t>
      </w:r>
      <w:r w:rsidRPr="004828B5" w:rsidR="004828B5">
        <w:rPr>
          <w:bCs/>
          <w:szCs w:val="18"/>
        </w:rPr>
        <w:t xml:space="preserve"> verplicht in dit kader medewerkers van DNB om melding te doen bij de Financiële inlichtingen </w:t>
      </w:r>
      <w:r w:rsidRPr="002E5BD2" w:rsidR="004828B5">
        <w:rPr>
          <w:bCs/>
          <w:szCs w:val="18"/>
        </w:rPr>
        <w:t xml:space="preserve">eenheid </w:t>
      </w:r>
      <w:r w:rsidR="005A634C">
        <w:rPr>
          <w:bCs/>
          <w:szCs w:val="18"/>
        </w:rPr>
        <w:t xml:space="preserve">(FIU) </w:t>
      </w:r>
      <w:r w:rsidRPr="002E5BD2" w:rsidR="004828B5">
        <w:rPr>
          <w:bCs/>
          <w:szCs w:val="18"/>
        </w:rPr>
        <w:t xml:space="preserve">van feiten die kunnen duiden op witwassen of financieren van terrorisme (artikel 25, tweede lid, Wwft). Verder is in de toelichting bij het Besluit verwisseling en intrekking van bankbiljetten (Stb. 2001, 652) opgenomen dat DNB bij de uitoefening van deze taak rekening dient te houden met twee wetten die thans zijn opgegaan in de Wwft. </w:t>
      </w:r>
      <w:r w:rsidRPr="005A634C" w:rsidR="005A634C">
        <w:rPr>
          <w:bCs/>
          <w:szCs w:val="18"/>
        </w:rPr>
        <w:t xml:space="preserve">Essentieel onderdeel van het melden van feiten bij de FIU is dat daarbij ook de identiteit van betrokkene </w:t>
      </w:r>
      <w:r w:rsidR="00771959">
        <w:rPr>
          <w:bCs/>
          <w:szCs w:val="18"/>
        </w:rPr>
        <w:t xml:space="preserve">en de identiteit van de UBO </w:t>
      </w:r>
      <w:r w:rsidRPr="005A634C" w:rsidR="005A634C">
        <w:rPr>
          <w:bCs/>
          <w:szCs w:val="18"/>
        </w:rPr>
        <w:t>wordt overgelegd</w:t>
      </w:r>
      <w:r w:rsidR="00C12E85">
        <w:rPr>
          <w:bCs/>
          <w:szCs w:val="18"/>
        </w:rPr>
        <w:t>.</w:t>
      </w:r>
      <w:r w:rsidR="005A634C">
        <w:rPr>
          <w:rStyle w:val="Voetnootmarkering"/>
          <w:bCs/>
          <w:szCs w:val="18"/>
        </w:rPr>
        <w:footnoteReference w:id="12"/>
      </w:r>
      <w:r w:rsidR="00771959">
        <w:rPr>
          <w:bCs/>
          <w:szCs w:val="18"/>
        </w:rPr>
        <w:t xml:space="preserve"> </w:t>
      </w:r>
      <w:r w:rsidRPr="00771959" w:rsidR="00771959">
        <w:rPr>
          <w:bCs/>
          <w:szCs w:val="18"/>
        </w:rPr>
        <w:t xml:space="preserve">Bij deze taak gaat het om aanvragen om verwisseling van contant geld, waarbij het regelmatig gaat om grote bedragen, van ruim tienduizend euro of meer. Daarbij is van belang dat ook rechtspersonen – </w:t>
      </w:r>
      <w:r w:rsidR="00B857E1">
        <w:rPr>
          <w:bCs/>
          <w:szCs w:val="18"/>
        </w:rPr>
        <w:t xml:space="preserve">en dus ook </w:t>
      </w:r>
      <w:r w:rsidRPr="00771959" w:rsidR="00771959">
        <w:rPr>
          <w:bCs/>
          <w:szCs w:val="18"/>
        </w:rPr>
        <w:t>DNB – zich in beginsel schuldig kunnen maken aan schuldwitwassen. Daarom zal DNB moeten onderzoeken hoe de aanvrager het bankbiljet heeft verkregen, om bij vermoedens van een onrechtmatige verkrijging te kunnen vaststellen of het voorwerp – in dit geval een bankbiljet – wel of niet afkomstig is van een misdrijf.</w:t>
      </w:r>
      <w:r w:rsidR="00771959">
        <w:rPr>
          <w:bCs/>
          <w:szCs w:val="18"/>
        </w:rPr>
        <w:t xml:space="preserve"> Vanwege </w:t>
      </w:r>
      <w:r w:rsidR="00C12E85">
        <w:rPr>
          <w:bCs/>
          <w:szCs w:val="18"/>
        </w:rPr>
        <w:t>bovenstaande</w:t>
      </w:r>
      <w:r w:rsidR="00771959">
        <w:rPr>
          <w:bCs/>
          <w:szCs w:val="18"/>
        </w:rPr>
        <w:t xml:space="preserve"> doet DNB onderzoek </w:t>
      </w:r>
      <w:r w:rsidRPr="00771959" w:rsidR="00771959">
        <w:rPr>
          <w:bCs/>
          <w:szCs w:val="18"/>
        </w:rPr>
        <w:t>naar de reden van de transactie en de herkomst van de gelden en</w:t>
      </w:r>
      <w:r w:rsidR="00C12E85">
        <w:rPr>
          <w:bCs/>
          <w:szCs w:val="18"/>
        </w:rPr>
        <w:t xml:space="preserve"> </w:t>
      </w:r>
      <w:r w:rsidRPr="00771959" w:rsidR="00771959">
        <w:rPr>
          <w:bCs/>
          <w:szCs w:val="18"/>
        </w:rPr>
        <w:t>naar de identiteit van de aanvrager en diens eventuele UBO</w:t>
      </w:r>
      <w:r w:rsidR="00771959">
        <w:rPr>
          <w:bCs/>
          <w:szCs w:val="18"/>
        </w:rPr>
        <w:t>.</w:t>
      </w:r>
    </w:p>
    <w:p w:rsidR="004827B5" w:rsidP="00367C4F" w:rsidRDefault="004827B5" w14:paraId="1D370549" w14:textId="77777777">
      <w:pPr>
        <w:spacing w:line="276" w:lineRule="auto"/>
        <w:rPr>
          <w:bCs/>
          <w:szCs w:val="18"/>
        </w:rPr>
      </w:pPr>
    </w:p>
    <w:p w:rsidRPr="00E510B2" w:rsidR="00E510B2" w:rsidP="00E510B2" w:rsidRDefault="00E510B2" w14:paraId="2EC3327B" w14:textId="4B34C850">
      <w:pPr>
        <w:spacing w:line="276" w:lineRule="auto"/>
      </w:pPr>
      <w:r w:rsidRPr="00E510B2">
        <w:t xml:space="preserve">Het doel waarvoor DNB bij de uitoefening van bovenstaande taak </w:t>
      </w:r>
      <w:r w:rsidR="00A07C92">
        <w:t>de</w:t>
      </w:r>
      <w:r w:rsidRPr="00E510B2">
        <w:t xml:space="preserve"> UBO</w:t>
      </w:r>
      <w:r w:rsidR="00A07C92">
        <w:t>-</w:t>
      </w:r>
      <w:r w:rsidRPr="00E510B2">
        <w:t>register</w:t>
      </w:r>
      <w:r w:rsidR="00A07C92">
        <w:t>s</w:t>
      </w:r>
      <w:r w:rsidRPr="00E510B2">
        <w:t xml:space="preserve"> raadpleegt houdt verband met de doelstelling van de richtlijn: het voorkomen of bestrijden van witwassen</w:t>
      </w:r>
      <w:r w:rsidR="00AE5304">
        <w:t xml:space="preserve"> en</w:t>
      </w:r>
      <w:r w:rsidRPr="00E510B2">
        <w:t xml:space="preserve"> daarmee verband houdende basisdelicten of financieren van terrorisme.</w:t>
      </w:r>
    </w:p>
    <w:p w:rsidR="00641E67" w:rsidP="00367C4F" w:rsidRDefault="00641E67" w14:paraId="361D6354" w14:textId="77777777">
      <w:pPr>
        <w:spacing w:line="276" w:lineRule="auto"/>
        <w:rPr>
          <w:bCs/>
          <w:szCs w:val="18"/>
        </w:rPr>
      </w:pPr>
    </w:p>
    <w:p w:rsidR="00C650F8" w:rsidP="00367C4F" w:rsidRDefault="00C650F8" w14:paraId="622357C8" w14:textId="42F57277">
      <w:pPr>
        <w:spacing w:line="276" w:lineRule="auto"/>
        <w:rPr>
          <w:bCs/>
          <w:i/>
          <w:iCs/>
          <w:szCs w:val="18"/>
        </w:rPr>
      </w:pPr>
      <w:r w:rsidRPr="00C650F8">
        <w:rPr>
          <w:i/>
          <w:iCs/>
        </w:rPr>
        <w:t>§2.4</w:t>
      </w:r>
      <w:r w:rsidRPr="00C650F8">
        <w:rPr>
          <w:bCs/>
          <w:i/>
          <w:iCs/>
          <w:szCs w:val="18"/>
        </w:rPr>
        <w:t xml:space="preserve"> De Nederlandsche Bank</w:t>
      </w:r>
      <w:r>
        <w:rPr>
          <w:bCs/>
          <w:i/>
          <w:iCs/>
          <w:szCs w:val="18"/>
        </w:rPr>
        <w:t xml:space="preserve"> en de Autoriteit Financiële Markten</w:t>
      </w:r>
      <w:r w:rsidRPr="00C650F8">
        <w:rPr>
          <w:bCs/>
          <w:i/>
          <w:iCs/>
          <w:szCs w:val="18"/>
        </w:rPr>
        <w:t xml:space="preserve"> in verband met personentoetsingen</w:t>
      </w:r>
    </w:p>
    <w:p w:rsidR="00F817BC" w:rsidP="00F817BC" w:rsidRDefault="00F817BC" w14:paraId="6EFA0960" w14:textId="3CE43309">
      <w:pPr>
        <w:spacing w:line="276" w:lineRule="auto"/>
        <w:rPr>
          <w:bCs/>
          <w:szCs w:val="18"/>
        </w:rPr>
      </w:pPr>
      <w:r w:rsidRPr="00F817BC">
        <w:rPr>
          <w:bCs/>
          <w:szCs w:val="18"/>
        </w:rPr>
        <w:t xml:space="preserve">De </w:t>
      </w:r>
      <w:r w:rsidR="00AE5304">
        <w:rPr>
          <w:bCs/>
          <w:szCs w:val="18"/>
        </w:rPr>
        <w:t xml:space="preserve">AFM </w:t>
      </w:r>
      <w:r w:rsidRPr="00F817BC">
        <w:rPr>
          <w:bCs/>
          <w:szCs w:val="18"/>
        </w:rPr>
        <w:t xml:space="preserve">en DNB voeren personentoetsingen uit in het kader van toezicht. Hierbij worden </w:t>
      </w:r>
      <w:r w:rsidR="00AE5304">
        <w:rPr>
          <w:bCs/>
          <w:szCs w:val="18"/>
        </w:rPr>
        <w:t xml:space="preserve">de </w:t>
      </w:r>
      <w:r w:rsidRPr="00F817BC">
        <w:rPr>
          <w:bCs/>
          <w:szCs w:val="18"/>
        </w:rPr>
        <w:t xml:space="preserve">betrouwbaarheid en geschiktheid </w:t>
      </w:r>
      <w:r w:rsidR="00C54BC9">
        <w:rPr>
          <w:bCs/>
          <w:szCs w:val="18"/>
        </w:rPr>
        <w:t>beoordeeld</w:t>
      </w:r>
      <w:r w:rsidRPr="00F817BC">
        <w:rPr>
          <w:bCs/>
          <w:szCs w:val="18"/>
        </w:rPr>
        <w:t xml:space="preserve"> van personen ingevolge de Wet op het financieel toezicht</w:t>
      </w:r>
      <w:r w:rsidR="00F17D09">
        <w:rPr>
          <w:bCs/>
          <w:szCs w:val="18"/>
        </w:rPr>
        <w:t xml:space="preserve"> (Wft)</w:t>
      </w:r>
      <w:r w:rsidRPr="00F817BC">
        <w:rPr>
          <w:bCs/>
          <w:szCs w:val="18"/>
        </w:rPr>
        <w:t xml:space="preserve">. Daarnaast zijn er ook enkele andere toetsingen, waaronder de reputatietoets van </w:t>
      </w:r>
      <w:r w:rsidR="00AE5304">
        <w:rPr>
          <w:bCs/>
          <w:szCs w:val="18"/>
        </w:rPr>
        <w:t xml:space="preserve">de </w:t>
      </w:r>
      <w:r w:rsidRPr="00F817BC">
        <w:rPr>
          <w:bCs/>
          <w:szCs w:val="18"/>
        </w:rPr>
        <w:t>UBO</w:t>
      </w:r>
      <w:r w:rsidR="00AE5304">
        <w:rPr>
          <w:bCs/>
          <w:szCs w:val="18"/>
        </w:rPr>
        <w:t>’s</w:t>
      </w:r>
      <w:r w:rsidRPr="00F817BC">
        <w:rPr>
          <w:bCs/>
          <w:szCs w:val="18"/>
        </w:rPr>
        <w:t xml:space="preserve"> en de houders van een gekwalificeerde deelneming. De wettelijke basis hiervoor is vastgelegd in zowel nationale als Europese wetgeving. Toegang tot </w:t>
      </w:r>
      <w:r w:rsidR="00AE5304">
        <w:rPr>
          <w:bCs/>
          <w:szCs w:val="18"/>
        </w:rPr>
        <w:t>de</w:t>
      </w:r>
      <w:r w:rsidRPr="00F817BC" w:rsidR="00AE5304">
        <w:rPr>
          <w:bCs/>
          <w:szCs w:val="18"/>
        </w:rPr>
        <w:t xml:space="preserve"> </w:t>
      </w:r>
      <w:r w:rsidRPr="00F817BC">
        <w:rPr>
          <w:bCs/>
          <w:szCs w:val="18"/>
        </w:rPr>
        <w:t>UBO-register</w:t>
      </w:r>
      <w:r w:rsidR="00AE5304">
        <w:rPr>
          <w:bCs/>
          <w:szCs w:val="18"/>
        </w:rPr>
        <w:t>s</w:t>
      </w:r>
      <w:r w:rsidRPr="00F817BC">
        <w:rPr>
          <w:bCs/>
          <w:szCs w:val="18"/>
        </w:rPr>
        <w:t xml:space="preserve"> is </w:t>
      </w:r>
      <w:r w:rsidR="00C8152C">
        <w:rPr>
          <w:bCs/>
          <w:szCs w:val="18"/>
        </w:rPr>
        <w:t>noodzakelijk</w:t>
      </w:r>
      <w:r w:rsidR="00AE5304">
        <w:rPr>
          <w:bCs/>
          <w:szCs w:val="18"/>
        </w:rPr>
        <w:t xml:space="preserve"> </w:t>
      </w:r>
      <w:r w:rsidRPr="00F817BC">
        <w:rPr>
          <w:bCs/>
          <w:szCs w:val="18"/>
        </w:rPr>
        <w:t xml:space="preserve">voor het analyseren van eigendomsstructuren en </w:t>
      </w:r>
      <w:r w:rsidR="00AE5304">
        <w:rPr>
          <w:bCs/>
          <w:szCs w:val="18"/>
        </w:rPr>
        <w:t xml:space="preserve">het </w:t>
      </w:r>
      <w:r w:rsidRPr="00F817BC">
        <w:rPr>
          <w:bCs/>
          <w:szCs w:val="18"/>
        </w:rPr>
        <w:t>vaststellen van zeggenschap, het identificeren van belangenverstrengeling en belangenconflicten, het verifiëren van door toetsbare personen aangeleverde gegevens, het controleren van opgelegde maatregelen aan ondernemingen waar toetsbare personen UBO zijn en het vaststellen of de juiste personen ter toetsing zijn voorgelegd (mede om complexere eigendomsstructuren te ontrafelen).</w:t>
      </w:r>
    </w:p>
    <w:p w:rsidR="00A0148D" w:rsidP="00F817BC" w:rsidRDefault="00A0148D" w14:paraId="57BB536B" w14:textId="77777777">
      <w:pPr>
        <w:spacing w:line="276" w:lineRule="auto"/>
        <w:rPr>
          <w:bCs/>
          <w:szCs w:val="18"/>
        </w:rPr>
      </w:pPr>
    </w:p>
    <w:p w:rsidR="00A0148D" w:rsidP="00F817BC" w:rsidRDefault="00A0148D" w14:paraId="32F6BB0E" w14:textId="4F0CF125">
      <w:pPr>
        <w:spacing w:line="276" w:lineRule="auto"/>
        <w:rPr>
          <w:bCs/>
          <w:szCs w:val="18"/>
        </w:rPr>
      </w:pPr>
      <w:r w:rsidRPr="00F46B55">
        <w:rPr>
          <w:bCs/>
          <w:szCs w:val="18"/>
        </w:rPr>
        <w:t>Toegang</w:t>
      </w:r>
      <w:r>
        <w:rPr>
          <w:bCs/>
          <w:szCs w:val="18"/>
        </w:rPr>
        <w:t xml:space="preserve"> tot de gegevens is </w:t>
      </w:r>
      <w:r w:rsidRPr="00C63D0B">
        <w:rPr>
          <w:bCs/>
          <w:i/>
          <w:iCs/>
          <w:szCs w:val="18"/>
        </w:rPr>
        <w:t>alleen</w:t>
      </w:r>
      <w:r>
        <w:rPr>
          <w:bCs/>
          <w:szCs w:val="18"/>
        </w:rPr>
        <w:t xml:space="preserve"> gerechtvaardigd in verband met het beoordelen van</w:t>
      </w:r>
      <w:r w:rsidRPr="00F817BC">
        <w:rPr>
          <w:bCs/>
          <w:szCs w:val="18"/>
        </w:rPr>
        <w:t xml:space="preserve"> betrouwbaarheid en geschiktheid van personen ingevolge de Wet op het financieel toezicht</w:t>
      </w:r>
      <w:r>
        <w:rPr>
          <w:bCs/>
          <w:szCs w:val="18"/>
        </w:rPr>
        <w:t xml:space="preserve"> of een </w:t>
      </w:r>
      <w:r w:rsidRPr="00445A58">
        <w:t xml:space="preserve">vergelijkbare beoordeling op basis van een verordening als bedoeld in </w:t>
      </w:r>
      <w:r w:rsidRPr="00453C8C">
        <w:t xml:space="preserve">artikel </w:t>
      </w:r>
      <w:r>
        <w:t xml:space="preserve">1:24, derde lid of artikel </w:t>
      </w:r>
      <w:r w:rsidRPr="00453C8C">
        <w:t>1:25, derde lid</w:t>
      </w:r>
      <w:r>
        <w:t xml:space="preserve"> van de Wft.</w:t>
      </w:r>
    </w:p>
    <w:p w:rsidRPr="00974952" w:rsidR="00974952" w:rsidP="00974952" w:rsidRDefault="00974952" w14:paraId="5452F0F8" w14:textId="77777777">
      <w:pPr>
        <w:spacing w:line="276" w:lineRule="auto"/>
        <w:rPr>
          <w:bCs/>
          <w:szCs w:val="18"/>
        </w:rPr>
      </w:pPr>
    </w:p>
    <w:p w:rsidR="00DC30BD" w:rsidP="00974952" w:rsidRDefault="00903C8E" w14:paraId="626327C4" w14:textId="1986B265">
      <w:pPr>
        <w:spacing w:line="276" w:lineRule="auto"/>
        <w:rPr>
          <w:bCs/>
          <w:szCs w:val="18"/>
        </w:rPr>
      </w:pPr>
      <w:r w:rsidRPr="00974952">
        <w:rPr>
          <w:bCs/>
          <w:szCs w:val="18"/>
        </w:rPr>
        <w:t xml:space="preserve">Deze verwerking voor een ander doel is </w:t>
      </w:r>
      <w:r>
        <w:rPr>
          <w:bCs/>
          <w:szCs w:val="18"/>
        </w:rPr>
        <w:t xml:space="preserve">gerechtvaardigd </w:t>
      </w:r>
      <w:r>
        <w:t xml:space="preserve">omdat deze geschiedt op grond van een wettelijke grondslag die in een democratische samenleving een noodzakelijk en evenredige maatregel vormt ter waarborging van de in artikel 23, eerste lid, AVG bedoelde doelstellingen. </w:t>
      </w:r>
      <w:r w:rsidRPr="00974952" w:rsidR="00974952">
        <w:rPr>
          <w:bCs/>
          <w:szCs w:val="18"/>
        </w:rPr>
        <w:t xml:space="preserve">Deze verwerking </w:t>
      </w:r>
      <w:r w:rsidR="00974952">
        <w:rPr>
          <w:bCs/>
          <w:szCs w:val="18"/>
        </w:rPr>
        <w:t xml:space="preserve">dient </w:t>
      </w:r>
      <w:r>
        <w:rPr>
          <w:bCs/>
          <w:szCs w:val="18"/>
        </w:rPr>
        <w:t xml:space="preserve">een belang zoals genoemd </w:t>
      </w:r>
      <w:r w:rsidRPr="00974952" w:rsidR="00974952">
        <w:rPr>
          <w:bCs/>
          <w:szCs w:val="18"/>
        </w:rPr>
        <w:t xml:space="preserve">in het eerste lid, onderdeel h, van artikel 23 AVG wordt genoemd, een taak op het gebied van toezicht die verband houdt met de uitoefening van het openbaar gezag in punt e, </w:t>
      </w:r>
      <w:r w:rsidR="006F6154">
        <w:rPr>
          <w:bCs/>
          <w:szCs w:val="18"/>
        </w:rPr>
        <w:t xml:space="preserve">van artikel 23, eerste lid, AVG </w:t>
      </w:r>
      <w:r w:rsidRPr="00974952" w:rsidR="00974952">
        <w:rPr>
          <w:bCs/>
          <w:szCs w:val="18"/>
        </w:rPr>
        <w:t>bedoelde gevallen.</w:t>
      </w:r>
    </w:p>
    <w:p w:rsidR="00711553" w:rsidP="00367C4F" w:rsidRDefault="00711553" w14:paraId="6FA29D8D" w14:textId="110809DA">
      <w:pPr>
        <w:spacing w:line="276" w:lineRule="auto"/>
        <w:rPr>
          <w:bCs/>
          <w:szCs w:val="18"/>
        </w:rPr>
      </w:pPr>
    </w:p>
    <w:p w:rsidRPr="00507E92" w:rsidR="006F7239" w:rsidP="00367C4F" w:rsidRDefault="006F7239" w14:paraId="3765965C" w14:textId="5F76832A">
      <w:pPr>
        <w:spacing w:line="276" w:lineRule="auto"/>
        <w:rPr>
          <w:i/>
          <w:iCs/>
        </w:rPr>
      </w:pPr>
      <w:r w:rsidRPr="00507E92">
        <w:rPr>
          <w:i/>
          <w:iCs/>
        </w:rPr>
        <w:t>§2.</w:t>
      </w:r>
      <w:r w:rsidR="00BB5DC1">
        <w:rPr>
          <w:i/>
          <w:iCs/>
        </w:rPr>
        <w:t>5</w:t>
      </w:r>
      <w:r w:rsidRPr="00507E92">
        <w:rPr>
          <w:i/>
          <w:iCs/>
        </w:rPr>
        <w:t xml:space="preserve"> De Autoriteit Financiële Markten </w:t>
      </w:r>
      <w:r w:rsidR="007D4A8F">
        <w:rPr>
          <w:i/>
          <w:iCs/>
        </w:rPr>
        <w:t>in verband met het</w:t>
      </w:r>
      <w:r w:rsidRPr="00507E92">
        <w:rPr>
          <w:i/>
          <w:iCs/>
        </w:rPr>
        <w:t xml:space="preserve"> verrijken van signalen</w:t>
      </w:r>
    </w:p>
    <w:p w:rsidR="00A47059" w:rsidP="00507E92" w:rsidRDefault="00817099" w14:paraId="3C21A37D" w14:textId="465FEA9F">
      <w:r>
        <w:t>De AFM doet onderzoek naar naleving van verbodsbepalingen en andere overtredingen en het verrijken van signalen</w:t>
      </w:r>
      <w:r w:rsidRPr="006F66D6" w:rsidR="006F66D6">
        <w:t xml:space="preserve"> (artikel 2:55, 2:60, 2:65, 2:80 en 2:96 van de Wft).</w:t>
      </w:r>
      <w:r w:rsidR="001437D4">
        <w:t xml:space="preserve"> </w:t>
      </w:r>
      <w:r w:rsidR="00507E92">
        <w:t xml:space="preserve">Veel signalen die de AFM ontvangt, gaan bijvoorbeeld over partijen die mogelijk diensten verlenen zonder over een vergunning van de AFM te beschikken (zoals artikel 2:96 Wft). </w:t>
      </w:r>
      <w:r>
        <w:t>D</w:t>
      </w:r>
      <w:r w:rsidR="00A07C92">
        <w:t>e</w:t>
      </w:r>
      <w:r w:rsidR="00D7346C">
        <w:t xml:space="preserve"> </w:t>
      </w:r>
      <w:r w:rsidR="00507E92">
        <w:t>UBO-register</w:t>
      </w:r>
      <w:r w:rsidR="00A07C92">
        <w:t>s</w:t>
      </w:r>
      <w:r>
        <w:t xml:space="preserve"> worden </w:t>
      </w:r>
      <w:r w:rsidR="00507E92">
        <w:t xml:space="preserve">gebruikt om te bepalen of de uiteindelijke eigenaar in verband kan worden </w:t>
      </w:r>
      <w:r>
        <w:t xml:space="preserve">gebracht </w:t>
      </w:r>
      <w:r w:rsidR="00507E92">
        <w:t>met mogelijke eerdere signalen. Deze informatie kan bepalend zijn bij de keuze t</w:t>
      </w:r>
      <w:r w:rsidR="00E71818">
        <w:t>en aanzien van</w:t>
      </w:r>
      <w:r w:rsidR="00507E92">
        <w:t xml:space="preserve"> in te zetten toezichtinstrumenten. Hierdoor kan de AFM met behulp van </w:t>
      </w:r>
      <w:r w:rsidR="00A07C92">
        <w:t xml:space="preserve">de </w:t>
      </w:r>
      <w:r w:rsidR="00507E92">
        <w:t>UBO-register</w:t>
      </w:r>
      <w:r w:rsidR="00A07C92">
        <w:t>s</w:t>
      </w:r>
      <w:r w:rsidR="00507E92">
        <w:t xml:space="preserve"> gerichter optreden tegen specifieke personen die verantwoordelijk zijn voor misstanden. Bovendien </w:t>
      </w:r>
      <w:r>
        <w:t>zijn</w:t>
      </w:r>
      <w:r w:rsidR="00507E92">
        <w:t xml:space="preserve"> </w:t>
      </w:r>
      <w:r>
        <w:t xml:space="preserve">de </w:t>
      </w:r>
      <w:r w:rsidR="00507E92">
        <w:t>UBO</w:t>
      </w:r>
      <w:r>
        <w:t>-registers</w:t>
      </w:r>
      <w:r w:rsidR="00507E92">
        <w:t xml:space="preserve"> noodzakelijk voor de controle op signalen m</w:t>
      </w:r>
      <w:r w:rsidR="00794964">
        <w:t xml:space="preserve">et </w:t>
      </w:r>
      <w:r w:rsidR="0028495E">
        <w:t>betrekking</w:t>
      </w:r>
      <w:r w:rsidR="00794964">
        <w:t xml:space="preserve"> tot</w:t>
      </w:r>
      <w:r w:rsidR="00507E92">
        <w:t xml:space="preserve"> handelen met voorwetenschap en marktmanipulatie (art</w:t>
      </w:r>
      <w:r w:rsidR="004769AC">
        <w:t xml:space="preserve">ikelen </w:t>
      </w:r>
      <w:r w:rsidR="00507E92">
        <w:t xml:space="preserve">14 en 15 van </w:t>
      </w:r>
      <w:r>
        <w:t>V</w:t>
      </w:r>
      <w:r w:rsidR="004769AC">
        <w:t>erordening 596/2014</w:t>
      </w:r>
      <w:r w:rsidR="00D124B3">
        <w:rPr>
          <w:rStyle w:val="Voetnootmarkering"/>
        </w:rPr>
        <w:footnoteReference w:id="13"/>
      </w:r>
      <w:r w:rsidR="004769AC">
        <w:t xml:space="preserve">). </w:t>
      </w:r>
    </w:p>
    <w:p w:rsidR="00A47059" w:rsidP="00507E92" w:rsidRDefault="00A47059" w14:paraId="0A6034B4" w14:textId="77777777"/>
    <w:p w:rsidRPr="00C04D54" w:rsidR="00C04D54" w:rsidP="00C04D54" w:rsidRDefault="00C6250D" w14:paraId="2C018DB3" w14:textId="68B8BBA9">
      <w:pPr>
        <w:rPr>
          <w:bCs/>
        </w:rPr>
      </w:pPr>
      <w:r w:rsidRPr="00974952">
        <w:rPr>
          <w:bCs/>
          <w:szCs w:val="18"/>
        </w:rPr>
        <w:t xml:space="preserve">Deze verwerking voor een ander doel is </w:t>
      </w:r>
      <w:r>
        <w:rPr>
          <w:bCs/>
          <w:szCs w:val="18"/>
        </w:rPr>
        <w:t xml:space="preserve">gerechtvaardigd </w:t>
      </w:r>
      <w:r>
        <w:t xml:space="preserve">omdat deze geschiedt op grond van een wettelijke grondslag die in een democratische samenleving een noodzakelijk en evenredige maatregel vormt ter waarborging van de in artikel 23, eerste lid, AVG bedoelde doelstellingen. </w:t>
      </w:r>
      <w:r>
        <w:rPr>
          <w:bCs/>
        </w:rPr>
        <w:t>De verwerking dient immers het belang dat wordt genoemd</w:t>
      </w:r>
      <w:r w:rsidRPr="00C04D54" w:rsidR="00C04D54">
        <w:rPr>
          <w:bCs/>
        </w:rPr>
        <w:t xml:space="preserve"> in het eerste lid, onderdeel h, van artikel 23 AVG, een taak op het gebied van toezicht die verband houdt met de uitoefening van het openbaar gezag in punt e, </w:t>
      </w:r>
      <w:r w:rsidR="006F6154">
        <w:rPr>
          <w:bCs/>
          <w:szCs w:val="18"/>
        </w:rPr>
        <w:t xml:space="preserve">van artikel 23, eerste lid, AVG </w:t>
      </w:r>
      <w:r w:rsidRPr="00C04D54" w:rsidR="00C04D54">
        <w:rPr>
          <w:bCs/>
        </w:rPr>
        <w:t>bedoelde gevallen.</w:t>
      </w:r>
    </w:p>
    <w:p w:rsidR="007F2182" w:rsidP="00526FA0" w:rsidRDefault="007F2182" w14:paraId="0D28F18A" w14:textId="77777777">
      <w:pPr>
        <w:spacing w:line="276" w:lineRule="auto"/>
      </w:pPr>
    </w:p>
    <w:p w:rsidRPr="00526FA0" w:rsidR="006F7239" w:rsidP="00526FA0" w:rsidRDefault="006F7239" w14:paraId="421BD9CA" w14:textId="120443CC">
      <w:pPr>
        <w:spacing w:line="276" w:lineRule="auto"/>
        <w:rPr>
          <w:i/>
          <w:iCs/>
        </w:rPr>
      </w:pPr>
      <w:r w:rsidRPr="00526FA0">
        <w:rPr>
          <w:i/>
          <w:iCs/>
        </w:rPr>
        <w:t>§2.</w:t>
      </w:r>
      <w:r w:rsidR="00BB5DC1">
        <w:rPr>
          <w:i/>
          <w:iCs/>
        </w:rPr>
        <w:t>6</w:t>
      </w:r>
      <w:r w:rsidRPr="00526FA0">
        <w:rPr>
          <w:i/>
          <w:iCs/>
        </w:rPr>
        <w:t xml:space="preserve"> De Autoriteit Financiële Markten voor toezicht op verslaggeving en accountantsorganisaties</w:t>
      </w:r>
    </w:p>
    <w:p w:rsidR="00452527" w:rsidP="00526FA0" w:rsidRDefault="006F7239" w14:paraId="04B08DB0" w14:textId="31E56A41">
      <w:pPr>
        <w:spacing w:line="276" w:lineRule="auto"/>
      </w:pPr>
      <w:r>
        <w:t xml:space="preserve">Toegang tot </w:t>
      </w:r>
      <w:r w:rsidR="009B200C">
        <w:t>de UBO-registers</w:t>
      </w:r>
      <w:r>
        <w:t xml:space="preserve"> </w:t>
      </w:r>
      <w:r w:rsidR="007603CC">
        <w:t xml:space="preserve">voor </w:t>
      </w:r>
      <w:r w:rsidR="00C04D54">
        <w:t xml:space="preserve">de </w:t>
      </w:r>
      <w:r>
        <w:t xml:space="preserve">AFM is </w:t>
      </w:r>
      <w:r w:rsidRPr="002E5BD2">
        <w:t xml:space="preserve">noodzakelijk voor de uitvoering van haar toezicht op de naleving van verslaggevingsvoorschriften op grond van </w:t>
      </w:r>
      <w:r w:rsidR="00563218">
        <w:t xml:space="preserve">de </w:t>
      </w:r>
      <w:r w:rsidRPr="002E5BD2">
        <w:t>artikelen 2 tot en met 4 van de Wet toezicht financiële verslaggeving</w:t>
      </w:r>
      <w:r w:rsidR="00B974BE">
        <w:t xml:space="preserve"> (</w:t>
      </w:r>
      <w:r w:rsidRPr="002E5BD2">
        <w:t xml:space="preserve">Wtfv). De AFM houdt op grond van de Wtfv toezicht op de verslaggeving van uitgevende instellingen, waarbij de AFM effectenuitgevende instellingen om nadere toelichting kan verzoeken over de toepassing van de International Accounting Standards (IAS) Verordening. Voor dit toezicht is toegang tot </w:t>
      </w:r>
      <w:r w:rsidR="00A07C92">
        <w:t>de</w:t>
      </w:r>
      <w:r w:rsidRPr="002E5BD2" w:rsidR="00A07C92">
        <w:t xml:space="preserve"> </w:t>
      </w:r>
      <w:r w:rsidRPr="002E5BD2">
        <w:t>UBO-register</w:t>
      </w:r>
      <w:r w:rsidR="00A07C92">
        <w:t>s</w:t>
      </w:r>
      <w:r w:rsidRPr="002E5BD2">
        <w:t xml:space="preserve"> in bepaalde gevallen nodig om een beeld te krijgen van de verbonden partijen (related parties) van een uitgevende</w:t>
      </w:r>
      <w:r>
        <w:t xml:space="preserve"> instelling en om zeggenschapsvraagstukken in verband met bijvoorbeeld consolidaties te kunnen beoordelen. </w:t>
      </w:r>
    </w:p>
    <w:p w:rsidR="00452527" w:rsidP="00526FA0" w:rsidRDefault="00452527" w14:paraId="08E8CB8B" w14:textId="77777777">
      <w:pPr>
        <w:spacing w:line="276" w:lineRule="auto"/>
      </w:pPr>
    </w:p>
    <w:p w:rsidR="006F7239" w:rsidP="00526FA0" w:rsidRDefault="006F7239" w14:paraId="417EE310" w14:textId="1B22DBD0">
      <w:pPr>
        <w:spacing w:line="276" w:lineRule="auto"/>
      </w:pPr>
      <w:r>
        <w:t xml:space="preserve">Daarnaast is nodig dat de AFM toegang tot </w:t>
      </w:r>
      <w:r w:rsidR="00A07C92">
        <w:t>de</w:t>
      </w:r>
      <w:r>
        <w:t xml:space="preserve"> UBO-register</w:t>
      </w:r>
      <w:r w:rsidR="00A07C92">
        <w:t>s</w:t>
      </w:r>
      <w:r>
        <w:t xml:space="preserve"> krijgt voor wat betreft de uitvoering van haar toezicht op de naleving van het bij en krachtens de Wet toezicht accountantsorganisaties (Wta) bepaalde, op grond van </w:t>
      </w:r>
      <w:r w:rsidR="00563218">
        <w:t xml:space="preserve">de </w:t>
      </w:r>
      <w:r>
        <w:t xml:space="preserve">artikelen 6, 14, 15, 16, 18, 19, 21, 24b en 48a van de Wta. In voorkomende gevallen heeft de AFM informatie over de zeggenschap van een accountantsorganisatie of controlecliënten nodig. De AFM verleent vergunningen voor het verrichten van wettelijke controles, waarvoor zij zicht dient te hebben op de structuur van de organisatie. </w:t>
      </w:r>
      <w:r w:rsidR="00A07C92">
        <w:t>De</w:t>
      </w:r>
      <w:r>
        <w:t xml:space="preserve"> UBO-register</w:t>
      </w:r>
      <w:r w:rsidR="00A07C92">
        <w:t>s</w:t>
      </w:r>
      <w:r>
        <w:t xml:space="preserve"> k</w:t>
      </w:r>
      <w:r w:rsidR="00A07C92">
        <w:t>unnen</w:t>
      </w:r>
      <w:r>
        <w:t xml:space="preserve"> daarnaast dienen om de onafhankelijkheid van een accountantsorganisatie ten opzichte van haar controleclient te onderzoeken, en het toezien op de verplichte scheiding tussen controle- en adviesdiensten door accountantsorganisaties bij organisaties van openbaar belang en daaraan gelieerde entiteiten. Daarnaast is inzage in </w:t>
      </w:r>
      <w:r w:rsidR="00FE15D0">
        <w:t>de UBO-registers</w:t>
      </w:r>
      <w:r>
        <w:t xml:space="preserve"> nodig voor het onderzoeken van wettelijke controles, waarbij voor het beoordelen van de werkzaamheden van de accountant inzicht in de controleclient benodigd is. </w:t>
      </w:r>
    </w:p>
    <w:p w:rsidR="006F7239" w:rsidP="00526FA0" w:rsidRDefault="006F7239" w14:paraId="3BD9BDFF" w14:textId="77777777">
      <w:pPr>
        <w:spacing w:line="276" w:lineRule="auto"/>
      </w:pPr>
    </w:p>
    <w:p w:rsidR="00FE15D0" w:rsidP="00FE15D0" w:rsidRDefault="00A91DF4" w14:paraId="18C54AA7" w14:textId="412AA247">
      <w:pPr>
        <w:spacing w:line="276" w:lineRule="auto"/>
        <w:rPr>
          <w:bCs/>
        </w:rPr>
      </w:pPr>
      <w:r w:rsidRPr="00974952">
        <w:rPr>
          <w:bCs/>
          <w:szCs w:val="18"/>
        </w:rPr>
        <w:t xml:space="preserve">Deze verwerking voor een ander doel is </w:t>
      </w:r>
      <w:r>
        <w:rPr>
          <w:bCs/>
          <w:szCs w:val="18"/>
        </w:rPr>
        <w:t xml:space="preserve">gerechtvaardigd </w:t>
      </w:r>
      <w:r>
        <w:t xml:space="preserve">omdat deze geschiedt op grond van een wettelijke grondslag die in een democratische samenleving een noodzakelijk een evenredige maatregel vormt ter waarborging van de in artikel 23, eerste lid, AVG bedoelde doelstellingen. </w:t>
      </w:r>
      <w:r w:rsidRPr="00FE15D0" w:rsidR="00FE15D0">
        <w:rPr>
          <w:bCs/>
        </w:rPr>
        <w:t xml:space="preserve">De verwerking dient </w:t>
      </w:r>
      <w:r>
        <w:rPr>
          <w:bCs/>
        </w:rPr>
        <w:t xml:space="preserve">immers een belang </w:t>
      </w:r>
      <w:r w:rsidRPr="00FE15D0" w:rsidR="00FE15D0">
        <w:rPr>
          <w:bCs/>
        </w:rPr>
        <w:t>dat in het eerste lid, onderdeel h, van artikel 23 AVG wordt genoemd, een taak op het gebied van toezicht die verband houdt met de uitoefening van het openbaar gezag in punt e,</w:t>
      </w:r>
      <w:r w:rsidR="006F6154">
        <w:rPr>
          <w:bCs/>
        </w:rPr>
        <w:t xml:space="preserve"> </w:t>
      </w:r>
      <w:r w:rsidR="006F6154">
        <w:rPr>
          <w:bCs/>
          <w:szCs w:val="18"/>
        </w:rPr>
        <w:t>van artikel 23, eerste lid, AVG</w:t>
      </w:r>
      <w:r w:rsidRPr="00FE15D0" w:rsidR="00FE15D0">
        <w:rPr>
          <w:bCs/>
        </w:rPr>
        <w:t xml:space="preserve"> bedoelde gevallen.</w:t>
      </w:r>
    </w:p>
    <w:p w:rsidR="003A214B" w:rsidP="00FE15D0" w:rsidRDefault="003A214B" w14:paraId="32515ACC" w14:textId="77777777">
      <w:pPr>
        <w:spacing w:line="276" w:lineRule="auto"/>
        <w:rPr>
          <w:bCs/>
        </w:rPr>
      </w:pPr>
    </w:p>
    <w:p w:rsidR="003A214B" w:rsidP="00FE15D0" w:rsidRDefault="003A214B" w14:paraId="1F4DF171" w14:textId="77777777">
      <w:pPr>
        <w:spacing w:line="276" w:lineRule="auto"/>
        <w:rPr>
          <w:bCs/>
        </w:rPr>
      </w:pPr>
    </w:p>
    <w:p w:rsidR="006F7239" w:rsidP="00526FA0" w:rsidRDefault="006F7239" w14:paraId="3AFBF8BC" w14:textId="77777777">
      <w:pPr>
        <w:spacing w:line="276" w:lineRule="auto"/>
      </w:pPr>
    </w:p>
    <w:p w:rsidRPr="00526FA0" w:rsidR="006F7239" w:rsidP="00526FA0" w:rsidRDefault="006F7239" w14:paraId="6F821032" w14:textId="23576978">
      <w:pPr>
        <w:spacing w:line="276" w:lineRule="auto"/>
        <w:rPr>
          <w:i/>
          <w:iCs/>
        </w:rPr>
      </w:pPr>
      <w:r w:rsidRPr="00526FA0">
        <w:rPr>
          <w:i/>
          <w:iCs/>
        </w:rPr>
        <w:t>§2.</w:t>
      </w:r>
      <w:r w:rsidR="00BB5DC1">
        <w:rPr>
          <w:i/>
          <w:iCs/>
        </w:rPr>
        <w:t>7</w:t>
      </w:r>
      <w:r w:rsidRPr="00526FA0">
        <w:rPr>
          <w:i/>
          <w:iCs/>
        </w:rPr>
        <w:t xml:space="preserve"> De Autoriteit Financiële Markten voor toezicht prospectus</w:t>
      </w:r>
    </w:p>
    <w:p w:rsidR="006F7239" w:rsidP="00526FA0" w:rsidRDefault="006F7239" w14:paraId="6BB44E70" w14:textId="49E7D95A">
      <w:pPr>
        <w:spacing w:line="276" w:lineRule="auto"/>
      </w:pPr>
      <w:r>
        <w:t xml:space="preserve">Ten eerste dienen op basis van </w:t>
      </w:r>
      <w:r w:rsidR="00EE580D">
        <w:t>Ve</w:t>
      </w:r>
      <w:r w:rsidR="00B43EE2">
        <w:t xml:space="preserve">rordening </w:t>
      </w:r>
      <w:r w:rsidRPr="000005E1" w:rsidR="00B43EE2">
        <w:t>2017/1129</w:t>
      </w:r>
      <w:r w:rsidR="00B43EE2">
        <w:rPr>
          <w:rStyle w:val="Voetnootmarkering"/>
        </w:rPr>
        <w:footnoteReference w:id="14"/>
      </w:r>
      <w:r>
        <w:t xml:space="preserve"> de belangrijkste aandeelhouders van de uitgevende instelling in het prospectus te worden beschreven (uit hoofde van </w:t>
      </w:r>
      <w:r w:rsidR="00C309FC">
        <w:t>rubriek</w:t>
      </w:r>
      <w:r>
        <w:t xml:space="preserve"> 16.1 van Bijlage 1 van de Gedelegeerde Verordening 2019/980</w:t>
      </w:r>
      <w:r w:rsidR="00D23371">
        <w:rPr>
          <w:rStyle w:val="Voetnootmarkering"/>
        </w:rPr>
        <w:footnoteReference w:id="15"/>
      </w:r>
      <w:r>
        <w:t xml:space="preserve">). Een uitgevende instelling is wettelijk verplicht om deze informatie in het prospectus op te nemen, maar als het vanuit de informatie hierover in het prospectus niet duidelijk is wie de </w:t>
      </w:r>
      <w:r w:rsidR="007D4A8F">
        <w:t>uiteindelijk belanghebbende</w:t>
      </w:r>
      <w:r>
        <w:t xml:space="preserve"> is in een voorkomend geval, dan vormt toegang tot </w:t>
      </w:r>
      <w:r w:rsidR="00A07C92">
        <w:t xml:space="preserve">de </w:t>
      </w:r>
      <w:r>
        <w:t>UBO-register</w:t>
      </w:r>
      <w:r w:rsidR="00A07C92">
        <w:t>s</w:t>
      </w:r>
      <w:r>
        <w:t xml:space="preserve"> een manier voor de AFM om zorg te dragen dat alle belangrijke aandeelhouders op een volledige en begrijpelijke manier gepresenteerd worden in het prospectus. </w:t>
      </w:r>
    </w:p>
    <w:p w:rsidR="006F7239" w:rsidP="00526FA0" w:rsidRDefault="006F7239" w14:paraId="7F321DB0" w14:textId="77777777">
      <w:pPr>
        <w:spacing w:line="276" w:lineRule="auto"/>
      </w:pPr>
    </w:p>
    <w:p w:rsidR="006F7239" w:rsidP="00526FA0" w:rsidRDefault="006F7239" w14:paraId="40A9E4A5" w14:textId="5E8A3AF8">
      <w:pPr>
        <w:spacing w:line="276" w:lineRule="auto"/>
      </w:pPr>
      <w:r>
        <w:t xml:space="preserve">Ook is een uitgevende instelling wettelijk verplicht om in het prospectus de identiteit van verkopende aandeelhouders op te nemen (uit hoofde van </w:t>
      </w:r>
      <w:r w:rsidR="00650AC0">
        <w:t xml:space="preserve">afdeling </w:t>
      </w:r>
      <w:r>
        <w:t xml:space="preserve">7 van Bijlage 11 van de Gedelegeerde Verordening (EU) 2019/980). Als het vanuit de informatie hierover in het prospectus niet duidelijk is wie de </w:t>
      </w:r>
      <w:r w:rsidR="007D4A8F">
        <w:t>uiteindelijk belanghebbende</w:t>
      </w:r>
      <w:r>
        <w:t xml:space="preserve"> zijn in voorkomende gevallen, dan stelt raadpleging van </w:t>
      </w:r>
      <w:r w:rsidR="00A07C92">
        <w:t>de</w:t>
      </w:r>
      <w:r>
        <w:t xml:space="preserve"> UBO-register</w:t>
      </w:r>
      <w:r w:rsidR="00A07C92">
        <w:t>s</w:t>
      </w:r>
      <w:r>
        <w:t xml:space="preserve"> de AFM in staat om zorg te dragen dat de identiteit van verkopende aandeelhouders op een volledige en begrijpelijke manier gepresenteerd wordt in het prospectus (bijvoorbeeld als achter meerdere verkopende aandeelhouders dezelfde </w:t>
      </w:r>
      <w:r w:rsidR="007D4A8F">
        <w:t>uiteindelijk belanghebbende</w:t>
      </w:r>
      <w:r>
        <w:t xml:space="preserve"> zit).</w:t>
      </w:r>
    </w:p>
    <w:p w:rsidR="006F7239" w:rsidP="00526FA0" w:rsidRDefault="006F7239" w14:paraId="50B56395" w14:textId="63A9458F">
      <w:pPr>
        <w:spacing w:line="276" w:lineRule="auto"/>
      </w:pPr>
      <w:r>
        <w:t xml:space="preserve">Daarbij is een uitgevende instelling verplicht om alle transacties met verbonden partijen te beschrijven in het prospectus (uit hoofde van </w:t>
      </w:r>
      <w:r w:rsidR="00650AC0">
        <w:t xml:space="preserve">rubriek </w:t>
      </w:r>
      <w:r>
        <w:t xml:space="preserve">7.1 van Bijlage 1 van de Gedelegeerde Verordening (EU) 2019/980). Indien deze informatie van onduidelijke aard is, dan stelt toegang tot </w:t>
      </w:r>
      <w:r w:rsidR="00DE7112">
        <w:t>de UBO-registers</w:t>
      </w:r>
      <w:r>
        <w:t xml:space="preserve"> de AFM in staat om te verifiëren of deze beschrijving van transacties met verbonden partijen volledig is.</w:t>
      </w:r>
    </w:p>
    <w:p w:rsidR="006F7239" w:rsidP="00526FA0" w:rsidRDefault="006F7239" w14:paraId="59BA3C92" w14:textId="77777777">
      <w:pPr>
        <w:spacing w:line="276" w:lineRule="auto"/>
      </w:pPr>
    </w:p>
    <w:p w:rsidR="00AE609E" w:rsidP="00AE609E" w:rsidRDefault="00A91DF4" w14:paraId="31EB8B0C" w14:textId="391C8819">
      <w:pPr>
        <w:spacing w:line="276" w:lineRule="auto"/>
        <w:rPr>
          <w:bCs/>
        </w:rPr>
      </w:pPr>
      <w:r w:rsidRPr="00974952">
        <w:rPr>
          <w:bCs/>
          <w:szCs w:val="18"/>
        </w:rPr>
        <w:t xml:space="preserve">Deze verwerking voor een ander doel is </w:t>
      </w:r>
      <w:r>
        <w:rPr>
          <w:bCs/>
          <w:szCs w:val="18"/>
        </w:rPr>
        <w:t xml:space="preserve">gerechtvaardigd </w:t>
      </w:r>
      <w:r>
        <w:t xml:space="preserve">omdat deze geschiedt op grond van een wettelijke grondslag die in een democratische samenleving een noodzakelijk een evenredige maatregel vormt ter waarborging van de in artikel 23, eerste lid, AVG bedoelde doelstellingen. </w:t>
      </w:r>
      <w:r w:rsidRPr="00AE609E" w:rsidR="00AE609E">
        <w:rPr>
          <w:bCs/>
        </w:rPr>
        <w:t xml:space="preserve">De verwerking dient </w:t>
      </w:r>
      <w:r>
        <w:rPr>
          <w:bCs/>
        </w:rPr>
        <w:t xml:space="preserve">immers een belang </w:t>
      </w:r>
      <w:r w:rsidRPr="00AE609E" w:rsidR="00AE609E">
        <w:rPr>
          <w:bCs/>
        </w:rPr>
        <w:t xml:space="preserve">dat in het eerste lid, onderdeel h, van artikel 23 AVG wordt genoemd, een taak op het gebied van toezicht die verband houdt met de uitoefening van het openbaar gezag in punt e, </w:t>
      </w:r>
      <w:r w:rsidR="00A26E6E">
        <w:rPr>
          <w:bCs/>
          <w:szCs w:val="18"/>
        </w:rPr>
        <w:t xml:space="preserve">van artikel 23, eerste lid, AVG </w:t>
      </w:r>
      <w:r w:rsidRPr="00AE609E" w:rsidR="00AE609E">
        <w:rPr>
          <w:bCs/>
        </w:rPr>
        <w:t>bedoelde gevallen.</w:t>
      </w:r>
    </w:p>
    <w:p w:rsidR="00EA213C" w:rsidP="00AE609E" w:rsidRDefault="00EA213C" w14:paraId="73781871" w14:textId="77777777">
      <w:pPr>
        <w:spacing w:line="276" w:lineRule="auto"/>
        <w:rPr>
          <w:bCs/>
        </w:rPr>
      </w:pPr>
    </w:p>
    <w:p w:rsidR="00EA213C" w:rsidP="00EA213C" w:rsidRDefault="00EA213C" w14:paraId="449A4928" w14:textId="33DA9833">
      <w:pPr>
        <w:spacing w:line="276" w:lineRule="auto"/>
        <w:rPr>
          <w:i/>
          <w:iCs/>
        </w:rPr>
      </w:pPr>
      <w:r w:rsidRPr="00526FA0">
        <w:rPr>
          <w:i/>
          <w:iCs/>
        </w:rPr>
        <w:t>§2.</w:t>
      </w:r>
      <w:r>
        <w:rPr>
          <w:i/>
          <w:iCs/>
        </w:rPr>
        <w:t>8</w:t>
      </w:r>
      <w:r w:rsidRPr="00526FA0">
        <w:rPr>
          <w:i/>
          <w:iCs/>
        </w:rPr>
        <w:t xml:space="preserve"> De Autoriteit Financiële Markten voor toezicht </w:t>
      </w:r>
      <w:r w:rsidR="003B4956">
        <w:rPr>
          <w:i/>
          <w:iCs/>
        </w:rPr>
        <w:t>in het kader van oneerlijke handelspraktijken</w:t>
      </w:r>
    </w:p>
    <w:p w:rsidR="00EA213C" w:rsidP="00EA213C" w:rsidRDefault="00EA213C" w14:paraId="58A2A52E" w14:textId="77777777">
      <w:pPr>
        <w:spacing w:line="276" w:lineRule="auto"/>
        <w:rPr>
          <w:i/>
          <w:iCs/>
        </w:rPr>
      </w:pPr>
    </w:p>
    <w:p w:rsidRPr="00052B4C" w:rsidR="00052B4C" w:rsidP="00052B4C" w:rsidRDefault="00052B4C" w14:paraId="36FF3EEC" w14:textId="775515EA">
      <w:r w:rsidRPr="00052B4C">
        <w:t xml:space="preserve">In artikel 3.1 </w:t>
      </w:r>
      <w:r>
        <w:t xml:space="preserve">en onderdeel a van de bijlage </w:t>
      </w:r>
      <w:r w:rsidRPr="00052B4C">
        <w:t xml:space="preserve">van de Wet handhaving consumentenbescherming (Whc) wordt AFM aangewezen als bevoegde autoriteit voor inbreuken op grond van artikel 8.8 van de </w:t>
      </w:r>
      <w:r>
        <w:t xml:space="preserve">Whc. Artikel 8.8 van de Whc verbiedt een handelaar om oneerlijke handelspraktijken te verrichten. </w:t>
      </w:r>
      <w:r w:rsidRPr="00052B4C">
        <w:t>Dat kunnen ook onderzoeken zijn naar partijen die niet over een AFM-vergunning of registratie beschikken, waarover de AFM onvoldoende informatie heeft of</w:t>
      </w:r>
      <w:r w:rsidR="00C12E85">
        <w:t xml:space="preserve"> die</w:t>
      </w:r>
      <w:r w:rsidRPr="00052B4C">
        <w:t xml:space="preserve"> niet meewerken aan een onderzoek. Deze partijen kunnen bijvoorbeeld de Whc overtreden door essentiële (beleggers)informatie weg te laten (misleidende omissie) of misleidende informatie verstrekken bij het aanbieden van financiële instrumenten</w:t>
      </w:r>
      <w:r w:rsidR="00956CB0">
        <w:t xml:space="preserve"> en </w:t>
      </w:r>
      <w:r w:rsidRPr="00052B4C">
        <w:t xml:space="preserve">investeringen. </w:t>
      </w:r>
      <w:r>
        <w:t>De</w:t>
      </w:r>
      <w:r w:rsidRPr="00052B4C">
        <w:t xml:space="preserve"> betrokkenheid van bepaalde natuurlijke personen </w:t>
      </w:r>
      <w:r w:rsidR="00956CB0">
        <w:t xml:space="preserve">kan </w:t>
      </w:r>
      <w:r w:rsidRPr="00052B4C">
        <w:t>essentiële informatie</w:t>
      </w:r>
      <w:r w:rsidR="00956CB0">
        <w:t xml:space="preserve"> </w:t>
      </w:r>
      <w:r w:rsidRPr="00052B4C">
        <w:t xml:space="preserve">zijn die de gemiddelde consument nodig heeft voor het nemen van een geïnformeerd besluit. Dit is bijvoorbeeld het geval wanneer de belangen van die persoon strijdig zijn met die van de consument of wanneer die persoon een verleden heeft ten aanzien van misleiding. Zowel om de vermoedelijke overtreding verder te onderzoeken </w:t>
      </w:r>
      <w:r w:rsidR="00433BEF">
        <w:t>als</w:t>
      </w:r>
      <w:r w:rsidRPr="00052B4C">
        <w:t xml:space="preserve"> te weten wie je kan aanspreken op overtreding van de Whc, is inzage in </w:t>
      </w:r>
      <w:r w:rsidR="00A07C92">
        <w:t>de</w:t>
      </w:r>
      <w:r w:rsidRPr="00052B4C">
        <w:t xml:space="preserve"> UBO-register</w:t>
      </w:r>
      <w:r w:rsidR="00A07C92">
        <w:t>s</w:t>
      </w:r>
      <w:r w:rsidRPr="00052B4C">
        <w:t xml:space="preserve"> </w:t>
      </w:r>
      <w:r>
        <w:t xml:space="preserve">daarom </w:t>
      </w:r>
      <w:r w:rsidR="00897638">
        <w:t>van belang.</w:t>
      </w:r>
    </w:p>
    <w:p w:rsidRPr="00052B4C" w:rsidR="00052B4C" w:rsidP="00EA213C" w:rsidRDefault="00052B4C" w14:paraId="1287982F" w14:textId="791DA5AB">
      <w:pPr>
        <w:spacing w:line="276" w:lineRule="auto"/>
      </w:pPr>
    </w:p>
    <w:p w:rsidR="00236FA4" w:rsidP="00236FA4" w:rsidRDefault="00236FA4" w14:paraId="07CADF74" w14:textId="1636A720">
      <w:pPr>
        <w:spacing w:line="276" w:lineRule="auto"/>
        <w:rPr>
          <w:bCs/>
          <w:szCs w:val="18"/>
        </w:rPr>
      </w:pPr>
      <w:r w:rsidRPr="00974952">
        <w:rPr>
          <w:bCs/>
          <w:szCs w:val="18"/>
        </w:rPr>
        <w:t xml:space="preserve">Deze verwerking voor een ander doel is </w:t>
      </w:r>
      <w:r>
        <w:rPr>
          <w:bCs/>
          <w:szCs w:val="18"/>
        </w:rPr>
        <w:t xml:space="preserve">gerechtvaardigd </w:t>
      </w:r>
      <w:r>
        <w:t xml:space="preserve">omdat deze geschiedt op grond van een wettelijke grondslag die in een democratische samenleving een noodzakelijk en evenredige maatregel vormt ter waarborging van de in artikel 23, eerste lid, AVG bedoelde doelstellingen. </w:t>
      </w:r>
      <w:r w:rsidRPr="00974952">
        <w:rPr>
          <w:bCs/>
          <w:szCs w:val="18"/>
        </w:rPr>
        <w:t xml:space="preserve">Deze verwerking </w:t>
      </w:r>
      <w:r>
        <w:rPr>
          <w:bCs/>
          <w:szCs w:val="18"/>
        </w:rPr>
        <w:t xml:space="preserve">dient een belang zoals genoemd </w:t>
      </w:r>
      <w:r w:rsidRPr="00974952">
        <w:rPr>
          <w:bCs/>
          <w:szCs w:val="18"/>
        </w:rPr>
        <w:t xml:space="preserve">in het eerste lid, onderdeel h, van artikel 23 AVG wordt genoemd, een taak op het gebied van toezicht die verband houdt met de uitoefening van het openbaar gezag in punt e, </w:t>
      </w:r>
      <w:r>
        <w:rPr>
          <w:bCs/>
          <w:szCs w:val="18"/>
        </w:rPr>
        <w:t xml:space="preserve">van artikel 23, eerste lid, AVG </w:t>
      </w:r>
      <w:r w:rsidRPr="00974952">
        <w:rPr>
          <w:bCs/>
          <w:szCs w:val="18"/>
        </w:rPr>
        <w:t>bedoelde gevallen.</w:t>
      </w:r>
    </w:p>
    <w:p w:rsidR="006A20AD" w:rsidP="00236FA4" w:rsidRDefault="006A20AD" w14:paraId="538B0F96" w14:textId="77777777">
      <w:pPr>
        <w:spacing w:line="276" w:lineRule="auto"/>
        <w:rPr>
          <w:bCs/>
          <w:szCs w:val="18"/>
        </w:rPr>
      </w:pPr>
    </w:p>
    <w:p w:rsidRPr="006A20AD" w:rsidR="006A20AD" w:rsidP="006A20AD" w:rsidRDefault="006A20AD" w14:paraId="248B9B2B" w14:textId="77777777">
      <w:pPr>
        <w:spacing w:line="276" w:lineRule="auto"/>
        <w:rPr>
          <w:bCs/>
          <w:i/>
          <w:iCs/>
          <w:szCs w:val="18"/>
        </w:rPr>
      </w:pPr>
      <w:r w:rsidRPr="006A20AD">
        <w:rPr>
          <w:bCs/>
          <w:i/>
          <w:iCs/>
          <w:szCs w:val="18"/>
        </w:rPr>
        <w:t>§2.9 De Autoriteit Financiële Markten in verband met het vergunningsverleningsproces</w:t>
      </w:r>
    </w:p>
    <w:p w:rsidRPr="006A20AD" w:rsidR="006A20AD" w:rsidP="006A20AD" w:rsidRDefault="006A20AD" w14:paraId="1ACC7C44" w14:textId="77777777">
      <w:pPr>
        <w:spacing w:line="276" w:lineRule="auto"/>
        <w:rPr>
          <w:bCs/>
          <w:i/>
          <w:iCs/>
          <w:szCs w:val="18"/>
        </w:rPr>
      </w:pPr>
    </w:p>
    <w:p w:rsidRPr="006A20AD" w:rsidR="006A20AD" w:rsidP="006A20AD" w:rsidRDefault="006A20AD" w14:paraId="31C806A9" w14:textId="49B62681">
      <w:pPr>
        <w:spacing w:line="276" w:lineRule="auto"/>
        <w:rPr>
          <w:bCs/>
          <w:szCs w:val="18"/>
        </w:rPr>
      </w:pPr>
      <w:r w:rsidRPr="006A20AD">
        <w:rPr>
          <w:bCs/>
          <w:szCs w:val="18"/>
        </w:rPr>
        <w:t xml:space="preserve">Het raadplegen van </w:t>
      </w:r>
      <w:r w:rsidR="00A07C92">
        <w:rPr>
          <w:bCs/>
          <w:szCs w:val="18"/>
        </w:rPr>
        <w:t>de</w:t>
      </w:r>
      <w:r w:rsidRPr="006A20AD">
        <w:rPr>
          <w:bCs/>
          <w:szCs w:val="18"/>
        </w:rPr>
        <w:t xml:space="preserve"> UBO-register</w:t>
      </w:r>
      <w:r w:rsidR="00A07C92">
        <w:rPr>
          <w:bCs/>
          <w:szCs w:val="18"/>
        </w:rPr>
        <w:t>s</w:t>
      </w:r>
      <w:r w:rsidRPr="006A20AD">
        <w:rPr>
          <w:bCs/>
          <w:szCs w:val="18"/>
        </w:rPr>
        <w:t xml:space="preserve"> is noodzakelijk in het kader van het vergunningverleningsproces. Artikelen 2:78 en 2:83 Wft bepalen dat AFM alleen een vergunning kan verlenen als er (onder andere) door de aanvrager is aangetoond dat er is voldaan aan artikel 4:13 Wft. Dit artikel gaat over de zeggenschapstructuur. AFM moet tijdens het vergunningsverleningsproces vast kunnen stellen of de zeggenschap</w:t>
      </w:r>
      <w:r w:rsidR="00433BEF">
        <w:rPr>
          <w:bCs/>
          <w:szCs w:val="18"/>
        </w:rPr>
        <w:t>s</w:t>
      </w:r>
      <w:r w:rsidRPr="006A20AD">
        <w:rPr>
          <w:bCs/>
          <w:szCs w:val="18"/>
        </w:rPr>
        <w:t xml:space="preserve">structuur doorzichtig is en de AFM moet dus zicht hebben op wie daadwerkelijk beslissingsbevoegdheid is. Hiervoor is het voor </w:t>
      </w:r>
      <w:r w:rsidR="00433BEF">
        <w:rPr>
          <w:bCs/>
          <w:szCs w:val="18"/>
        </w:rPr>
        <w:t xml:space="preserve">de </w:t>
      </w:r>
      <w:r w:rsidRPr="006A20AD">
        <w:rPr>
          <w:bCs/>
          <w:szCs w:val="18"/>
        </w:rPr>
        <w:t xml:space="preserve">AFM noodzakelijk om toegang te hebben tot </w:t>
      </w:r>
      <w:r w:rsidR="00A07C92">
        <w:rPr>
          <w:bCs/>
          <w:szCs w:val="18"/>
        </w:rPr>
        <w:t>de</w:t>
      </w:r>
      <w:r w:rsidRPr="006A20AD">
        <w:rPr>
          <w:bCs/>
          <w:szCs w:val="18"/>
        </w:rPr>
        <w:t xml:space="preserve"> UBO-register</w:t>
      </w:r>
      <w:r w:rsidR="00A07C92">
        <w:rPr>
          <w:bCs/>
          <w:szCs w:val="18"/>
        </w:rPr>
        <w:t>s</w:t>
      </w:r>
      <w:r w:rsidRPr="006A20AD">
        <w:rPr>
          <w:bCs/>
          <w:szCs w:val="18"/>
        </w:rPr>
        <w:t>.</w:t>
      </w:r>
    </w:p>
    <w:p w:rsidRPr="006A20AD" w:rsidR="006A20AD" w:rsidP="006A20AD" w:rsidRDefault="006A20AD" w14:paraId="61B43F95" w14:textId="77777777">
      <w:pPr>
        <w:spacing w:line="276" w:lineRule="auto"/>
        <w:rPr>
          <w:bCs/>
          <w:szCs w:val="18"/>
        </w:rPr>
      </w:pPr>
    </w:p>
    <w:p w:rsidRPr="007F0ED6" w:rsidR="006A20AD" w:rsidP="006A20AD" w:rsidRDefault="006A20AD" w14:paraId="676E48F3" w14:textId="7A396980">
      <w:pPr>
        <w:spacing w:line="276" w:lineRule="auto"/>
        <w:rPr>
          <w:b/>
          <w:bCs/>
          <w:szCs w:val="18"/>
        </w:rPr>
      </w:pPr>
      <w:r w:rsidRPr="006A20AD">
        <w:rPr>
          <w:bCs/>
          <w:szCs w:val="18"/>
        </w:rPr>
        <w:t xml:space="preserve">Daarnaast dient de AFM </w:t>
      </w:r>
      <w:r w:rsidR="00A07C92">
        <w:rPr>
          <w:bCs/>
          <w:szCs w:val="18"/>
        </w:rPr>
        <w:t>de</w:t>
      </w:r>
      <w:r w:rsidRPr="006A20AD">
        <w:rPr>
          <w:bCs/>
          <w:szCs w:val="18"/>
        </w:rPr>
        <w:t xml:space="preserve"> UBO-register</w:t>
      </w:r>
      <w:r w:rsidR="00A07C92">
        <w:rPr>
          <w:bCs/>
          <w:szCs w:val="18"/>
        </w:rPr>
        <w:t>s</w:t>
      </w:r>
      <w:r w:rsidRPr="006A20AD">
        <w:rPr>
          <w:bCs/>
          <w:szCs w:val="18"/>
        </w:rPr>
        <w:t xml:space="preserve"> te raadplegen voor het vergunningverlening </w:t>
      </w:r>
      <w:r w:rsidRPr="006B6CDE">
        <w:rPr>
          <w:bCs/>
          <w:szCs w:val="18"/>
        </w:rPr>
        <w:t xml:space="preserve">proces van crowdfundingdienstverleners op basis van de Verordening (EU) </w:t>
      </w:r>
      <w:r w:rsidRPr="006B6CDE" w:rsidR="00EE580D">
        <w:rPr>
          <w:bCs/>
          <w:szCs w:val="18"/>
        </w:rPr>
        <w:t>2020/1503</w:t>
      </w:r>
      <w:r w:rsidRPr="006B6CDE">
        <w:rPr>
          <w:bCs/>
          <w:szCs w:val="18"/>
        </w:rPr>
        <w:t>.</w:t>
      </w:r>
      <w:r w:rsidR="00EE580D">
        <w:rPr>
          <w:rStyle w:val="Voetnootmarkering"/>
          <w:bCs/>
          <w:szCs w:val="18"/>
        </w:rPr>
        <w:footnoteReference w:id="16"/>
      </w:r>
      <w:r w:rsidRPr="006B6CDE">
        <w:rPr>
          <w:bCs/>
          <w:szCs w:val="18"/>
        </w:rPr>
        <w:t xml:space="preserve"> </w:t>
      </w:r>
      <w:r w:rsidRPr="006B6CDE" w:rsidR="006B6CDE">
        <w:rPr>
          <w:bCs/>
          <w:szCs w:val="18"/>
        </w:rPr>
        <w:t xml:space="preserve">In artikel 1 van bijlage 31 van </w:t>
      </w:r>
      <w:r w:rsidRPr="007F0ED6" w:rsidR="006B6CDE">
        <w:rPr>
          <w:bCs/>
          <w:szCs w:val="18"/>
        </w:rPr>
        <w:t>Besluit EU-verordeningen Wft wordt AFM aangewezen als bevoegde autoriteit</w:t>
      </w:r>
      <w:r w:rsidR="006B6CDE">
        <w:rPr>
          <w:bCs/>
          <w:szCs w:val="18"/>
        </w:rPr>
        <w:t xml:space="preserve"> ten aanzien van de verordening (behalve voor artikel 11)</w:t>
      </w:r>
      <w:r w:rsidRPr="007F0ED6" w:rsidR="006B6CDE">
        <w:rPr>
          <w:bCs/>
          <w:szCs w:val="18"/>
        </w:rPr>
        <w:t xml:space="preserve">. </w:t>
      </w:r>
      <w:r w:rsidR="0084075B">
        <w:rPr>
          <w:bCs/>
          <w:szCs w:val="18"/>
        </w:rPr>
        <w:t>A</w:t>
      </w:r>
      <w:r w:rsidRPr="006B6CDE">
        <w:rPr>
          <w:bCs/>
          <w:szCs w:val="18"/>
        </w:rPr>
        <w:t xml:space="preserve">rtikel 4 van </w:t>
      </w:r>
      <w:r w:rsidR="0084075B">
        <w:rPr>
          <w:bCs/>
          <w:szCs w:val="18"/>
        </w:rPr>
        <w:t>V</w:t>
      </w:r>
      <w:r w:rsidRPr="006B6CDE" w:rsidR="006B6CDE">
        <w:rPr>
          <w:bCs/>
          <w:szCs w:val="18"/>
        </w:rPr>
        <w:t>erordening 2020/1503 ziet</w:t>
      </w:r>
      <w:r w:rsidRPr="006B6CDE">
        <w:rPr>
          <w:bCs/>
          <w:szCs w:val="18"/>
        </w:rPr>
        <w:t xml:space="preserve"> op een doeltreffende en prudente bedrijfsvoering voor</w:t>
      </w:r>
      <w:r w:rsidRPr="006A20AD">
        <w:rPr>
          <w:bCs/>
          <w:szCs w:val="18"/>
        </w:rPr>
        <w:t xml:space="preserve"> het vergunningverlening proces. Dit artikel schrijft onder meer voor dat er </w:t>
      </w:r>
      <w:r w:rsidR="0084075B">
        <w:rPr>
          <w:bCs/>
          <w:szCs w:val="18"/>
        </w:rPr>
        <w:t xml:space="preserve">bedrijfscontinuïteit en </w:t>
      </w:r>
      <w:r w:rsidRPr="006A20AD">
        <w:rPr>
          <w:bCs/>
          <w:szCs w:val="18"/>
        </w:rPr>
        <w:t>scheiding van verantwoordelijkheden moet zijn</w:t>
      </w:r>
      <w:r w:rsidR="000E551D">
        <w:rPr>
          <w:bCs/>
          <w:szCs w:val="18"/>
        </w:rPr>
        <w:t xml:space="preserve"> </w:t>
      </w:r>
      <w:r w:rsidRPr="006A20AD">
        <w:rPr>
          <w:bCs/>
          <w:szCs w:val="18"/>
        </w:rPr>
        <w:t xml:space="preserve">en belangenconflicten moeten worden voorkomen. Dit alles op een wijze die de integriteit van de markt en de belangen van zijn cliënten bevordert. Artikel 8 van </w:t>
      </w:r>
      <w:r w:rsidR="0084075B">
        <w:rPr>
          <w:bCs/>
          <w:szCs w:val="18"/>
        </w:rPr>
        <w:t>V</w:t>
      </w:r>
      <w:r w:rsidRPr="006A20AD">
        <w:rPr>
          <w:bCs/>
          <w:szCs w:val="18"/>
        </w:rPr>
        <w:t xml:space="preserve">erordening 2020/1503 </w:t>
      </w:r>
      <w:r w:rsidR="000E551D">
        <w:rPr>
          <w:bCs/>
          <w:szCs w:val="18"/>
        </w:rPr>
        <w:t>stelt</w:t>
      </w:r>
      <w:r w:rsidRPr="006A20AD">
        <w:rPr>
          <w:bCs/>
          <w:szCs w:val="18"/>
        </w:rPr>
        <w:t xml:space="preserve"> regels om belangenconflicten te voorkomen. AFM moet kunnen toetsen of er tijdens de vergunningverlening al mogelijke manieren van belangenconflict of verstrengeling zijn te identificeren.</w:t>
      </w:r>
      <w:bookmarkStart w:name="_Hlk214969706" w:id="2"/>
      <w:r>
        <w:rPr>
          <w:bCs/>
          <w:szCs w:val="18"/>
        </w:rPr>
        <w:t xml:space="preserve"> </w:t>
      </w:r>
      <w:r w:rsidR="008D0AB1">
        <w:rPr>
          <w:bCs/>
          <w:szCs w:val="18"/>
        </w:rPr>
        <w:t xml:space="preserve">AFM moet </w:t>
      </w:r>
      <w:r w:rsidRPr="006A20AD">
        <w:rPr>
          <w:bCs/>
          <w:szCs w:val="18"/>
        </w:rPr>
        <w:t>voor zowel de toets aan de poort (vergunningverlening) als voor wat betreft doorlopend toezicht t</w:t>
      </w:r>
      <w:r w:rsidR="008D0AB1">
        <w:rPr>
          <w:bCs/>
          <w:szCs w:val="18"/>
        </w:rPr>
        <w:t>en aanzien hiervan, inzage hebben in de UBO-registers.</w:t>
      </w:r>
      <w:r w:rsidR="00BB59D0">
        <w:rPr>
          <w:bCs/>
          <w:szCs w:val="18"/>
        </w:rPr>
        <w:t xml:space="preserve"> </w:t>
      </w:r>
      <w:bookmarkEnd w:id="2"/>
    </w:p>
    <w:p w:rsidRPr="006A20AD" w:rsidR="006A20AD" w:rsidP="006A20AD" w:rsidRDefault="006A20AD" w14:paraId="0CF17F9A" w14:textId="77777777">
      <w:pPr>
        <w:spacing w:line="276" w:lineRule="auto"/>
        <w:rPr>
          <w:bCs/>
          <w:szCs w:val="18"/>
        </w:rPr>
      </w:pPr>
    </w:p>
    <w:p w:rsidRPr="006A20AD" w:rsidR="006A20AD" w:rsidP="006A20AD" w:rsidRDefault="006A20AD" w14:paraId="27B8EAF3" w14:textId="0A5B2BA4">
      <w:pPr>
        <w:spacing w:line="276" w:lineRule="auto"/>
        <w:rPr>
          <w:bCs/>
          <w:szCs w:val="18"/>
        </w:rPr>
      </w:pPr>
      <w:r w:rsidRPr="006A20AD">
        <w:rPr>
          <w:bCs/>
          <w:szCs w:val="18"/>
        </w:rPr>
        <w:t xml:space="preserve">Deze verwerking voor een ander doel is gerechtvaardigd omdat deze geschiedt op grond van een wettelijke grondslag die in een democratische samenleving een noodzakelijk en evenredige maatregel vormt ter waarborging van de in artikel 23, eerste lid, AVG bedoelde doelstellingen. Deze verwerking dient een belang zoals in het eerste lid, onderdeel h, van artikel 23 AVG wordt genoemd, </w:t>
      </w:r>
      <w:r w:rsidR="000E551D">
        <w:rPr>
          <w:bCs/>
          <w:szCs w:val="18"/>
        </w:rPr>
        <w:t xml:space="preserve">namelijk </w:t>
      </w:r>
      <w:r w:rsidRPr="006A20AD">
        <w:rPr>
          <w:bCs/>
          <w:szCs w:val="18"/>
        </w:rPr>
        <w:t>een taak op het gebied van toezicht die verband houdt met de uitoefening van het openbaar gezag in punt e, van artikel 23, eerste lid, AVG bedoelde gevallen.</w:t>
      </w:r>
    </w:p>
    <w:p w:rsidR="005539CD" w:rsidP="00526FA0" w:rsidRDefault="005539CD" w14:paraId="2CFC0B7E" w14:textId="77777777">
      <w:pPr>
        <w:spacing w:line="276" w:lineRule="auto"/>
        <w:rPr>
          <w:bCs/>
          <w:szCs w:val="18"/>
        </w:rPr>
      </w:pPr>
    </w:p>
    <w:p w:rsidRPr="003C27CB" w:rsidR="003C27CB" w:rsidP="00526FA0" w:rsidRDefault="00724311" w14:paraId="434FA3BF" w14:textId="56C29335">
      <w:pPr>
        <w:spacing w:line="276" w:lineRule="auto"/>
        <w:rPr>
          <w:bCs/>
          <w:i/>
          <w:iCs/>
          <w:szCs w:val="18"/>
        </w:rPr>
      </w:pPr>
      <w:r w:rsidRPr="003C27CB">
        <w:rPr>
          <w:i/>
          <w:iCs/>
        </w:rPr>
        <w:t>§2.</w:t>
      </w:r>
      <w:r w:rsidR="00EA213C">
        <w:rPr>
          <w:i/>
          <w:iCs/>
        </w:rPr>
        <w:t>9</w:t>
      </w:r>
      <w:r w:rsidRPr="003C27CB">
        <w:rPr>
          <w:i/>
          <w:iCs/>
        </w:rPr>
        <w:t xml:space="preserve">. </w:t>
      </w:r>
      <w:r w:rsidRPr="003C27CB" w:rsidR="003C27CB">
        <w:rPr>
          <w:i/>
          <w:iCs/>
        </w:rPr>
        <w:t>Wet veiligheidstoets investeringen, fusies en overnames</w:t>
      </w:r>
    </w:p>
    <w:p w:rsidR="00FE1DC2" w:rsidP="00526FA0" w:rsidRDefault="0065434F" w14:paraId="40477836" w14:textId="7FB6155C">
      <w:pPr>
        <w:spacing w:line="276" w:lineRule="auto"/>
      </w:pPr>
      <w:r>
        <w:t xml:space="preserve">De </w:t>
      </w:r>
      <w:r w:rsidRPr="00885281">
        <w:t>Wet veiligheidstoets investeringen, fusies en overnames</w:t>
      </w:r>
      <w:r>
        <w:t xml:space="preserve"> </w:t>
      </w:r>
      <w:r w:rsidR="003A4AFD">
        <w:t>bevat</w:t>
      </w:r>
      <w:r>
        <w:t xml:space="preserve"> regels waarmee risico’s voor de nationale veiligheid, als gevolg van bepaalde verwervingsactiviteiten zoals investeringen en fusies, beheerst kunnen worden. Dit soort verwervingsactiviteiten met betrekking tot vitale aanbieders of ondernemingen die over sensitieve technologie beschikken, kunnen leiden tot risico’s voor de nationale veiligheid. Daartoe voorziet de wet in een procedure om te bepalen of</w:t>
      </w:r>
      <w:r w:rsidR="000E551D">
        <w:t>,</w:t>
      </w:r>
      <w:r>
        <w:t xml:space="preserve"> </w:t>
      </w:r>
      <w:r w:rsidR="000E551D">
        <w:t xml:space="preserve">en onder welke voorwaarden, </w:t>
      </w:r>
      <w:r>
        <w:t xml:space="preserve">een bepaalde verwervingsactiviteit die onder de reikwijdte van </w:t>
      </w:r>
      <w:r w:rsidR="000850E5">
        <w:t>de wet</w:t>
      </w:r>
      <w:r>
        <w:t xml:space="preserve"> valt</w:t>
      </w:r>
      <w:r w:rsidR="000850E5">
        <w:t>,</w:t>
      </w:r>
      <w:r>
        <w:t xml:space="preserve"> toelaatbaar is. De Minister van Economische Zaken geeft uitvoering aan deze wet. Daarvoor is het Bureau Toetsing Investeringen (BTI) ingericht, waar de meldingen van voorgenomen verwervingsactiviteiten worden ontvangen en in behandeling genomen. Om te beoordelen of een activiteit een risico kan vormen voor de nationale veiligheid, zal</w:t>
      </w:r>
      <w:r w:rsidR="002169DF">
        <w:t xml:space="preserve"> onderzoek worden gedaan </w:t>
      </w:r>
      <w:r>
        <w:t xml:space="preserve">naar de partij die zeggenschap of significante invloed verkrijgt. Meestal zal het gaan om een rechtspersoon die vaak op zijn beurt weer deel uitmaakt van </w:t>
      </w:r>
      <w:r w:rsidRPr="002E5BD2">
        <w:t xml:space="preserve">een groep van rechtspersonen of waar een veelheid aan aandeelhouders deelneemt in deze partij. Daarom zal </w:t>
      </w:r>
      <w:r w:rsidR="002169DF">
        <w:t>er in kaart moeten worden gebracht</w:t>
      </w:r>
      <w:r w:rsidRPr="002E5BD2">
        <w:t xml:space="preserve"> welke krachten er achter de rechtspersoon schuil gaan en bij wie de uiteindelijke zeggenschap berust. </w:t>
      </w:r>
      <w:r w:rsidR="007E52E9">
        <w:t xml:space="preserve">Voor deze taak is </w:t>
      </w:r>
      <w:r w:rsidRPr="002E5BD2">
        <w:t>in artikel 34</w:t>
      </w:r>
      <w:r w:rsidR="007E52E9">
        <w:t>, derde lid,</w:t>
      </w:r>
      <w:r w:rsidRPr="002E5BD2">
        <w:t xml:space="preserve"> van die wet bepaald dat de </w:t>
      </w:r>
      <w:r w:rsidR="00C309FC">
        <w:t>m</w:t>
      </w:r>
      <w:r w:rsidRPr="002E5BD2">
        <w:t>inister gebruik maakt van informatie in het handelsregister</w:t>
      </w:r>
      <w:r w:rsidR="007E52E9">
        <w:t xml:space="preserve">. </w:t>
      </w:r>
    </w:p>
    <w:p w:rsidR="00FE1DC2" w:rsidP="00526FA0" w:rsidRDefault="00FE1DC2" w14:paraId="1D72E591" w14:textId="77777777">
      <w:pPr>
        <w:spacing w:line="276" w:lineRule="auto"/>
      </w:pPr>
    </w:p>
    <w:p w:rsidR="007C3954" w:rsidP="00526FA0" w:rsidRDefault="00D252C1" w14:paraId="21CC16C4" w14:textId="755C999C">
      <w:pPr>
        <w:spacing w:line="276" w:lineRule="auto"/>
      </w:pPr>
      <w:r>
        <w:t>A</w:t>
      </w:r>
      <w:r w:rsidRPr="002E5BD2" w:rsidR="0065434F">
        <w:t>rtikel 7 van het Besluit veiligheidstoets investeringen, fusies en overnames</w:t>
      </w:r>
      <w:r w:rsidR="009B14BD">
        <w:t xml:space="preserve"> wordt geschrapt omdat toegang</w:t>
      </w:r>
      <w:r w:rsidR="000E551D">
        <w:t xml:space="preserve"> tot de UBO-registers vo</w:t>
      </w:r>
      <w:r w:rsidR="009B14BD">
        <w:t xml:space="preserve">or deze taak nu wordt geregeld in dit besluit </w:t>
      </w:r>
      <w:r w:rsidR="0065434F">
        <w:t xml:space="preserve">(zie artikel III van </w:t>
      </w:r>
      <w:r>
        <w:t xml:space="preserve">dit </w:t>
      </w:r>
      <w:r w:rsidR="0065434F">
        <w:t xml:space="preserve">besluit). </w:t>
      </w:r>
    </w:p>
    <w:p w:rsidR="007C3954" w:rsidP="00526FA0" w:rsidRDefault="007C3954" w14:paraId="52B06F0B" w14:textId="77777777">
      <w:pPr>
        <w:spacing w:line="276" w:lineRule="auto"/>
      </w:pPr>
    </w:p>
    <w:p w:rsidRPr="00AE609E" w:rsidR="00EA213C" w:rsidP="00452527" w:rsidRDefault="00A91DF4" w14:paraId="646D46BC" w14:textId="7C7DDAD2">
      <w:pPr>
        <w:spacing w:line="276" w:lineRule="auto"/>
        <w:rPr>
          <w:bCs/>
        </w:rPr>
      </w:pPr>
      <w:r w:rsidRPr="00974952">
        <w:rPr>
          <w:bCs/>
          <w:szCs w:val="18"/>
        </w:rPr>
        <w:t xml:space="preserve">Deze verwerking voor een ander doel is </w:t>
      </w:r>
      <w:r>
        <w:rPr>
          <w:bCs/>
          <w:szCs w:val="18"/>
        </w:rPr>
        <w:t xml:space="preserve">gerechtvaardigd </w:t>
      </w:r>
      <w:r>
        <w:t xml:space="preserve">omdat deze geschiedt op grond van een wettelijke grondslag die in een democratische samenleving een noodzakelijk en evenredige maatregel vormt ter waarborging van de in artikel 23, eerste lid, AVG bedoelde doelstellingen. </w:t>
      </w:r>
      <w:r w:rsidRPr="00AE609E" w:rsidR="00452527">
        <w:rPr>
          <w:bCs/>
        </w:rPr>
        <w:t xml:space="preserve">De verwerking dient </w:t>
      </w:r>
      <w:r>
        <w:rPr>
          <w:bCs/>
        </w:rPr>
        <w:t xml:space="preserve">een belang </w:t>
      </w:r>
      <w:r w:rsidRPr="00AE609E" w:rsidR="00452527">
        <w:rPr>
          <w:bCs/>
        </w:rPr>
        <w:t>dat in het eerste lid, onderdeel h, van artikel 23 AVG wordt genoemd,</w:t>
      </w:r>
      <w:r w:rsidR="000E551D">
        <w:rPr>
          <w:bCs/>
        </w:rPr>
        <w:t xml:space="preserve"> namelijk</w:t>
      </w:r>
      <w:r w:rsidRPr="00AE609E" w:rsidR="00452527">
        <w:rPr>
          <w:bCs/>
        </w:rPr>
        <w:t xml:space="preserve"> een taak op het gebied van toezicht</w:t>
      </w:r>
      <w:r w:rsidR="00BF10F2">
        <w:rPr>
          <w:bCs/>
        </w:rPr>
        <w:t>, inspectie of regelgeving</w:t>
      </w:r>
      <w:r w:rsidRPr="00AE609E" w:rsidR="00452527">
        <w:rPr>
          <w:bCs/>
        </w:rPr>
        <w:t xml:space="preserve"> die verband houdt met de uitoefening van het openbaar gezag in punt </w:t>
      </w:r>
      <w:r w:rsidR="00BF10F2">
        <w:rPr>
          <w:bCs/>
        </w:rPr>
        <w:t>a (nationale veiligheid) en c (openbare veiligheid)</w:t>
      </w:r>
      <w:r w:rsidRPr="00AE609E" w:rsidR="00452527">
        <w:rPr>
          <w:bCs/>
        </w:rPr>
        <w:t xml:space="preserve">, </w:t>
      </w:r>
      <w:r w:rsidR="007D5C08">
        <w:rPr>
          <w:bCs/>
          <w:szCs w:val="18"/>
        </w:rPr>
        <w:t xml:space="preserve">van </w:t>
      </w:r>
      <w:r w:rsidR="000E551D">
        <w:rPr>
          <w:bCs/>
          <w:szCs w:val="18"/>
        </w:rPr>
        <w:t xml:space="preserve">de in </w:t>
      </w:r>
      <w:r w:rsidR="007D5C08">
        <w:rPr>
          <w:bCs/>
          <w:szCs w:val="18"/>
        </w:rPr>
        <w:t xml:space="preserve">artikel 23, eerste lid, AVG </w:t>
      </w:r>
      <w:r w:rsidRPr="00AE609E" w:rsidR="00452527">
        <w:rPr>
          <w:bCs/>
        </w:rPr>
        <w:t>bedoelde gevallen.</w:t>
      </w:r>
    </w:p>
    <w:p w:rsidR="00CF5B1B" w:rsidP="00526FA0" w:rsidRDefault="00CF5B1B" w14:paraId="76F5EE55" w14:textId="77777777">
      <w:pPr>
        <w:spacing w:line="276" w:lineRule="auto"/>
        <w:rPr>
          <w:i/>
          <w:iCs/>
        </w:rPr>
      </w:pPr>
    </w:p>
    <w:p w:rsidR="00594D42" w:rsidP="00526FA0" w:rsidRDefault="00594D42" w14:paraId="408BA169" w14:textId="641B6709">
      <w:pPr>
        <w:spacing w:line="276" w:lineRule="auto"/>
        <w:rPr>
          <w:i/>
          <w:iCs/>
        </w:rPr>
      </w:pPr>
      <w:r w:rsidRPr="00724311">
        <w:rPr>
          <w:i/>
          <w:iCs/>
        </w:rPr>
        <w:t>§2.</w:t>
      </w:r>
      <w:r w:rsidR="00EA213C">
        <w:rPr>
          <w:i/>
          <w:iCs/>
        </w:rPr>
        <w:t>10</w:t>
      </w:r>
      <w:r>
        <w:rPr>
          <w:i/>
          <w:iCs/>
        </w:rPr>
        <w:t xml:space="preserve"> Gerechtsdeurwaarders</w:t>
      </w:r>
    </w:p>
    <w:p w:rsidRPr="00523FF3" w:rsidR="00523FF3" w:rsidP="00523FF3" w:rsidRDefault="00115A23" w14:paraId="72551288" w14:textId="63BFC2DA">
      <w:pPr>
        <w:spacing w:line="276" w:lineRule="auto"/>
        <w:rPr>
          <w:bCs/>
          <w:szCs w:val="18"/>
        </w:rPr>
      </w:pPr>
      <w:r w:rsidRPr="00115A23">
        <w:rPr>
          <w:bCs/>
          <w:szCs w:val="18"/>
        </w:rPr>
        <w:t xml:space="preserve">Een </w:t>
      </w:r>
      <w:r w:rsidRPr="002E5BD2">
        <w:rPr>
          <w:bCs/>
          <w:szCs w:val="18"/>
        </w:rPr>
        <w:t>gerechtsdeurwaarder is een bestuursorgaan in de zin van artikel 1:1</w:t>
      </w:r>
      <w:r w:rsidR="00963D29">
        <w:rPr>
          <w:bCs/>
          <w:szCs w:val="18"/>
        </w:rPr>
        <w:t xml:space="preserve">, eerste lid, onderdeel b </w:t>
      </w:r>
      <w:r w:rsidRPr="002E5BD2">
        <w:rPr>
          <w:bCs/>
          <w:szCs w:val="18"/>
        </w:rPr>
        <w:t>van de Algemene wet bestuursrecht (Awb) als deze ambtshandelingen verricht als bedoeld in artikel 2 van de Gerechtsdeurwaarderswet. E</w:t>
      </w:r>
      <w:r w:rsidR="00195AF5">
        <w:rPr>
          <w:bCs/>
          <w:szCs w:val="18"/>
        </w:rPr>
        <w:t>é</w:t>
      </w:r>
      <w:r w:rsidRPr="002E5BD2">
        <w:rPr>
          <w:bCs/>
          <w:szCs w:val="18"/>
        </w:rPr>
        <w:t>n van de wettelijke taken van de gerechtsdeurwaarder is de tenuitvoerlegging van rechterlijke vonnissen</w:t>
      </w:r>
      <w:r w:rsidR="00E678FA">
        <w:rPr>
          <w:bCs/>
          <w:szCs w:val="18"/>
        </w:rPr>
        <w:t>. Dit doet hij onder meer</w:t>
      </w:r>
      <w:r w:rsidRPr="002E5BD2">
        <w:rPr>
          <w:bCs/>
          <w:szCs w:val="18"/>
        </w:rPr>
        <w:t xml:space="preserve"> door beslag te leggen</w:t>
      </w:r>
      <w:r w:rsidR="00195AF5">
        <w:rPr>
          <w:bCs/>
          <w:szCs w:val="18"/>
        </w:rPr>
        <w:t xml:space="preserve"> </w:t>
      </w:r>
      <w:r w:rsidRPr="00195AF5" w:rsidR="00195AF5">
        <w:rPr>
          <w:bCs/>
          <w:szCs w:val="18"/>
        </w:rPr>
        <w:t>of de in beslag genomen zaak te verkopen</w:t>
      </w:r>
      <w:r w:rsidRPr="002E5BD2">
        <w:rPr>
          <w:bCs/>
          <w:szCs w:val="18"/>
        </w:rPr>
        <w:t>. Hiervoor moeten gerechtsdeurwaarders voor verhaal vatbaar vermogen kunnen traceren en veilig stellen als blijkt</w:t>
      </w:r>
      <w:r w:rsidRPr="00115A23">
        <w:rPr>
          <w:bCs/>
          <w:szCs w:val="18"/>
        </w:rPr>
        <w:t xml:space="preserve"> dat dit vermogen is verplaatst naar een gelieerde vennootschap of andere entiteit. </w:t>
      </w:r>
      <w:r w:rsidR="00B56ECA">
        <w:rPr>
          <w:bCs/>
          <w:szCs w:val="18"/>
        </w:rPr>
        <w:t>Bij</w:t>
      </w:r>
      <w:r w:rsidRPr="00523FF3" w:rsidR="00523FF3">
        <w:rPr>
          <w:bCs/>
          <w:szCs w:val="18"/>
        </w:rPr>
        <w:t xml:space="preserve"> een gerechtelijke procedure is het van belang dat deze gelieerde vennootschappen of andere entiteit geverifieerd kunnen worden bij aanvang van een procedure</w:t>
      </w:r>
      <w:r w:rsidR="000E551D">
        <w:rPr>
          <w:bCs/>
          <w:szCs w:val="18"/>
        </w:rPr>
        <w:t xml:space="preserve"> zodat d</w:t>
      </w:r>
      <w:r w:rsidRPr="00523FF3" w:rsidR="00523FF3">
        <w:rPr>
          <w:bCs/>
          <w:szCs w:val="18"/>
        </w:rPr>
        <w:t>eze entiteiten</w:t>
      </w:r>
      <w:r w:rsidR="000E551D">
        <w:rPr>
          <w:bCs/>
          <w:szCs w:val="18"/>
        </w:rPr>
        <w:t xml:space="preserve"> </w:t>
      </w:r>
      <w:r w:rsidRPr="00523FF3" w:rsidR="00523FF3">
        <w:rPr>
          <w:bCs/>
          <w:szCs w:val="18"/>
        </w:rPr>
        <w:t xml:space="preserve">meegenomen </w:t>
      </w:r>
      <w:r w:rsidR="000E551D">
        <w:rPr>
          <w:bCs/>
          <w:szCs w:val="18"/>
        </w:rPr>
        <w:t xml:space="preserve">kunnen </w:t>
      </w:r>
      <w:r w:rsidRPr="00523FF3" w:rsidR="00523FF3">
        <w:rPr>
          <w:bCs/>
          <w:szCs w:val="18"/>
        </w:rPr>
        <w:t>worden in de dagvaarding</w:t>
      </w:r>
      <w:r w:rsidR="000E551D">
        <w:rPr>
          <w:bCs/>
          <w:szCs w:val="18"/>
        </w:rPr>
        <w:t xml:space="preserve"> en b</w:t>
      </w:r>
      <w:r w:rsidRPr="00523FF3" w:rsidR="00523FF3">
        <w:rPr>
          <w:bCs/>
          <w:szCs w:val="18"/>
        </w:rPr>
        <w:t>ij gerechtelijke aanzeggingen, protesten of processen-verbaal van constatering zodat deze in een procedure ingebracht kunnen worden</w:t>
      </w:r>
      <w:r w:rsidR="00523FF3">
        <w:rPr>
          <w:bCs/>
          <w:szCs w:val="18"/>
        </w:rPr>
        <w:t xml:space="preserve">. </w:t>
      </w:r>
      <w:r w:rsidRPr="00115A23">
        <w:rPr>
          <w:bCs/>
          <w:szCs w:val="18"/>
        </w:rPr>
        <w:t xml:space="preserve">Dit is niet mogelijk zonder inzicht wie de uiteindelijke belanghebbende is van vennootschappen of andere juridische entiteiten. </w:t>
      </w:r>
      <w:r w:rsidRPr="00523FF3" w:rsidR="00523FF3">
        <w:rPr>
          <w:bCs/>
          <w:szCs w:val="18"/>
        </w:rPr>
        <w:t xml:space="preserve">Ditzelfde geldt bij </w:t>
      </w:r>
      <w:r w:rsidR="004A2329">
        <w:rPr>
          <w:bCs/>
          <w:szCs w:val="18"/>
        </w:rPr>
        <w:t xml:space="preserve">een </w:t>
      </w:r>
      <w:r w:rsidRPr="00523FF3" w:rsidR="00523FF3">
        <w:rPr>
          <w:bCs/>
          <w:szCs w:val="18"/>
        </w:rPr>
        <w:t>protest van n</w:t>
      </w:r>
      <w:r w:rsidR="00C77AAC">
        <w:rPr>
          <w:bCs/>
          <w:szCs w:val="18"/>
        </w:rPr>
        <w:t>on</w:t>
      </w:r>
      <w:r w:rsidR="000E551D">
        <w:rPr>
          <w:bCs/>
          <w:szCs w:val="18"/>
        </w:rPr>
        <w:t>-a</w:t>
      </w:r>
      <w:r w:rsidR="00C77AAC">
        <w:rPr>
          <w:bCs/>
          <w:szCs w:val="18"/>
        </w:rPr>
        <w:t>cceptatie</w:t>
      </w:r>
      <w:r w:rsidR="000E551D">
        <w:rPr>
          <w:bCs/>
          <w:szCs w:val="18"/>
        </w:rPr>
        <w:t xml:space="preserve"> </w:t>
      </w:r>
      <w:r w:rsidRPr="00523FF3" w:rsidR="00523FF3">
        <w:rPr>
          <w:bCs/>
          <w:szCs w:val="18"/>
        </w:rPr>
        <w:t>van orderbiljetten. Hoewel deze werkzaamheden in de praktijk steeds minder voorkomen worden deze handelingen nog wel verricht door een gerechtsdeurwaarder.</w:t>
      </w:r>
    </w:p>
    <w:p w:rsidR="00A91DF4" w:rsidRDefault="00A91DF4" w14:paraId="198F230F" w14:textId="77777777">
      <w:pPr>
        <w:spacing w:line="276" w:lineRule="auto"/>
        <w:rPr>
          <w:bCs/>
          <w:szCs w:val="18"/>
        </w:rPr>
      </w:pPr>
    </w:p>
    <w:p w:rsidR="00115A23" w:rsidRDefault="00A91DF4" w14:paraId="4EF0DE7D" w14:textId="4EA318A9">
      <w:pPr>
        <w:spacing w:line="276" w:lineRule="auto"/>
        <w:rPr>
          <w:bCs/>
          <w:szCs w:val="18"/>
        </w:rPr>
      </w:pPr>
      <w:r w:rsidRPr="00974952">
        <w:rPr>
          <w:bCs/>
          <w:szCs w:val="18"/>
        </w:rPr>
        <w:t xml:space="preserve">Deze verwerking voor een ander doel is </w:t>
      </w:r>
      <w:r>
        <w:rPr>
          <w:bCs/>
          <w:szCs w:val="18"/>
        </w:rPr>
        <w:t xml:space="preserve">gerechtvaardigd </w:t>
      </w:r>
      <w:r>
        <w:t xml:space="preserve">omdat deze geschiedt op grond van een wettelijke grondslag die in een democratische samenleving een noodzakelijk en evenredige maatregel vormt ter waarborging van de in artikel 23, eerste lid, AVG bedoelde doelstellingen. </w:t>
      </w:r>
      <w:r>
        <w:rPr>
          <w:bCs/>
          <w:szCs w:val="18"/>
        </w:rPr>
        <w:t>De verwerking dient een belang dat in het eerste lid, onderdeel j, van artikel 23 AVG wordt genoemd,</w:t>
      </w:r>
      <w:r w:rsidR="000E551D">
        <w:rPr>
          <w:bCs/>
          <w:szCs w:val="18"/>
        </w:rPr>
        <w:t xml:space="preserve"> namelijk</w:t>
      </w:r>
      <w:r>
        <w:rPr>
          <w:bCs/>
          <w:szCs w:val="18"/>
        </w:rPr>
        <w:t xml:space="preserve"> </w:t>
      </w:r>
      <w:r w:rsidR="00085791">
        <w:rPr>
          <w:bCs/>
          <w:szCs w:val="18"/>
        </w:rPr>
        <w:t>inning van civielrechtelijke vorderingen</w:t>
      </w:r>
      <w:r>
        <w:rPr>
          <w:bCs/>
          <w:szCs w:val="18"/>
        </w:rPr>
        <w:t xml:space="preserve">. </w:t>
      </w:r>
    </w:p>
    <w:p w:rsidR="0066446A" w:rsidRDefault="0066446A" w14:paraId="2F417B30" w14:textId="77777777">
      <w:pPr>
        <w:spacing w:line="276" w:lineRule="auto"/>
        <w:rPr>
          <w:bCs/>
          <w:szCs w:val="18"/>
        </w:rPr>
      </w:pPr>
    </w:p>
    <w:p w:rsidR="001944C4" w:rsidP="001944C4" w:rsidRDefault="001944C4" w14:paraId="6B4F07F1" w14:textId="77777777">
      <w:pPr>
        <w:spacing w:line="276" w:lineRule="auto"/>
        <w:rPr>
          <w:bCs/>
          <w:i/>
          <w:iCs/>
          <w:szCs w:val="18"/>
        </w:rPr>
      </w:pPr>
      <w:r>
        <w:rPr>
          <w:bCs/>
          <w:i/>
          <w:iCs/>
          <w:szCs w:val="18"/>
        </w:rPr>
        <w:t xml:space="preserve">§2.11 Notarissen </w:t>
      </w:r>
    </w:p>
    <w:p w:rsidR="001944C4" w:rsidP="001944C4" w:rsidRDefault="001944C4" w14:paraId="51F0A11C" w14:textId="2C1091A5">
      <w:pPr>
        <w:spacing w:line="276" w:lineRule="auto"/>
        <w:rPr>
          <w:bCs/>
          <w:szCs w:val="18"/>
        </w:rPr>
      </w:pPr>
      <w:r>
        <w:rPr>
          <w:bCs/>
          <w:szCs w:val="18"/>
        </w:rPr>
        <w:t xml:space="preserve">Een notaris is een bestuursorgaan in de zin van artikel 1:1, eerste lid, onderdeel b van </w:t>
      </w:r>
      <w:r w:rsidR="00CF6C88">
        <w:rPr>
          <w:bCs/>
          <w:szCs w:val="18"/>
        </w:rPr>
        <w:t>de Awb</w:t>
      </w:r>
      <w:r>
        <w:rPr>
          <w:bCs/>
          <w:szCs w:val="18"/>
        </w:rPr>
        <w:t xml:space="preserve">, wanneer deze ambtshandelingen verricht, zoals bedoeld in artikel 2, eerste lid, van de Wet op het notarisambt. Dit geldt primair voor het verlijden van authentieke akten door de notaris, maar ook voor andere taken die de notaris bij wet zijn opgelegd. </w:t>
      </w:r>
    </w:p>
    <w:p w:rsidR="001944C4" w:rsidP="001944C4" w:rsidRDefault="001944C4" w14:paraId="1761930E" w14:textId="77777777">
      <w:pPr>
        <w:spacing w:line="276" w:lineRule="auto"/>
        <w:rPr>
          <w:bCs/>
          <w:szCs w:val="18"/>
        </w:rPr>
      </w:pPr>
    </w:p>
    <w:p w:rsidR="001944C4" w:rsidP="001944C4" w:rsidRDefault="001944C4" w14:paraId="1553386F" w14:textId="77777777">
      <w:pPr>
        <w:spacing w:line="276" w:lineRule="auto"/>
        <w:rPr>
          <w:bCs/>
          <w:szCs w:val="18"/>
        </w:rPr>
      </w:pPr>
      <w:r>
        <w:rPr>
          <w:bCs/>
          <w:szCs w:val="18"/>
        </w:rPr>
        <w:t xml:space="preserve">Bij het verrichten van zijn werkzaamheden moet de notaris onderzoek doen naar de (achterliggende) partijen bij de akte, met de grootst mogelijke zorgvuldigheid. De verplichting daartoe is vastgelegd in artikel 17, eerste lid, van de Wet op het notarisambt. Is de partij bij de akte een rechtspersoon, dan is het daarbij van belang dat de notaris ook zicht heeft op de uiteindelijke belanghebbende(n) van de entiteit, teneinde vast te stellen dat er geen sprake is van witwassen bij een transactie. </w:t>
      </w:r>
    </w:p>
    <w:p w:rsidR="001944C4" w:rsidP="001944C4" w:rsidRDefault="001944C4" w14:paraId="34A8C494" w14:textId="77777777">
      <w:pPr>
        <w:spacing w:line="276" w:lineRule="auto"/>
        <w:rPr>
          <w:bCs/>
          <w:szCs w:val="18"/>
        </w:rPr>
      </w:pPr>
    </w:p>
    <w:p w:rsidR="001944C4" w:rsidP="001944C4" w:rsidRDefault="001944C4" w14:paraId="498A3BD4" w14:textId="3209B75C">
      <w:pPr>
        <w:spacing w:line="276" w:lineRule="auto"/>
        <w:rPr>
          <w:bCs/>
          <w:szCs w:val="18"/>
        </w:rPr>
      </w:pPr>
      <w:bookmarkStart w:name="_Hlk215487299" w:id="3"/>
      <w:r>
        <w:rPr>
          <w:bCs/>
          <w:szCs w:val="18"/>
        </w:rPr>
        <w:t xml:space="preserve">Voor de taken van de notaris die vallen onder de strekking van artikel 1a, vierde lid, onderdeel d, van de Wwft, bestaat reeds een wettelijke grondslag tot het raadplegen van </w:t>
      </w:r>
      <w:r w:rsidR="00CD2343">
        <w:rPr>
          <w:bCs/>
          <w:szCs w:val="18"/>
        </w:rPr>
        <w:t>de</w:t>
      </w:r>
      <w:r>
        <w:rPr>
          <w:bCs/>
          <w:szCs w:val="18"/>
        </w:rPr>
        <w:t xml:space="preserve"> UBO-register</w:t>
      </w:r>
      <w:r w:rsidR="00CD2343">
        <w:rPr>
          <w:bCs/>
          <w:szCs w:val="18"/>
        </w:rPr>
        <w:t>s</w:t>
      </w:r>
      <w:r>
        <w:rPr>
          <w:bCs/>
          <w:szCs w:val="18"/>
        </w:rPr>
        <w:t xml:space="preserve">. In de praktijk bestaan er echter typen transacties die niet onder de reikwijdte van het voornoemde artikel vallen, maar waarvoor wel een UBO-onderzoek noodzakelijk is, omdat er sprake kan zijn van een witwasrisico. </w:t>
      </w:r>
      <w:bookmarkEnd w:id="3"/>
      <w:r>
        <w:rPr>
          <w:bCs/>
          <w:szCs w:val="18"/>
        </w:rPr>
        <w:t>Een voorbeeld hiervan is het vestigen van een pandrecht op aandelen als zekerheid tot nakoming van een betalingsverplichting. Is de aandeelhouder een vennootschap, dan is het voor de notaris noodzakelijk om te weten wie daar de UBO achter is. Een vergelijkbaar scenario is ook het opstellen van een geldleningsovereenkomst, waar een vennootschap bij betrokken is.</w:t>
      </w:r>
    </w:p>
    <w:p w:rsidR="001944C4" w:rsidP="001944C4" w:rsidRDefault="001944C4" w14:paraId="57261A97" w14:textId="77777777">
      <w:pPr>
        <w:spacing w:line="276" w:lineRule="auto"/>
        <w:rPr>
          <w:bCs/>
          <w:szCs w:val="18"/>
        </w:rPr>
      </w:pPr>
    </w:p>
    <w:p w:rsidR="001944C4" w:rsidP="001944C4" w:rsidRDefault="001944C4" w14:paraId="6BD7063E" w14:textId="381EAFED">
      <w:pPr>
        <w:spacing w:line="276" w:lineRule="auto"/>
        <w:rPr>
          <w:bCs/>
          <w:szCs w:val="18"/>
        </w:rPr>
      </w:pPr>
      <w:r>
        <w:rPr>
          <w:bCs/>
          <w:szCs w:val="18"/>
        </w:rPr>
        <w:t xml:space="preserve">Het doel waarvoor de notarissen bij de uitoefening van bovenstaande taak </w:t>
      </w:r>
      <w:r w:rsidR="001E2799">
        <w:rPr>
          <w:bCs/>
          <w:szCs w:val="18"/>
        </w:rPr>
        <w:t>de</w:t>
      </w:r>
      <w:r>
        <w:rPr>
          <w:bCs/>
          <w:szCs w:val="18"/>
        </w:rPr>
        <w:t xml:space="preserve"> UBO</w:t>
      </w:r>
      <w:r w:rsidR="001E2799">
        <w:rPr>
          <w:bCs/>
          <w:szCs w:val="18"/>
        </w:rPr>
        <w:t>-r</w:t>
      </w:r>
      <w:r>
        <w:rPr>
          <w:bCs/>
          <w:szCs w:val="18"/>
        </w:rPr>
        <w:t>egister</w:t>
      </w:r>
      <w:r w:rsidR="001E2799">
        <w:rPr>
          <w:bCs/>
          <w:szCs w:val="18"/>
        </w:rPr>
        <w:t>s</w:t>
      </w:r>
      <w:r>
        <w:rPr>
          <w:bCs/>
          <w:szCs w:val="18"/>
        </w:rPr>
        <w:t xml:space="preserve"> raadpleegt houdt verband met de doelstelling van de richtlijn: het voorkomen of bestrijden van witwassen, daarmee verband houdende basisdelicten of financieren van terrorisme.</w:t>
      </w:r>
    </w:p>
    <w:p w:rsidR="001944C4" w:rsidP="001944C4" w:rsidRDefault="001944C4" w14:paraId="33176E3D" w14:textId="77777777">
      <w:pPr>
        <w:spacing w:line="276" w:lineRule="auto"/>
        <w:rPr>
          <w:bCs/>
          <w:szCs w:val="18"/>
        </w:rPr>
      </w:pPr>
    </w:p>
    <w:p w:rsidR="001944C4" w:rsidP="001944C4" w:rsidRDefault="001944C4" w14:paraId="24ECDB6D" w14:textId="77777777">
      <w:pPr>
        <w:spacing w:line="276" w:lineRule="auto"/>
        <w:rPr>
          <w:bCs/>
          <w:i/>
          <w:iCs/>
          <w:szCs w:val="18"/>
        </w:rPr>
      </w:pPr>
      <w:bookmarkStart w:name="_Hlk215495922" w:id="4"/>
      <w:r>
        <w:rPr>
          <w:i/>
          <w:iCs/>
        </w:rPr>
        <w:t xml:space="preserve">§2.12 </w:t>
      </w:r>
      <w:r>
        <w:rPr>
          <w:bCs/>
          <w:i/>
          <w:iCs/>
          <w:szCs w:val="18"/>
        </w:rPr>
        <w:t>Bureau Financieel Toezicht</w:t>
      </w:r>
    </w:p>
    <w:p w:rsidR="001944C4" w:rsidP="001944C4" w:rsidRDefault="001944C4" w14:paraId="2DAAA018" w14:textId="77777777">
      <w:pPr>
        <w:spacing w:line="276" w:lineRule="auto"/>
        <w:rPr>
          <w:szCs w:val="18"/>
        </w:rPr>
      </w:pPr>
      <w:r>
        <w:rPr>
          <w:bCs/>
          <w:szCs w:val="18"/>
        </w:rPr>
        <w:t xml:space="preserve">Het Bureau Financieel Toezicht is een zelfstandig bestuursorgaan dat integraal toezicht houdt op de naleving van de wet- en regelgeving door gerechtsdeurwaarders en notarissen op grond van artikel </w:t>
      </w:r>
      <w:r>
        <w:rPr>
          <w:szCs w:val="18"/>
        </w:rPr>
        <w:t>30 van de Gerechtsdeurwaarderswet en artikel 110, eerste lid, van de Wet op het notarisambt.</w:t>
      </w:r>
    </w:p>
    <w:p w:rsidR="001944C4" w:rsidP="001944C4" w:rsidRDefault="001944C4" w14:paraId="05CC74BD" w14:textId="77777777">
      <w:pPr>
        <w:spacing w:line="276" w:lineRule="auto"/>
        <w:rPr>
          <w:szCs w:val="18"/>
        </w:rPr>
      </w:pPr>
    </w:p>
    <w:p w:rsidR="001944C4" w:rsidP="001944C4" w:rsidRDefault="001944C4" w14:paraId="0FA73D19" w14:textId="4BDB317C">
      <w:pPr>
        <w:spacing w:line="276" w:lineRule="auto"/>
        <w:rPr>
          <w:bCs/>
          <w:szCs w:val="18"/>
        </w:rPr>
      </w:pPr>
      <w:r>
        <w:rPr>
          <w:bCs/>
          <w:szCs w:val="18"/>
        </w:rPr>
        <w:t xml:space="preserve">Gerechtsdeurwaarders krijgen in dit besluit toegang tot de UBO-registers voor wat betreft de uitvoering van hun taak op grond van artikel 2 van de Gerechtsdeurwaarderswet. Ook notarissen krijgen in dit besluit toegang tot de UBO-registers, voor wat betreft de uitoefening van hun taken op grond van artikel 2 van de Wet op het notarisambt die niet vallen onder de Wwft. Om uitvoering te kunnen geven aan zijn taak om toezicht te houden op de naleving van de wet- en regelgeving door gerechtsdeurwaarders en notarissen, wordt het Bureau Financieel Toezicht in dit besluit ook aangewezen als bestuursorgaan met een overheidstaak dat toegang heeft </w:t>
      </w:r>
      <w:r w:rsidR="001E2799">
        <w:rPr>
          <w:bCs/>
          <w:szCs w:val="18"/>
        </w:rPr>
        <w:t xml:space="preserve">tot </w:t>
      </w:r>
      <w:r>
        <w:rPr>
          <w:bCs/>
          <w:szCs w:val="18"/>
        </w:rPr>
        <w:t>de UBO-registers. Zo is het noodzakelijk om in het kader van toezicht te kunnen nagaan of gerechtsdeurwaarders en notarissen op juiste wijze gebruik hebben gemaakt van de in het UBO-register toegankelijke gegevens. Zo moet het Bureau Financieel Toezicht kunnen nagaan of een gerechtsdeurwaarder bij inbeslagname het vermogen van een uiteindelijk belanghebbende van een vennootschap heeft getraceerd. Bij het toezicht op notarissen moet het Bureau Financieel Toezicht kunnen nagaan of een notaris voldoende onderzoek heeft gedaan wanneer bij het vestigen van een pandrecht op aandelen van een vennootschap is gebleken dat aan de uiteindelijk begunstigde van die vennootschap een witwasrisico kleeft.</w:t>
      </w:r>
    </w:p>
    <w:p w:rsidR="001944C4" w:rsidP="001944C4" w:rsidRDefault="001944C4" w14:paraId="1DDF91AB" w14:textId="77777777">
      <w:pPr>
        <w:spacing w:line="276" w:lineRule="auto"/>
        <w:rPr>
          <w:bCs/>
          <w:szCs w:val="18"/>
        </w:rPr>
      </w:pPr>
    </w:p>
    <w:p w:rsidR="001944C4" w:rsidP="001944C4" w:rsidRDefault="001944C4" w14:paraId="24E41FB2" w14:textId="77777777">
      <w:pPr>
        <w:spacing w:line="276" w:lineRule="auto"/>
        <w:rPr>
          <w:bCs/>
          <w:szCs w:val="18"/>
        </w:rPr>
      </w:pPr>
      <w:r>
        <w:rPr>
          <w:bCs/>
          <w:szCs w:val="18"/>
        </w:rPr>
        <w:t>Volledigheidshalve wordt opgemerkt dat het Bureau Financieel Toezicht op grond van artikel 51a, onder a, van het Handelsregisterbesluit 2008 reeds toegang heeft tot de UBO-registers voor wat betreft de uitvoering van hun taak als toezichthouder op de naleving van de Wwft door (onder meer) notarissen.</w:t>
      </w:r>
    </w:p>
    <w:p w:rsidR="00C1600A" w:rsidP="001944C4" w:rsidRDefault="00C1600A" w14:paraId="371136AB" w14:textId="77777777">
      <w:pPr>
        <w:spacing w:line="276" w:lineRule="auto"/>
        <w:rPr>
          <w:bCs/>
          <w:szCs w:val="18"/>
        </w:rPr>
      </w:pPr>
    </w:p>
    <w:p w:rsidR="001944C4" w:rsidP="001944C4" w:rsidRDefault="00C1600A" w14:paraId="5EA0A995" w14:textId="0C4FEFAB">
      <w:pPr>
        <w:spacing w:line="276" w:lineRule="auto"/>
        <w:rPr>
          <w:bCs/>
          <w:szCs w:val="18"/>
        </w:rPr>
      </w:pPr>
      <w:r w:rsidRPr="00974952">
        <w:rPr>
          <w:bCs/>
          <w:szCs w:val="18"/>
        </w:rPr>
        <w:t xml:space="preserve">Deze verwerking voor een ander doel is </w:t>
      </w:r>
      <w:r>
        <w:rPr>
          <w:bCs/>
          <w:szCs w:val="18"/>
        </w:rPr>
        <w:t xml:space="preserve">gerechtvaardigd </w:t>
      </w:r>
      <w:r>
        <w:t xml:space="preserve">omdat deze geschiedt op grond van een wettelijke grondslag die in een democratische samenleving een noodzakelijk en evenredige maatregel vormt ter waarborging van de in artikel 23, eerste lid, AVG bedoelde doelstellingen. </w:t>
      </w:r>
      <w:r w:rsidR="001944C4">
        <w:rPr>
          <w:bCs/>
          <w:szCs w:val="18"/>
        </w:rPr>
        <w:t>Deze verwerking dient een belang zoals genoemd in het eerste lid, onderdeel h, van artikel 23 AVG, een taak op het gebied van toezicht die verband houdt met de uitoefening van het openbaar gezag in punt e, van artikel 23, eerste lid, AVG bedoelde gevallen.</w:t>
      </w:r>
    </w:p>
    <w:bookmarkEnd w:id="4"/>
    <w:p w:rsidR="003875EB" w:rsidP="00526FA0" w:rsidRDefault="003875EB" w14:paraId="6F80B032" w14:textId="77777777">
      <w:pPr>
        <w:spacing w:line="276" w:lineRule="auto"/>
        <w:rPr>
          <w:i/>
          <w:iCs/>
        </w:rPr>
      </w:pPr>
    </w:p>
    <w:p w:rsidR="00FE09C5" w:rsidP="00526FA0" w:rsidRDefault="00FE09C5" w14:paraId="163C001E" w14:textId="3C30F35C">
      <w:pPr>
        <w:spacing w:line="276" w:lineRule="auto"/>
        <w:rPr>
          <w:i/>
          <w:iCs/>
        </w:rPr>
      </w:pPr>
      <w:r w:rsidRPr="001E46F4">
        <w:rPr>
          <w:i/>
          <w:iCs/>
        </w:rPr>
        <w:t>§2.</w:t>
      </w:r>
      <w:r w:rsidR="00BB5DC1">
        <w:rPr>
          <w:i/>
          <w:iCs/>
        </w:rPr>
        <w:t>1</w:t>
      </w:r>
      <w:r w:rsidR="00996627">
        <w:rPr>
          <w:i/>
          <w:iCs/>
        </w:rPr>
        <w:t>3</w:t>
      </w:r>
      <w:r>
        <w:rPr>
          <w:i/>
          <w:iCs/>
        </w:rPr>
        <w:t xml:space="preserve"> </w:t>
      </w:r>
      <w:r w:rsidR="001E46F4">
        <w:rPr>
          <w:i/>
          <w:iCs/>
        </w:rPr>
        <w:t>Uitvoering van Europese fondsen</w:t>
      </w:r>
    </w:p>
    <w:p w:rsidRPr="003578F0" w:rsidR="003578F0" w:rsidP="003578F0" w:rsidRDefault="001E46F4" w14:paraId="2020CB6D" w14:textId="7AC8E5B5">
      <w:pPr>
        <w:pStyle w:val="Normaalweb"/>
        <w:spacing w:before="0" w:beforeAutospacing="0" w:after="0" w:afterAutospacing="0" w:line="269" w:lineRule="auto"/>
        <w:rPr>
          <w:rFonts w:ascii="Verdana" w:hAnsi="Verdana" w:cs="Calibri"/>
          <w:sz w:val="18"/>
          <w:szCs w:val="18"/>
        </w:rPr>
      </w:pPr>
      <w:r>
        <w:rPr>
          <w:rFonts w:ascii="Verdana" w:hAnsi="Verdana" w:cs="Calibri"/>
          <w:sz w:val="18"/>
          <w:szCs w:val="18"/>
        </w:rPr>
        <w:t xml:space="preserve">De </w:t>
      </w:r>
      <w:r w:rsidR="001E2799">
        <w:rPr>
          <w:rFonts w:ascii="Verdana" w:hAnsi="Verdana" w:cs="Calibri"/>
          <w:sz w:val="18"/>
          <w:szCs w:val="18"/>
        </w:rPr>
        <w:t>V</w:t>
      </w:r>
      <w:r>
        <w:rPr>
          <w:rFonts w:ascii="Verdana" w:hAnsi="Verdana" w:cs="Calibri"/>
          <w:sz w:val="18"/>
          <w:szCs w:val="18"/>
        </w:rPr>
        <w:t>erordening 2021/1060</w:t>
      </w:r>
      <w:r>
        <w:rPr>
          <w:rStyle w:val="Voetnootmarkering"/>
          <w:rFonts w:ascii="Verdana" w:hAnsi="Verdana" w:cs="Calibri"/>
          <w:sz w:val="18"/>
          <w:szCs w:val="18"/>
        </w:rPr>
        <w:footnoteReference w:id="17"/>
      </w:r>
      <w:r>
        <w:rPr>
          <w:rFonts w:ascii="Verdana" w:hAnsi="Verdana" w:cs="Calibri"/>
          <w:sz w:val="18"/>
          <w:szCs w:val="18"/>
        </w:rPr>
        <w:t xml:space="preserve"> voorziet in uitvoeringsregels die gelden voor het verstrekken van steun door lidstaten in het kader van een aantal EU-fondsen, waaronder het Europees fonds voor regionale ontwikkeling (EFRO) en het Europees Sociaal Fonds en het Europees Fonds voor maritieme zaken, visserij en aquacultuur. Op grond van deze verordening dienen de lidstaten per nationaal programma te voorzien in een beheerautoriteit. In de praktijk wordt deze rol vervuld door de betreffende minister of door de minister aangewezen autoriteiten, al naar gelang de toepasselijke wetgeving. De lidstaten zijn op grond van artikel 69, tweede lid, van de verordening verplicht om informatie van uiteindelijk belanghebbenden van de ontvangers van Uniefinanciering te verzamelen, met het oog op het opsporen en corrigeren van fraude. Ook moeten de beheerautoriteiten deze informatie registreren (artikel </w:t>
      </w:r>
      <w:r w:rsidR="001054EA">
        <w:rPr>
          <w:rFonts w:ascii="Verdana" w:hAnsi="Verdana" w:cs="Calibri"/>
          <w:sz w:val="18"/>
          <w:szCs w:val="18"/>
        </w:rPr>
        <w:t>72</w:t>
      </w:r>
      <w:r>
        <w:rPr>
          <w:rFonts w:ascii="Verdana" w:hAnsi="Verdana" w:cs="Calibri"/>
          <w:sz w:val="16"/>
          <w:szCs w:val="16"/>
        </w:rPr>
        <w:t> </w:t>
      </w:r>
      <w:r>
        <w:rPr>
          <w:rFonts w:ascii="Verdana" w:hAnsi="Verdana" w:cs="Calibri"/>
          <w:sz w:val="18"/>
          <w:szCs w:val="18"/>
        </w:rPr>
        <w:t>van de verordening en punten 3, 23 en 24 van de tabel in bijlage XVII bij de verordening). Hierbij staat vermeld dat lidstaten aan dit voorschrift kunnen voldoen door gebruik te maken van de gegevens die zijn opgeslagen in de UBO-registers als bedoeld in de anti-witwasrichtlijn. In overweging 74 bij de verordening wordt vermeld dat dit laatste is ingegeven door de wens tot vereenvoudiging en vermindering van administratieve lasten en wordt opgemerkt dat de doeleinden van de verwerking van persoonsgegevens van uiteindelijk begunstigden in het kader van deze verordening, namelijk het voorkomen, opsporen, corrigeren en rapporteren van onregelmatigheden, waaronder fraude, verenigbaar zijn met de doeleinden van de verwerking van persoonsgegevens in het kader van de</w:t>
      </w:r>
      <w:r w:rsidRPr="00526FA0" w:rsidR="001C590B">
        <w:rPr>
          <w:rFonts w:ascii="Verdana" w:hAnsi="Verdana" w:cs="Calibri"/>
          <w:sz w:val="18"/>
          <w:szCs w:val="18"/>
        </w:rPr>
        <w:t xml:space="preserve"> Richtlijn (EU) 2015/849.</w:t>
      </w:r>
      <w:r w:rsidR="00127CB4">
        <w:rPr>
          <w:rStyle w:val="Voetnootmarkering"/>
          <w:rFonts w:ascii="Verdana" w:hAnsi="Verdana" w:cs="Calibri"/>
          <w:sz w:val="18"/>
          <w:szCs w:val="18"/>
        </w:rPr>
        <w:footnoteReference w:id="18"/>
      </w:r>
      <w:r>
        <w:rPr>
          <w:rFonts w:ascii="Verdana" w:hAnsi="Verdana" w:cs="Calibri"/>
          <w:sz w:val="18"/>
          <w:szCs w:val="18"/>
        </w:rPr>
        <w:t xml:space="preserve"> Ter uitvoering van de </w:t>
      </w:r>
      <w:r w:rsidR="00EE580D">
        <w:rPr>
          <w:rFonts w:ascii="Verdana" w:hAnsi="Verdana" w:cs="Calibri"/>
          <w:sz w:val="18"/>
          <w:szCs w:val="18"/>
        </w:rPr>
        <w:t>V</w:t>
      </w:r>
      <w:r>
        <w:rPr>
          <w:rFonts w:ascii="Verdana" w:hAnsi="Verdana" w:cs="Calibri"/>
          <w:sz w:val="18"/>
          <w:szCs w:val="18"/>
        </w:rPr>
        <w:t xml:space="preserve">erordening 2021/1060 inzake gemeenschappelijke regels voor EU-fondsen is daarom in </w:t>
      </w:r>
      <w:r w:rsidR="00001585">
        <w:rPr>
          <w:rFonts w:ascii="Verdana" w:hAnsi="Verdana" w:cs="Calibri"/>
          <w:sz w:val="18"/>
          <w:szCs w:val="18"/>
        </w:rPr>
        <w:t xml:space="preserve">dit </w:t>
      </w:r>
      <w:r>
        <w:rPr>
          <w:rFonts w:ascii="Verdana" w:hAnsi="Verdana" w:cs="Calibri"/>
          <w:sz w:val="18"/>
          <w:szCs w:val="18"/>
        </w:rPr>
        <w:t>besluit bepaald dat de verantwoordelijke ministers en door hen aangewezen beheerautoriteiten toegang hebben tot de gegevens inzake uiteindelijk belanghebbenden in het handelsregister.</w:t>
      </w:r>
    </w:p>
    <w:p w:rsidR="005A7D52" w:rsidP="003578F0" w:rsidRDefault="005A7D52" w14:paraId="5F222898" w14:textId="77777777">
      <w:pPr>
        <w:spacing w:line="276" w:lineRule="auto"/>
        <w:rPr>
          <w:bCs/>
        </w:rPr>
      </w:pPr>
    </w:p>
    <w:p w:rsidRPr="00E510B2" w:rsidR="00420F6A" w:rsidP="00420F6A" w:rsidRDefault="00420F6A" w14:paraId="45E35C76" w14:textId="2C59493A">
      <w:pPr>
        <w:spacing w:line="276" w:lineRule="auto"/>
      </w:pPr>
      <w:r>
        <w:t>Zoals hierboven is vermeld, zijn de doeleinden van verwerking verenigbaar met de doeleinden van verwerking in het kader van de Richtlijn 2015/849.</w:t>
      </w:r>
      <w:r w:rsidR="001E2799">
        <w:t xml:space="preserve"> </w:t>
      </w:r>
      <w:r w:rsidRPr="00E510B2">
        <w:t xml:space="preserve">Het doel waarvoor </w:t>
      </w:r>
      <w:r>
        <w:t>bij bovenstaande</w:t>
      </w:r>
      <w:r w:rsidRPr="00E510B2">
        <w:t xml:space="preserve"> taak </w:t>
      </w:r>
      <w:r w:rsidR="00CD2343">
        <w:t>de</w:t>
      </w:r>
      <w:r w:rsidRPr="00E510B2" w:rsidR="00CD2343">
        <w:t xml:space="preserve"> </w:t>
      </w:r>
      <w:r w:rsidRPr="00E510B2">
        <w:t>UBO</w:t>
      </w:r>
      <w:r w:rsidR="00CD2343">
        <w:t>-</w:t>
      </w:r>
      <w:r w:rsidRPr="00E510B2">
        <w:t>register</w:t>
      </w:r>
      <w:r w:rsidR="00CD2343">
        <w:t>s</w:t>
      </w:r>
      <w:r w:rsidRPr="00E510B2">
        <w:t xml:space="preserve"> </w:t>
      </w:r>
      <w:r>
        <w:t>wordt geraadpleegd</w:t>
      </w:r>
      <w:r w:rsidRPr="00E510B2">
        <w:t xml:space="preserve"> houdt verband met de doelstelling van de richtlijn: het voorkomen of bestrijden van witwassen, daarmee verband houdende basisdelicten of financieren van terrorisme.</w:t>
      </w:r>
      <w:r>
        <w:t xml:space="preserve"> </w:t>
      </w:r>
    </w:p>
    <w:p w:rsidR="00357349" w:rsidP="003578F0" w:rsidRDefault="00357349" w14:paraId="0D4254D3" w14:textId="0E12AEE2">
      <w:pPr>
        <w:pStyle w:val="Normaalweb"/>
        <w:tabs>
          <w:tab w:val="left" w:pos="1635"/>
        </w:tabs>
        <w:spacing w:before="0" w:beforeAutospacing="0" w:after="0" w:afterAutospacing="0" w:line="269" w:lineRule="auto"/>
        <w:rPr>
          <w:rFonts w:ascii="Verdana" w:hAnsi="Verdana" w:cs="Calibri"/>
          <w:sz w:val="18"/>
          <w:szCs w:val="18"/>
        </w:rPr>
      </w:pPr>
    </w:p>
    <w:p w:rsidR="00357349" w:rsidP="00357349" w:rsidRDefault="00357349" w14:paraId="399EE6C5" w14:textId="53BB6626">
      <w:pPr>
        <w:spacing w:line="276" w:lineRule="auto"/>
        <w:rPr>
          <w:i/>
          <w:iCs/>
        </w:rPr>
      </w:pPr>
      <w:r w:rsidRPr="001E46F4">
        <w:rPr>
          <w:i/>
          <w:iCs/>
        </w:rPr>
        <w:t>§2.</w:t>
      </w:r>
      <w:r w:rsidR="00BB5DC1">
        <w:rPr>
          <w:i/>
          <w:iCs/>
        </w:rPr>
        <w:t>1</w:t>
      </w:r>
      <w:r w:rsidR="00996627">
        <w:rPr>
          <w:i/>
          <w:iCs/>
        </w:rPr>
        <w:t>4</w:t>
      </w:r>
      <w:r>
        <w:rPr>
          <w:i/>
          <w:iCs/>
        </w:rPr>
        <w:t xml:space="preserve"> </w:t>
      </w:r>
      <w:r w:rsidRPr="00357349">
        <w:rPr>
          <w:i/>
          <w:iCs/>
        </w:rPr>
        <w:t>Nationale en Internationale Wegvervoer Organisatie</w:t>
      </w:r>
    </w:p>
    <w:p w:rsidR="00357349" w:rsidP="00357349" w:rsidRDefault="00357349" w14:paraId="763D54A3" w14:textId="3C4C22C4">
      <w:pPr>
        <w:rPr>
          <w:szCs w:val="18"/>
        </w:rPr>
      </w:pPr>
      <w:r w:rsidRPr="00E13440">
        <w:rPr>
          <w:szCs w:val="18"/>
        </w:rPr>
        <w:t xml:space="preserve">De </w:t>
      </w:r>
      <w:r>
        <w:rPr>
          <w:szCs w:val="18"/>
        </w:rPr>
        <w:t>Nationale en Internationale Wegvervoer Organisatie (</w:t>
      </w:r>
      <w:r w:rsidRPr="00E13440">
        <w:rPr>
          <w:szCs w:val="18"/>
        </w:rPr>
        <w:t>NIWO</w:t>
      </w:r>
      <w:r>
        <w:rPr>
          <w:szCs w:val="18"/>
        </w:rPr>
        <w:t xml:space="preserve">) </w:t>
      </w:r>
      <w:r w:rsidRPr="00E13440">
        <w:rPr>
          <w:szCs w:val="18"/>
        </w:rPr>
        <w:t xml:space="preserve">is een </w:t>
      </w:r>
      <w:r>
        <w:rPr>
          <w:szCs w:val="18"/>
        </w:rPr>
        <w:t xml:space="preserve">zelfstandig bestuursorgaan waarop </w:t>
      </w:r>
      <w:r w:rsidRPr="005F4D2F">
        <w:rPr>
          <w:szCs w:val="18"/>
        </w:rPr>
        <w:t>de Kaderwet zelfstandige</w:t>
      </w:r>
      <w:r>
        <w:rPr>
          <w:szCs w:val="18"/>
        </w:rPr>
        <w:t xml:space="preserve"> bestuursorganen van toepassing is en valt</w:t>
      </w:r>
      <w:r w:rsidRPr="006E55E8">
        <w:rPr>
          <w:szCs w:val="18"/>
        </w:rPr>
        <w:t xml:space="preserve"> onder de politieke verantwoordelijkheid van de Minister van Infrastructuur en</w:t>
      </w:r>
      <w:r>
        <w:rPr>
          <w:szCs w:val="18"/>
        </w:rPr>
        <w:t xml:space="preserve"> Waterstaat.</w:t>
      </w:r>
      <w:r w:rsidRPr="00E13440">
        <w:rPr>
          <w:szCs w:val="18"/>
        </w:rPr>
        <w:t xml:space="preserve"> </w:t>
      </w:r>
      <w:r>
        <w:rPr>
          <w:szCs w:val="18"/>
        </w:rPr>
        <w:t>De taken van de NIWO zijn vastgelegd in artikel 4.1 van de Wet wegvervoer goederen. Een van deze taken heeft betrekking op de communautaire vergunning, de vergunning voor de uitoefening van het beroep van ondernemer van goederenvervoer over de weg. Deze vergunning is ingesteld op basis van Verordening (EG) 1071/2009</w:t>
      </w:r>
      <w:r w:rsidR="00EE580D">
        <w:rPr>
          <w:rStyle w:val="Voetnootmarkering"/>
          <w:szCs w:val="18"/>
        </w:rPr>
        <w:footnoteReference w:id="19"/>
      </w:r>
      <w:r>
        <w:rPr>
          <w:szCs w:val="18"/>
        </w:rPr>
        <w:t xml:space="preserve"> en Verordening (EG) 1072/2009.</w:t>
      </w:r>
      <w:r w:rsidR="00EE580D">
        <w:rPr>
          <w:rStyle w:val="Voetnootmarkering"/>
          <w:szCs w:val="18"/>
        </w:rPr>
        <w:footnoteReference w:id="20"/>
      </w:r>
      <w:r>
        <w:rPr>
          <w:szCs w:val="18"/>
        </w:rPr>
        <w:t xml:space="preserve"> </w:t>
      </w:r>
    </w:p>
    <w:p w:rsidR="00357349" w:rsidP="00357349" w:rsidRDefault="00357349" w14:paraId="353F17AE" w14:textId="77777777">
      <w:pPr>
        <w:rPr>
          <w:szCs w:val="18"/>
        </w:rPr>
      </w:pPr>
    </w:p>
    <w:p w:rsidRPr="001D2C60" w:rsidR="001D2C60" w:rsidP="001D2C60" w:rsidRDefault="001D2C60" w14:paraId="24F0EE17" w14:textId="574AAE53">
      <w:pPr>
        <w:spacing w:line="276" w:lineRule="auto"/>
        <w:rPr>
          <w:szCs w:val="18"/>
        </w:rPr>
      </w:pPr>
      <w:r w:rsidRPr="001D2C60">
        <w:rPr>
          <w:szCs w:val="18"/>
        </w:rPr>
        <w:t>Elke lidstaat van de Europese Unie moet een instantie aanwijzen die verantwoordelijk is voor de afgifte, verlenging en intrekking van communautaire vergunningen aan de in die lidstaat gevestigde vervoerder. In Nederland is de NIWO hiervoor de bevoegde instantie. De NIWO onderzoekt bij het behandelen van de vergunningsaanvraag of de vervoerder voldoet aan eisen van betrouwbaarheid, financiële draagkracht, werkelijke en duurzame vestiging en vakbekwaamheid.</w:t>
      </w:r>
    </w:p>
    <w:p w:rsidRPr="001D2C60" w:rsidR="001D2C60" w:rsidP="001D2C60" w:rsidRDefault="001D2C60" w14:paraId="49EAAAD1" w14:textId="77777777">
      <w:pPr>
        <w:spacing w:line="276" w:lineRule="auto"/>
        <w:rPr>
          <w:szCs w:val="18"/>
        </w:rPr>
      </w:pPr>
    </w:p>
    <w:p w:rsidRPr="001D2C60" w:rsidR="001D2C60" w:rsidP="001D2C60" w:rsidRDefault="001D2C60" w14:paraId="2802E23F" w14:textId="57A780EF">
      <w:pPr>
        <w:spacing w:line="276" w:lineRule="auto"/>
        <w:rPr>
          <w:szCs w:val="18"/>
        </w:rPr>
      </w:pPr>
      <w:r w:rsidRPr="001D2C60">
        <w:rPr>
          <w:szCs w:val="18"/>
        </w:rPr>
        <w:t>In de door de Europese Unie vanaf 2022 opgelegde sancties aan Rusland en Belarus zijn onder meer sancties opgelegd ten aanzien van het beroepsvervoer van goederen over de weg. Het is voor in Rusland en Belarus gevestigde wegvervoerondernemingen verboden op het grondgebied van de Europese Unie goederen over de weg te vervoeren. Daar is op 24 juni 2024 met het 14</w:t>
      </w:r>
      <w:r w:rsidRPr="001D2C60">
        <w:rPr>
          <w:szCs w:val="18"/>
          <w:vertAlign w:val="superscript"/>
        </w:rPr>
        <w:t>e</w:t>
      </w:r>
      <w:r w:rsidRPr="001D2C60">
        <w:rPr>
          <w:szCs w:val="18"/>
        </w:rPr>
        <w:t xml:space="preserve"> sanctiepakket een sanctiemaatregel aan toegevoegd door de Europese Raad. Het is daarmee verboden voor in de Europese Unie gevestigde rechtspersonen, entiteiten of lichamen die voor ten minste 25 procent in handen zijn van Russische en Belarussische natuurlijke personen of rechtspersonen, entiteiten of lichamen om een wegvervoeronderneming te worden die goederen over de weg vervoert op het grondgebied van de Unie, met inbegrip van doorvoer. Datzelfde geldt voor vanaf 26 juli 2024 en na 8 april 2022 in de Europese Unie gevestigde wegvervoerondernemingen. Dit is voor Rusland vastgelegd in Verordening</w:t>
      </w:r>
      <w:r w:rsidR="001E2799">
        <w:rPr>
          <w:szCs w:val="18"/>
        </w:rPr>
        <w:t xml:space="preserve"> </w:t>
      </w:r>
      <w:r w:rsidRPr="001D2C60">
        <w:rPr>
          <w:szCs w:val="18"/>
        </w:rPr>
        <w:t>833/2014 met Verordening (EU) 2024/1745</w:t>
      </w:r>
      <w:r w:rsidR="00F2655A">
        <w:rPr>
          <w:rStyle w:val="Voetnootmarkering"/>
          <w:szCs w:val="18"/>
        </w:rPr>
        <w:footnoteReference w:id="21"/>
      </w:r>
      <w:r w:rsidRPr="001D2C60">
        <w:rPr>
          <w:szCs w:val="18"/>
        </w:rPr>
        <w:t xml:space="preserve"> en voor Belarus in Verordening 765/2006 met Verordening (EU) 2024/1865.</w:t>
      </w:r>
      <w:r w:rsidR="00F2655A">
        <w:rPr>
          <w:rStyle w:val="Voetnootmarkering"/>
          <w:szCs w:val="18"/>
        </w:rPr>
        <w:footnoteReference w:id="22"/>
      </w:r>
    </w:p>
    <w:p w:rsidRPr="001D2C60" w:rsidR="001D2C60" w:rsidP="001D2C60" w:rsidRDefault="001D2C60" w14:paraId="11AE5751" w14:textId="77777777">
      <w:pPr>
        <w:spacing w:line="276" w:lineRule="auto"/>
        <w:rPr>
          <w:szCs w:val="18"/>
        </w:rPr>
      </w:pPr>
    </w:p>
    <w:p w:rsidRPr="001D2C60" w:rsidR="001D2C60" w:rsidP="001D2C60" w:rsidRDefault="001D2C60" w14:paraId="68587C64" w14:textId="6F1D5D64">
      <w:pPr>
        <w:spacing w:line="276" w:lineRule="auto"/>
        <w:rPr>
          <w:szCs w:val="18"/>
        </w:rPr>
      </w:pPr>
      <w:r w:rsidRPr="001D2C60">
        <w:rPr>
          <w:szCs w:val="18"/>
        </w:rPr>
        <w:t xml:space="preserve">In artikel 2, zesde lid, van de Sanctieregeling territoriale integriteit Oekraïne 2014 is de NIWO aangewezen als bevoegde autoriteit als bedoeld in artikel 3 terdecies, lid 1 quinquies, van de Verordening  833/2014. Voor Belarus is dit geregeld in artikel 1a, zesde lid, van de Sanctieregeling Belarus 2006 en artikel 1 septvicies quarter, lid 1 quinquies, van de Verordening 765/2006. In desbetreffende artikelen van deze verordeningen is vastgelegd dat in de Europese Unie gevestigde wegvervoerondernemingen de nationale bevoegde autoriteit van de lidstaat waar zij gevestigd zijn informatie verstrekken over hun eigendomsstructuur wanneer die daarom verzoekt. </w:t>
      </w:r>
    </w:p>
    <w:p w:rsidRPr="001D2C60" w:rsidR="002439BB" w:rsidP="002439BB" w:rsidRDefault="002439BB" w14:paraId="726BFC41" w14:textId="77777777">
      <w:pPr>
        <w:spacing w:line="276" w:lineRule="auto"/>
        <w:rPr>
          <w:szCs w:val="18"/>
        </w:rPr>
      </w:pPr>
    </w:p>
    <w:p w:rsidR="002439BB" w:rsidP="002439BB" w:rsidRDefault="002439BB" w14:paraId="33B94F10" w14:textId="5494C574">
      <w:pPr>
        <w:spacing w:line="276" w:lineRule="auto"/>
        <w:rPr>
          <w:szCs w:val="18"/>
        </w:rPr>
      </w:pPr>
      <w:r w:rsidRPr="002439BB">
        <w:rPr>
          <w:szCs w:val="18"/>
        </w:rPr>
        <w:t xml:space="preserve">De toegang voor de NIWO tot </w:t>
      </w:r>
      <w:r w:rsidR="0023348F">
        <w:rPr>
          <w:szCs w:val="18"/>
        </w:rPr>
        <w:t>de</w:t>
      </w:r>
      <w:r w:rsidRPr="002439BB">
        <w:rPr>
          <w:szCs w:val="18"/>
        </w:rPr>
        <w:t xml:space="preserve"> UBO-register</w:t>
      </w:r>
      <w:r w:rsidR="0023348F">
        <w:rPr>
          <w:szCs w:val="18"/>
        </w:rPr>
        <w:t>s</w:t>
      </w:r>
      <w:r w:rsidRPr="002439BB">
        <w:rPr>
          <w:szCs w:val="18"/>
        </w:rPr>
        <w:t xml:space="preserve"> dient om bij de beoordeling van de vergunningsaanvraag dan wel toetsing van de vergunning de eigenaarsstructuur vast te kunnen stellen en daarmee uitvoering te geven aan de hierboven beschreven Europese verplichtingen. In het kader van omzeiling van sancties is het van belang om de UBO</w:t>
      </w:r>
      <w:r w:rsidR="007F0CFA">
        <w:rPr>
          <w:szCs w:val="18"/>
        </w:rPr>
        <w:t>’</w:t>
      </w:r>
      <w:r w:rsidRPr="002439BB">
        <w:rPr>
          <w:szCs w:val="18"/>
        </w:rPr>
        <w:t>s van rechtspersonen of juridische entiteiten te achterhalen.</w:t>
      </w:r>
      <w:r w:rsidRPr="001D2C60">
        <w:rPr>
          <w:szCs w:val="18"/>
        </w:rPr>
        <w:t xml:space="preserve"> </w:t>
      </w:r>
    </w:p>
    <w:p w:rsidR="005A7D52" w:rsidP="001D2C60" w:rsidRDefault="005A7D52" w14:paraId="50433AFB" w14:textId="77777777">
      <w:pPr>
        <w:spacing w:line="276" w:lineRule="auto"/>
        <w:rPr>
          <w:szCs w:val="18"/>
        </w:rPr>
      </w:pPr>
    </w:p>
    <w:p w:rsidR="001D2C60" w:rsidP="001D2C60" w:rsidRDefault="005A7D52" w14:paraId="5C386EF0" w14:textId="2EB06282">
      <w:pPr>
        <w:spacing w:line="276" w:lineRule="auto"/>
        <w:rPr>
          <w:szCs w:val="18"/>
        </w:rPr>
      </w:pPr>
      <w:r w:rsidRPr="00974952">
        <w:rPr>
          <w:bCs/>
          <w:szCs w:val="18"/>
        </w:rPr>
        <w:t xml:space="preserve">Deze verwerking voor een ander doel is </w:t>
      </w:r>
      <w:r>
        <w:rPr>
          <w:bCs/>
          <w:szCs w:val="18"/>
        </w:rPr>
        <w:t xml:space="preserve">gerechtvaardigd </w:t>
      </w:r>
      <w:r>
        <w:t>omdat deze geschiedt op grond van een wettelijke grondslag die in een democratische samenleving een noodzakelijk en evenredige maatregel vormt ter waarborging van de in artikel 23, eerste lid, AVG bedoelde doelstellingen. De verwerking dient een belang dat in het eerste lid, onderdeel e, van artikel 23 AVG wordt genoemd.</w:t>
      </w:r>
      <w:r w:rsidRPr="001D2C60" w:rsidR="001D2C60">
        <w:rPr>
          <w:szCs w:val="18"/>
        </w:rPr>
        <w:t xml:space="preserve"> Het gaat namelijk om andere belangrijke doelstellingen van algemeen belang van de Unie of van een lidstaat, met name het waarborgen van de </w:t>
      </w:r>
      <w:r w:rsidR="00F5439F">
        <w:rPr>
          <w:szCs w:val="18"/>
        </w:rPr>
        <w:t>internationale</w:t>
      </w:r>
      <w:r w:rsidRPr="001D2C60" w:rsidR="00F5439F">
        <w:rPr>
          <w:szCs w:val="18"/>
        </w:rPr>
        <w:t xml:space="preserve"> </w:t>
      </w:r>
      <w:r w:rsidRPr="001D2C60" w:rsidR="001D2C60">
        <w:rPr>
          <w:szCs w:val="18"/>
        </w:rPr>
        <w:t xml:space="preserve">veiligheid, omdat de NIWO op deze manier de eigenaarsgegevens van de vervoerder kan nagaan en daarmee de sanctieregelingen gepast kan uitvoeren. </w:t>
      </w:r>
      <w:r w:rsidRPr="00F5439F" w:rsidR="00F5439F">
        <w:rPr>
          <w:szCs w:val="18"/>
        </w:rPr>
        <w:t xml:space="preserve">Met deze verwerkingen wordt immers uitvoering gegeven aan de Europese verplichtingen die voortvloeien uit de </w:t>
      </w:r>
      <w:r w:rsidR="00C12E85">
        <w:rPr>
          <w:szCs w:val="18"/>
        </w:rPr>
        <w:t>hierboven</w:t>
      </w:r>
      <w:r w:rsidRPr="00F5439F" w:rsidR="00F5439F">
        <w:rPr>
          <w:szCs w:val="18"/>
        </w:rPr>
        <w:t xml:space="preserve"> genoemde verordeningen</w:t>
      </w:r>
      <w:r w:rsidR="00F5439F">
        <w:rPr>
          <w:szCs w:val="18"/>
        </w:rPr>
        <w:t>.</w:t>
      </w:r>
    </w:p>
    <w:p w:rsidR="00057BAE" w:rsidP="001D2C60" w:rsidRDefault="00057BAE" w14:paraId="7E4B830C" w14:textId="77777777">
      <w:pPr>
        <w:spacing w:line="276" w:lineRule="auto"/>
        <w:rPr>
          <w:szCs w:val="18"/>
        </w:rPr>
      </w:pPr>
    </w:p>
    <w:p w:rsidR="00057BAE" w:rsidP="001D2C60" w:rsidRDefault="00057BAE" w14:paraId="1188E27D" w14:textId="070850B4">
      <w:pPr>
        <w:spacing w:line="276" w:lineRule="auto"/>
        <w:rPr>
          <w:i/>
          <w:iCs/>
          <w:szCs w:val="18"/>
        </w:rPr>
      </w:pPr>
      <w:r w:rsidRPr="001E46F4">
        <w:rPr>
          <w:i/>
          <w:iCs/>
        </w:rPr>
        <w:t>§2.</w:t>
      </w:r>
      <w:r>
        <w:rPr>
          <w:i/>
          <w:iCs/>
        </w:rPr>
        <w:t>1</w:t>
      </w:r>
      <w:r w:rsidR="00996627">
        <w:rPr>
          <w:i/>
          <w:iCs/>
        </w:rPr>
        <w:t>5</w:t>
      </w:r>
      <w:r>
        <w:rPr>
          <w:i/>
          <w:iCs/>
        </w:rPr>
        <w:t xml:space="preserve"> </w:t>
      </w:r>
      <w:r w:rsidRPr="00DC4DB3" w:rsidR="009601B7">
        <w:rPr>
          <w:i/>
          <w:iCs/>
          <w:szCs w:val="18"/>
        </w:rPr>
        <w:t>Wet financiering politieke partijen</w:t>
      </w:r>
    </w:p>
    <w:p w:rsidRPr="004C6FB5" w:rsidR="004C6FB5" w:rsidP="004C6FB5" w:rsidRDefault="004C6FB5" w14:paraId="2BF53D1F" w14:textId="3FBFDAD6">
      <w:pPr>
        <w:spacing w:line="276" w:lineRule="auto"/>
      </w:pPr>
      <w:r w:rsidRPr="004C6FB5">
        <w:t>De Minister van Binnenlandse Zaken en Koninkrijksrelaties (BZK) is belast met het toezicht op de naleving van de Wet financiering politieke partijen (Wfpp) op grond van artikel 37 Wfpp.</w:t>
      </w:r>
    </w:p>
    <w:p w:rsidRPr="004C6FB5" w:rsidR="004C6FB5" w:rsidP="004C6FB5" w:rsidRDefault="004C6FB5" w14:paraId="7A368BA0" w14:textId="77777777">
      <w:pPr>
        <w:spacing w:line="276" w:lineRule="auto"/>
      </w:pPr>
    </w:p>
    <w:p w:rsidRPr="00DC4DB3" w:rsidR="004C6FB5" w:rsidP="004C6FB5" w:rsidRDefault="004C6FB5" w14:paraId="19977043" w14:textId="77777777">
      <w:pPr>
        <w:spacing w:line="276" w:lineRule="auto"/>
      </w:pPr>
      <w:r w:rsidRPr="004C6FB5">
        <w:t>Politieke partijen vervullen een cruciale rol binnen onze democratische rechtsstaat. De registratie van de uiteindelijk belanghebbenden is van belang omdat het inzichtelijk maakt wie de natuurlijke personen achter rechtspersonen en andere juridische entiteiten zijn die aan een politieke partij hebben gedoneerd. Door daar transparant over te zijn, wordt het risico op oneigenlijke beïnvloeding verkleind. Daarmee wordt de integriteit van politieke partijen en het vertrouwen in het politieke proces gewaarborgd.</w:t>
      </w:r>
    </w:p>
    <w:p w:rsidRPr="004C6FB5" w:rsidR="004C6FB5" w:rsidP="004C6FB5" w:rsidRDefault="004C6FB5" w14:paraId="61BA8CFC" w14:textId="77777777">
      <w:pPr>
        <w:spacing w:line="276" w:lineRule="auto"/>
      </w:pPr>
    </w:p>
    <w:p w:rsidRPr="004C6FB5" w:rsidR="004C6FB5" w:rsidP="004C6FB5" w:rsidRDefault="004C6FB5" w14:paraId="4CBF86CC" w14:textId="77777777">
      <w:pPr>
        <w:spacing w:line="276" w:lineRule="auto"/>
      </w:pPr>
      <w:r w:rsidRPr="004C6FB5">
        <w:t xml:space="preserve">Op grond van artikel 21, eerste lid, onder a, van de Wfpp zijn politieke partijen verplicht persoonsgegevens van donateurs te registreren, waaronder, indien van toepassing, ook gegevens van de uiteindelijk belanghebbenden. Deze gegevens dienen te worden weergegeven in het overzicht van giften dat elke politieke partij op grond van artikel 25, eerste lid, onderdeel b, van de Wfpp jaarlijks aan de Minister van BZK dient te verstrekken. Betreft het een substantiële gift, dan moet deze informatie ook al eerder met de toezichthouder worden gedeeld (artikel 25a Wfpp). Dit is ook het geval bij een Tweede Kamerverkiezing (artikelen 28 en 28a Wfpp). De toezichthouder controleert of de registratie voldoet aan de wettelijke voorschriften en maakt deze vervolgens openbaar. </w:t>
      </w:r>
    </w:p>
    <w:p w:rsidRPr="004C6FB5" w:rsidR="004C6FB5" w:rsidP="004C6FB5" w:rsidRDefault="004C6FB5" w14:paraId="6AA3257C" w14:textId="77777777">
      <w:pPr>
        <w:spacing w:line="276" w:lineRule="auto"/>
      </w:pPr>
    </w:p>
    <w:p w:rsidRPr="004C6FB5" w:rsidR="004C6FB5" w:rsidP="004C6FB5" w:rsidRDefault="004C6FB5" w14:paraId="0FE1FD09" w14:textId="7B721FBD">
      <w:pPr>
        <w:spacing w:line="276" w:lineRule="auto"/>
      </w:pPr>
      <w:r w:rsidRPr="004C6FB5">
        <w:t xml:space="preserve">Om te kunnen controleren of politieke partijen aan hierboven genoemde verplichtingen uit artikelen 21, 25, 25a, 28 en 28a Wfpp hebben voldaan, is het noodzakelijk dat de Minister van BZK, in diens hoedanigheid als toezichthouder, toegang heeft tot </w:t>
      </w:r>
      <w:r w:rsidR="0023348F">
        <w:t>de</w:t>
      </w:r>
      <w:r w:rsidRPr="004C6FB5">
        <w:t xml:space="preserve"> UBO-register</w:t>
      </w:r>
      <w:r w:rsidR="0023348F">
        <w:t>s</w:t>
      </w:r>
      <w:r w:rsidRPr="004C6FB5">
        <w:t xml:space="preserve">. Toegang tot </w:t>
      </w:r>
      <w:r w:rsidR="0023348F">
        <w:t>de</w:t>
      </w:r>
      <w:r w:rsidRPr="004C6FB5">
        <w:t xml:space="preserve"> UBO-register</w:t>
      </w:r>
      <w:r w:rsidR="0023348F">
        <w:t>s</w:t>
      </w:r>
      <w:r w:rsidRPr="004C6FB5">
        <w:t xml:space="preserve"> is dus ook alleen gerechtvaardigd voor deze vijf genoemde verplichtingen.</w:t>
      </w:r>
    </w:p>
    <w:p w:rsidRPr="004C6FB5" w:rsidR="004C6FB5" w:rsidP="004C6FB5" w:rsidRDefault="004C6FB5" w14:paraId="6BB506D4" w14:textId="77777777">
      <w:pPr>
        <w:spacing w:line="276" w:lineRule="auto"/>
      </w:pPr>
    </w:p>
    <w:p w:rsidRPr="004C6FB5" w:rsidR="004C6FB5" w:rsidP="004C6FB5" w:rsidRDefault="004C6FB5" w14:paraId="1AD3D493" w14:textId="6A332D18">
      <w:pPr>
        <w:spacing w:line="276" w:lineRule="auto"/>
        <w:rPr>
          <w:bCs/>
          <w:szCs w:val="18"/>
        </w:rPr>
      </w:pPr>
      <w:r w:rsidRPr="004C6FB5">
        <w:t>Deze verwerking voor een ander doel is gerechtvaardigd omdat deze geschiedt op grond</w:t>
      </w:r>
      <w:r w:rsidRPr="004C6FB5">
        <w:rPr>
          <w:szCs w:val="18"/>
        </w:rPr>
        <w:t xml:space="preserve"> van een wettelijke grondslag die in een democratische samenleving een noodzakelijk en evenredige maatregel vormt ter waarborging van de in artikel 23, eerste lid, AVG bedoelde doelstellingen. </w:t>
      </w:r>
      <w:r w:rsidRPr="004C6FB5">
        <w:rPr>
          <w:bCs/>
          <w:szCs w:val="18"/>
        </w:rPr>
        <w:t xml:space="preserve">Deze verwerking dient een belang zoals in het eerste lid, onderdeel h, van artikel 23 AVG wordt genoemd, </w:t>
      </w:r>
      <w:r w:rsidR="0085482E">
        <w:rPr>
          <w:bCs/>
          <w:szCs w:val="18"/>
        </w:rPr>
        <w:t xml:space="preserve">namelijk </w:t>
      </w:r>
      <w:r w:rsidRPr="004C6FB5">
        <w:rPr>
          <w:bCs/>
          <w:szCs w:val="18"/>
        </w:rPr>
        <w:t xml:space="preserve">een taak op het gebied van toezicht die verband houdt met de uitoefening van het openbaar gezag in punt e, van </w:t>
      </w:r>
      <w:r w:rsidR="0085482E">
        <w:rPr>
          <w:bCs/>
          <w:szCs w:val="18"/>
        </w:rPr>
        <w:t xml:space="preserve">de in </w:t>
      </w:r>
      <w:r w:rsidRPr="004C6FB5">
        <w:rPr>
          <w:bCs/>
          <w:szCs w:val="18"/>
        </w:rPr>
        <w:t xml:space="preserve">artikel 23, eerste lid, AVG bedoelde gevallen. </w:t>
      </w:r>
      <w:r w:rsidRPr="004C6FB5">
        <w:rPr>
          <w:szCs w:val="18"/>
        </w:rPr>
        <w:t>Het gaat namelijk om andere belangrijke doelstellingen van algemeen belang van de Unie of van een lidstaat, namelijk het voorkomen van oneigenlijke beïnvloeding van politieke partijen door donateurs.</w:t>
      </w:r>
    </w:p>
    <w:p w:rsidRPr="001D2C60" w:rsidR="001D2C60" w:rsidP="001D2C60" w:rsidRDefault="001D2C60" w14:paraId="7C04C97F" w14:textId="77777777">
      <w:pPr>
        <w:spacing w:line="276" w:lineRule="auto"/>
        <w:rPr>
          <w:szCs w:val="18"/>
        </w:rPr>
      </w:pPr>
    </w:p>
    <w:p w:rsidR="00D202DA" w:rsidP="00526FA0" w:rsidRDefault="00D202DA" w14:paraId="621240FF" w14:textId="244E5AFC">
      <w:pPr>
        <w:spacing w:line="276" w:lineRule="auto"/>
        <w:rPr>
          <w:i/>
          <w:iCs/>
        </w:rPr>
      </w:pPr>
      <w:r w:rsidRPr="001E46F4">
        <w:rPr>
          <w:i/>
          <w:iCs/>
        </w:rPr>
        <w:t>§2.</w:t>
      </w:r>
      <w:r w:rsidR="00BB5DC1">
        <w:rPr>
          <w:i/>
          <w:iCs/>
        </w:rPr>
        <w:t>1</w:t>
      </w:r>
      <w:r w:rsidR="00057BAE">
        <w:rPr>
          <w:i/>
          <w:iCs/>
        </w:rPr>
        <w:t>4</w:t>
      </w:r>
      <w:r>
        <w:rPr>
          <w:i/>
          <w:iCs/>
        </w:rPr>
        <w:t xml:space="preserve"> De Douane</w:t>
      </w:r>
    </w:p>
    <w:p w:rsidRPr="002E5BD2" w:rsidR="00D202DA" w:rsidP="00526FA0" w:rsidRDefault="006A6BF6" w14:paraId="7282D406" w14:textId="24CC5BB5">
      <w:pPr>
        <w:pStyle w:val="Normaalweb"/>
        <w:spacing w:before="0" w:beforeAutospacing="0" w:after="0" w:afterAutospacing="0" w:line="276" w:lineRule="auto"/>
        <w:rPr>
          <w:rFonts w:cs="Calibri"/>
          <w:szCs w:val="18"/>
        </w:rPr>
      </w:pPr>
      <w:r w:rsidRPr="00526FA0">
        <w:rPr>
          <w:rFonts w:ascii="Verdana" w:hAnsi="Verdana" w:cs="Calibri"/>
          <w:sz w:val="18"/>
          <w:szCs w:val="18"/>
        </w:rPr>
        <w:t xml:space="preserve">In artikel </w:t>
      </w:r>
      <w:r w:rsidRPr="002E5BD2">
        <w:rPr>
          <w:rFonts w:ascii="Verdana" w:hAnsi="Verdana" w:cs="Calibri"/>
          <w:sz w:val="18"/>
          <w:szCs w:val="18"/>
        </w:rPr>
        <w:t xml:space="preserve">28, tweede lid, </w:t>
      </w:r>
      <w:r w:rsidR="002D7EE7">
        <w:rPr>
          <w:rFonts w:ascii="Verdana" w:hAnsi="Verdana" w:cs="Calibri"/>
          <w:sz w:val="18"/>
          <w:szCs w:val="18"/>
        </w:rPr>
        <w:t>onderdeel</w:t>
      </w:r>
      <w:r w:rsidRPr="002E5BD2" w:rsidR="002D7EE7">
        <w:rPr>
          <w:rFonts w:ascii="Verdana" w:hAnsi="Verdana" w:cs="Calibri"/>
          <w:sz w:val="18"/>
          <w:szCs w:val="18"/>
        </w:rPr>
        <w:t xml:space="preserve"> </w:t>
      </w:r>
      <w:r w:rsidRPr="002E5BD2">
        <w:rPr>
          <w:rFonts w:ascii="Verdana" w:hAnsi="Verdana" w:cs="Calibri"/>
          <w:sz w:val="18"/>
          <w:szCs w:val="18"/>
        </w:rPr>
        <w:t xml:space="preserve">a, van de Handelsregisterwet 2007 en artikel 7, lid 2, </w:t>
      </w:r>
      <w:r w:rsidR="002D7EE7">
        <w:rPr>
          <w:rFonts w:ascii="Verdana" w:hAnsi="Verdana" w:cs="Calibri"/>
          <w:sz w:val="18"/>
          <w:szCs w:val="18"/>
        </w:rPr>
        <w:t>onderdeel</w:t>
      </w:r>
      <w:r w:rsidRPr="002E5BD2" w:rsidR="002D7EE7">
        <w:rPr>
          <w:rFonts w:ascii="Verdana" w:hAnsi="Verdana" w:cs="Calibri"/>
          <w:sz w:val="18"/>
          <w:szCs w:val="18"/>
        </w:rPr>
        <w:t xml:space="preserve"> </w:t>
      </w:r>
      <w:r w:rsidRPr="002E5BD2">
        <w:rPr>
          <w:rFonts w:ascii="Verdana" w:hAnsi="Verdana" w:cs="Calibri"/>
          <w:sz w:val="18"/>
          <w:szCs w:val="18"/>
        </w:rPr>
        <w:t xml:space="preserve">a, van de Implementatiewet registratie uiteindelijk belanghebbenden van trusts en soortgelijke juridische constructies is </w:t>
      </w:r>
      <w:r w:rsidRPr="002E5BD2" w:rsidR="00BF637A">
        <w:rPr>
          <w:rFonts w:ascii="Verdana" w:hAnsi="Verdana" w:cs="Calibri"/>
          <w:sz w:val="18"/>
          <w:szCs w:val="18"/>
        </w:rPr>
        <w:t>opgenomen</w:t>
      </w:r>
      <w:r w:rsidRPr="002E5BD2">
        <w:rPr>
          <w:rFonts w:ascii="Verdana" w:hAnsi="Verdana" w:cs="Calibri"/>
          <w:sz w:val="18"/>
          <w:szCs w:val="18"/>
        </w:rPr>
        <w:t xml:space="preserve"> dat de </w:t>
      </w:r>
      <w:r w:rsidR="00BE2C89">
        <w:rPr>
          <w:rFonts w:ascii="Verdana" w:hAnsi="Verdana" w:cs="Calibri"/>
          <w:sz w:val="18"/>
          <w:szCs w:val="18"/>
        </w:rPr>
        <w:t>UBO</w:t>
      </w:r>
      <w:r w:rsidRPr="002E5BD2">
        <w:rPr>
          <w:rFonts w:ascii="Verdana" w:hAnsi="Verdana" w:cs="Calibri"/>
          <w:sz w:val="18"/>
          <w:szCs w:val="18"/>
        </w:rPr>
        <w:t xml:space="preserve">-registers toegankelijk zijn voor de </w:t>
      </w:r>
      <w:r w:rsidR="005A634C">
        <w:rPr>
          <w:rFonts w:ascii="Verdana" w:hAnsi="Verdana" w:cs="Calibri"/>
          <w:sz w:val="18"/>
          <w:szCs w:val="18"/>
        </w:rPr>
        <w:t>FIU</w:t>
      </w:r>
      <w:r w:rsidRPr="002E5BD2">
        <w:rPr>
          <w:rFonts w:ascii="Verdana" w:hAnsi="Verdana" w:cs="Calibri"/>
          <w:sz w:val="18"/>
          <w:szCs w:val="18"/>
        </w:rPr>
        <w:t xml:space="preserve"> en de bevoegde autoriteiten. </w:t>
      </w:r>
    </w:p>
    <w:p w:rsidRPr="002E5BD2" w:rsidR="00C527C3" w:rsidP="00B52560" w:rsidRDefault="00BF637A" w14:paraId="22A41FC9" w14:textId="352E1132">
      <w:pPr>
        <w:pStyle w:val="Normaalweb"/>
        <w:spacing w:line="276" w:lineRule="auto"/>
        <w:rPr>
          <w:rFonts w:ascii="Verdana" w:hAnsi="Verdana" w:cs="Calibri"/>
          <w:sz w:val="18"/>
          <w:szCs w:val="18"/>
        </w:rPr>
      </w:pPr>
      <w:r w:rsidRPr="002E5BD2">
        <w:rPr>
          <w:rFonts w:ascii="Verdana" w:hAnsi="Verdana" w:cs="Calibri"/>
          <w:sz w:val="18"/>
          <w:szCs w:val="18"/>
        </w:rPr>
        <w:t xml:space="preserve">Het zesde lid van artikel 30 van de </w:t>
      </w:r>
      <w:r w:rsidRPr="000339B5" w:rsidR="000339B5">
        <w:rPr>
          <w:rFonts w:ascii="Verdana" w:hAnsi="Verdana" w:cs="Calibri"/>
          <w:sz w:val="18"/>
          <w:szCs w:val="18"/>
        </w:rPr>
        <w:t>gewijzigde Europese anti-witwasrichtlijn</w:t>
      </w:r>
      <w:r w:rsidRPr="000339B5" w:rsidDel="000339B5" w:rsidR="000339B5">
        <w:rPr>
          <w:rFonts w:ascii="Verdana" w:hAnsi="Verdana" w:cs="Calibri"/>
          <w:sz w:val="18"/>
          <w:szCs w:val="18"/>
        </w:rPr>
        <w:t xml:space="preserve"> </w:t>
      </w:r>
      <w:r w:rsidRPr="00526FA0">
        <w:rPr>
          <w:rFonts w:ascii="Verdana" w:hAnsi="Verdana" w:cs="Calibri"/>
          <w:sz w:val="18"/>
          <w:szCs w:val="18"/>
        </w:rPr>
        <w:t xml:space="preserve">schrijft </w:t>
      </w:r>
      <w:r w:rsidR="00AF67B4">
        <w:rPr>
          <w:rFonts w:ascii="Verdana" w:hAnsi="Verdana" w:cs="Calibri"/>
          <w:sz w:val="18"/>
          <w:szCs w:val="18"/>
        </w:rPr>
        <w:t>bovenstaande</w:t>
      </w:r>
      <w:r w:rsidRPr="00526FA0">
        <w:rPr>
          <w:rFonts w:ascii="Verdana" w:hAnsi="Verdana" w:cs="Calibri"/>
          <w:sz w:val="18"/>
          <w:szCs w:val="18"/>
        </w:rPr>
        <w:t xml:space="preserve"> voor. Over wat onder bevoegde autoriteiten verstaan moet worden, zegt </w:t>
      </w:r>
      <w:r w:rsidR="00A03B29">
        <w:rPr>
          <w:rFonts w:ascii="Verdana" w:hAnsi="Verdana" w:cs="Calibri"/>
          <w:sz w:val="18"/>
          <w:szCs w:val="18"/>
        </w:rPr>
        <w:t>dit</w:t>
      </w:r>
      <w:r w:rsidRPr="00526FA0">
        <w:rPr>
          <w:rFonts w:ascii="Verdana" w:hAnsi="Verdana" w:cs="Calibri"/>
          <w:sz w:val="18"/>
          <w:szCs w:val="18"/>
        </w:rPr>
        <w:t xml:space="preserve"> lid het volgende</w:t>
      </w:r>
      <w:r w:rsidRPr="00526FA0" w:rsidR="00B52560">
        <w:rPr>
          <w:rFonts w:ascii="Verdana" w:hAnsi="Verdana" w:cs="Calibri"/>
          <w:sz w:val="18"/>
          <w:szCs w:val="18"/>
        </w:rPr>
        <w:t>: “</w:t>
      </w:r>
      <w:r w:rsidRPr="00526FA0">
        <w:rPr>
          <w:rFonts w:ascii="Verdana" w:hAnsi="Verdana" w:cs="Calibri"/>
          <w:sz w:val="18"/>
          <w:szCs w:val="18"/>
        </w:rPr>
        <w:t xml:space="preserve">De bevoegde autoriteiten die toegang krijgen tot het in </w:t>
      </w:r>
      <w:r w:rsidR="00C12E85">
        <w:rPr>
          <w:rFonts w:ascii="Verdana" w:hAnsi="Verdana" w:cs="Calibri"/>
          <w:sz w:val="18"/>
          <w:szCs w:val="18"/>
        </w:rPr>
        <w:t>het derde lid</w:t>
      </w:r>
      <w:r w:rsidRPr="00526FA0">
        <w:rPr>
          <w:rFonts w:ascii="Verdana" w:hAnsi="Verdana" w:cs="Calibri"/>
          <w:sz w:val="18"/>
          <w:szCs w:val="18"/>
        </w:rPr>
        <w:t xml:space="preserve"> bedoelde centraal register zijn de publieke autoriteiten waaraan taken zijn toegewezen op het gebied van de bestrijding van witwassen en terrorismefinanciering, alsook belastingautoriteiten, toezichthouders van meldingsplichtige entiteiten en autoriteiten die de opdracht hebben het witwassen van geld, daarmee verband houdende basisdelicten en terrorismefinanciering te onderzoeken of te vervolgen en criminele </w:t>
      </w:r>
      <w:r w:rsidRPr="002E5BD2">
        <w:rPr>
          <w:rFonts w:ascii="Verdana" w:hAnsi="Verdana" w:cs="Calibri"/>
          <w:sz w:val="18"/>
          <w:szCs w:val="18"/>
        </w:rPr>
        <w:t>activa op te sporen en in beslag te nemen of te bevriezen en te confisqueren.</w:t>
      </w:r>
      <w:r w:rsidRPr="002E5BD2" w:rsidR="00B52560">
        <w:rPr>
          <w:rFonts w:ascii="Verdana" w:hAnsi="Verdana" w:cs="Calibri"/>
          <w:sz w:val="18"/>
          <w:szCs w:val="18"/>
        </w:rPr>
        <w:t>”</w:t>
      </w:r>
    </w:p>
    <w:p w:rsidRPr="004C29AC" w:rsidR="006021B1" w:rsidP="004C29AC" w:rsidRDefault="004C29AC" w14:paraId="55476DA0" w14:textId="777E3A06">
      <w:pPr>
        <w:pStyle w:val="Normaalweb"/>
        <w:spacing w:before="0" w:beforeAutospacing="0" w:after="0" w:afterAutospacing="0" w:line="276" w:lineRule="auto"/>
        <w:rPr>
          <w:rFonts w:cs="Calibri"/>
          <w:szCs w:val="18"/>
        </w:rPr>
      </w:pPr>
      <w:r w:rsidRPr="002E5BD2">
        <w:rPr>
          <w:rFonts w:ascii="Verdana" w:hAnsi="Verdana" w:cs="Calibri"/>
          <w:sz w:val="18"/>
          <w:szCs w:val="18"/>
        </w:rPr>
        <w:t>De bevoegde autoriteiten worden bij algemene maatregel van bestuur vastgesteld.</w:t>
      </w:r>
      <w:r>
        <w:rPr>
          <w:rFonts w:ascii="Verdana" w:hAnsi="Verdana" w:cs="Calibri"/>
          <w:sz w:val="18"/>
          <w:szCs w:val="18"/>
        </w:rPr>
        <w:t xml:space="preserve">      </w:t>
      </w:r>
      <w:r w:rsidRPr="002E5BD2" w:rsidR="0033369A">
        <w:rPr>
          <w:rFonts w:ascii="Verdana" w:hAnsi="Verdana" w:cs="Calibri"/>
          <w:sz w:val="18"/>
          <w:szCs w:val="18"/>
        </w:rPr>
        <w:t>In artikel 51a van het Handelsre</w:t>
      </w:r>
      <w:r w:rsidRPr="002E5BD2" w:rsidR="006146CD">
        <w:rPr>
          <w:rFonts w:ascii="Verdana" w:hAnsi="Verdana" w:cs="Calibri"/>
          <w:sz w:val="18"/>
          <w:szCs w:val="18"/>
        </w:rPr>
        <w:t>gisterbesluit</w:t>
      </w:r>
      <w:r w:rsidRPr="002E5BD2" w:rsidR="0033369A">
        <w:rPr>
          <w:rFonts w:ascii="Verdana" w:hAnsi="Verdana" w:cs="Calibri"/>
          <w:sz w:val="18"/>
          <w:szCs w:val="18"/>
        </w:rPr>
        <w:t xml:space="preserve"> 2008 en in artikel 6 van het Implementatiebesluit registratie uiteindelijk belanghebbenden van trusts en soortgelijke juridische constructies</w:t>
      </w:r>
      <w:r w:rsidRPr="002E5BD2" w:rsidR="006146CD">
        <w:rPr>
          <w:rFonts w:ascii="Verdana" w:hAnsi="Verdana" w:cs="Calibri"/>
          <w:sz w:val="18"/>
          <w:szCs w:val="18"/>
        </w:rPr>
        <w:t xml:space="preserve"> </w:t>
      </w:r>
      <w:r w:rsidRPr="002E5BD2" w:rsidR="006021B1">
        <w:rPr>
          <w:rFonts w:ascii="Verdana" w:hAnsi="Verdana" w:cs="Calibri"/>
          <w:sz w:val="18"/>
          <w:szCs w:val="18"/>
        </w:rPr>
        <w:t xml:space="preserve">zijn de bevoegde autoriteiten opgenomen. In </w:t>
      </w:r>
      <w:r w:rsidRPr="002E5BD2" w:rsidR="00AC4294">
        <w:rPr>
          <w:rFonts w:ascii="Verdana" w:hAnsi="Verdana" w:cs="Calibri"/>
          <w:sz w:val="18"/>
          <w:szCs w:val="18"/>
        </w:rPr>
        <w:t>onderdeel</w:t>
      </w:r>
      <w:r w:rsidRPr="002E5BD2" w:rsidR="009A4693">
        <w:rPr>
          <w:rFonts w:ascii="Verdana" w:hAnsi="Verdana" w:cs="Calibri"/>
          <w:sz w:val="18"/>
          <w:szCs w:val="18"/>
        </w:rPr>
        <w:t xml:space="preserve"> e</w:t>
      </w:r>
      <w:r w:rsidRPr="002E5BD2" w:rsidR="006021B1">
        <w:rPr>
          <w:rFonts w:ascii="Verdana" w:hAnsi="Verdana" w:cs="Calibri"/>
          <w:sz w:val="18"/>
          <w:szCs w:val="18"/>
        </w:rPr>
        <w:t xml:space="preserve"> van beide artikel</w:t>
      </w:r>
      <w:r w:rsidRPr="002E5BD2" w:rsidR="009A4693">
        <w:rPr>
          <w:rFonts w:ascii="Verdana" w:hAnsi="Verdana" w:cs="Calibri"/>
          <w:sz w:val="18"/>
          <w:szCs w:val="18"/>
        </w:rPr>
        <w:t>en</w:t>
      </w:r>
      <w:r w:rsidRPr="002E5BD2" w:rsidR="006021B1">
        <w:rPr>
          <w:rFonts w:ascii="Verdana" w:hAnsi="Verdana" w:cs="Calibri"/>
          <w:sz w:val="18"/>
          <w:szCs w:val="18"/>
        </w:rPr>
        <w:t xml:space="preserve"> staan de overige instanties die de opdracht hebben het witwassen van geld, daarmee verband houdende</w:t>
      </w:r>
      <w:r w:rsidRPr="00FE47DC" w:rsidR="006021B1">
        <w:rPr>
          <w:rFonts w:ascii="Verdana" w:hAnsi="Verdana" w:cs="Calibri"/>
          <w:sz w:val="18"/>
          <w:szCs w:val="18"/>
        </w:rPr>
        <w:t xml:space="preserve"> basisdelicten en terrorismefinanciering te onderzoeken of te vervolgen en criminele activa op te sporen en in beslag te nemen of te bevriezen en te confisqueren. </w:t>
      </w:r>
      <w:r w:rsidR="00042112">
        <w:rPr>
          <w:rFonts w:ascii="Verdana" w:hAnsi="Verdana" w:cs="Calibri"/>
          <w:sz w:val="18"/>
          <w:szCs w:val="18"/>
        </w:rPr>
        <w:t>Hierin zijn</w:t>
      </w:r>
      <w:r w:rsidR="00430926">
        <w:rPr>
          <w:rFonts w:ascii="Verdana" w:hAnsi="Verdana" w:cs="Calibri"/>
          <w:sz w:val="18"/>
          <w:szCs w:val="18"/>
        </w:rPr>
        <w:t xml:space="preserve"> </w:t>
      </w:r>
      <w:r w:rsidRPr="00FE47DC" w:rsidR="006021B1">
        <w:rPr>
          <w:rFonts w:ascii="Verdana" w:hAnsi="Verdana" w:cs="Calibri"/>
          <w:sz w:val="18"/>
          <w:szCs w:val="18"/>
        </w:rPr>
        <w:t>de Dienst Justis, het Bureau Bibob, de Militaire inlichtingen- en veiligheidsdienst, de Koninklijke Marechaussee en de Rijksrecherche</w:t>
      </w:r>
      <w:r w:rsidR="00DF458E">
        <w:rPr>
          <w:rFonts w:ascii="Verdana" w:hAnsi="Verdana" w:cs="Calibri"/>
          <w:sz w:val="18"/>
          <w:szCs w:val="18"/>
        </w:rPr>
        <w:t xml:space="preserve"> </w:t>
      </w:r>
      <w:r w:rsidR="00430926">
        <w:rPr>
          <w:rFonts w:ascii="Verdana" w:hAnsi="Verdana" w:cs="Calibri"/>
          <w:sz w:val="18"/>
          <w:szCs w:val="18"/>
        </w:rPr>
        <w:t xml:space="preserve">al eerder </w:t>
      </w:r>
      <w:r w:rsidR="00DF458E">
        <w:rPr>
          <w:rFonts w:ascii="Verdana" w:hAnsi="Verdana" w:cs="Calibri"/>
          <w:sz w:val="18"/>
          <w:szCs w:val="18"/>
        </w:rPr>
        <w:t>in opgenomen</w:t>
      </w:r>
      <w:r w:rsidR="00E678FA">
        <w:rPr>
          <w:rFonts w:ascii="Verdana" w:hAnsi="Verdana" w:cs="Calibri"/>
          <w:sz w:val="18"/>
          <w:szCs w:val="18"/>
        </w:rPr>
        <w:t>, in het kader van hun wettelijke taken.</w:t>
      </w:r>
    </w:p>
    <w:p w:rsidRPr="00AF67B4" w:rsidR="00AF67B4" w:rsidP="00AF67B4" w:rsidRDefault="00AF67B4" w14:paraId="1E138799" w14:textId="77777777">
      <w:pPr>
        <w:spacing w:line="276" w:lineRule="auto"/>
        <w:rPr>
          <w:rFonts w:cs="Calibri"/>
          <w:szCs w:val="18"/>
        </w:rPr>
      </w:pPr>
    </w:p>
    <w:p w:rsidR="00AF67B4" w:rsidP="00AF67B4" w:rsidRDefault="004B4E20" w14:paraId="2DB3EF3E" w14:textId="76DCA1FE">
      <w:pPr>
        <w:spacing w:line="276" w:lineRule="auto"/>
        <w:rPr>
          <w:rFonts w:cs="Calibri"/>
          <w:szCs w:val="18"/>
        </w:rPr>
      </w:pPr>
      <w:r w:rsidRPr="004B4E20">
        <w:rPr>
          <w:rFonts w:cs="Calibri"/>
          <w:szCs w:val="18"/>
        </w:rPr>
        <w:t>De inspecteur van de Douane is aangewezen voor de uitvoering van taken die vallen onder de reikwijdte van de Algemene douanewet. De Douane heeft taken die onder meer verband houden met het onderzoeken en vervolgen van het witwassen en terrorismefinanciering en daarmee verband houdende basisdelicten, alsmede met het toezicht op de in- en uitvoer van cultuurgoederen, precursoren, goederen die onder de sanctiemaatregelen vallen en strategische goederen. In het kader van deze taken is het passend voor de Douane om als bevoegde autoriteit te worden aangewezen.</w:t>
      </w:r>
    </w:p>
    <w:p w:rsidR="004B4E20" w:rsidP="00AF67B4" w:rsidRDefault="004B4E20" w14:paraId="4C233DC1" w14:textId="77777777">
      <w:pPr>
        <w:spacing w:line="276" w:lineRule="auto"/>
        <w:rPr>
          <w:rFonts w:cs="Calibri"/>
          <w:szCs w:val="18"/>
        </w:rPr>
      </w:pPr>
    </w:p>
    <w:p w:rsidRPr="00C922BB" w:rsidR="00724D89" w:rsidP="00724D89" w:rsidRDefault="00D744DB" w14:paraId="44ABBA1A" w14:textId="4084FA8E">
      <w:pPr>
        <w:spacing w:line="276" w:lineRule="auto"/>
      </w:pPr>
      <w:r>
        <w:rPr>
          <w:rFonts w:eastAsia="Calibri"/>
          <w:i/>
          <w:iCs/>
          <w:color w:val="211D1F"/>
          <w:szCs w:val="18"/>
          <w:lang w:eastAsia="en-US"/>
        </w:rPr>
        <w:t xml:space="preserve">§3. </w:t>
      </w:r>
      <w:r w:rsidRPr="00316B9F" w:rsidR="00724D89">
        <w:rPr>
          <w:i/>
          <w:iCs/>
        </w:rPr>
        <w:t xml:space="preserve">Verhouding tot hoger recht (waaronder de Algemene Verordening Gegevensbescherming) </w:t>
      </w:r>
    </w:p>
    <w:p w:rsidR="00724D89" w:rsidP="00526FA0" w:rsidRDefault="00724D89" w14:paraId="47048642" w14:textId="77777777">
      <w:pPr>
        <w:spacing w:line="276" w:lineRule="auto"/>
        <w:rPr>
          <w:szCs w:val="18"/>
        </w:rPr>
      </w:pPr>
    </w:p>
    <w:p w:rsidR="00724D89" w:rsidP="00724D89" w:rsidRDefault="00724D89" w14:paraId="641194C8" w14:textId="7A4AEA67">
      <w:pPr>
        <w:spacing w:line="276" w:lineRule="auto"/>
      </w:pPr>
      <w:r w:rsidRPr="00181FAC">
        <w:t xml:space="preserve">Dit besluit brengt geen wijzigingen aan in de gegevens die geregistreerd moeten worden in de UBO-registers. Het regelt wel welke </w:t>
      </w:r>
      <w:r w:rsidRPr="00CB7AB0">
        <w:rPr>
          <w:szCs w:val="18"/>
        </w:rPr>
        <w:t>bestuursorgan</w:t>
      </w:r>
      <w:r>
        <w:rPr>
          <w:szCs w:val="18"/>
        </w:rPr>
        <w:t>en en rechtspersonen met een overheidstaak toegang krijgen tot de UBO-registers.</w:t>
      </w:r>
    </w:p>
    <w:p w:rsidR="00724D89" w:rsidP="00724D89" w:rsidRDefault="00724D89" w14:paraId="3F9E737D" w14:textId="77777777">
      <w:pPr>
        <w:spacing w:line="276" w:lineRule="auto"/>
      </w:pPr>
    </w:p>
    <w:p w:rsidRPr="00181FAC" w:rsidR="00724D89" w:rsidP="00724D89" w:rsidRDefault="00724D89" w14:paraId="38912B71" w14:textId="16E2AE5F">
      <w:pPr>
        <w:spacing w:line="276" w:lineRule="auto"/>
      </w:pPr>
      <w:r w:rsidRPr="00181FAC">
        <w:t>De bescherming van natuurlijke personen bij de verwerking van persoonsgegevens is een grondrecht. Dit volgt onder meer uit artikel 8 van het Handvest</w:t>
      </w:r>
      <w:r w:rsidR="0085482E">
        <w:t xml:space="preserve"> van de grondrechten van de Europese Unie (hierna: het Handvest)</w:t>
      </w:r>
      <w:r w:rsidRPr="00181FAC">
        <w:t xml:space="preserve"> en artikel 16 van het Verdrag betreffende de werking van de Europese Unie</w:t>
      </w:r>
      <w:r w:rsidR="0085482E">
        <w:t xml:space="preserve"> (VWEU)</w:t>
      </w:r>
      <w:r w:rsidRPr="00181FAC">
        <w:t xml:space="preserve">. Daarnaast worden persoonsgegevens beschermd als onderdeel van de persoonlijke levenssfeer in de zin van artikel 10 van de Grondwet en als onderdeel van het privéleven in de zin van artikel 8 van het Europees Verdrag tot bescherming van de rechten van de mens en de fundamentele vrijheden (EVRM) en artikel 17 van het Internationaal verdrag inzake burgerlijke en politieke rechten (IVBPR). De Europese wetgever heeft dit recht nader ingevuld en genormeerd in </w:t>
      </w:r>
      <w:r w:rsidR="009E3992">
        <w:t xml:space="preserve">de </w:t>
      </w:r>
      <w:r w:rsidRPr="00181FAC">
        <w:t>AVG. Ook nationale implementatie daarvan in de Uitvoeringswet Algemene verordening gegevensbescherming normeert de wijze waarop persoonsgegevens verwerkt mogen worden. De AVG heeft als verordening directe werking in onze Nederlandse rechtsorde en is zodoende direct van toepassing op de verwerking van persoonsgegevens</w:t>
      </w:r>
      <w:r w:rsidR="0085482E">
        <w:t xml:space="preserve">. De AVG </w:t>
      </w:r>
      <w:r w:rsidRPr="00181FAC">
        <w:t>vormt daarbij het algemene kader voor de verwerking van persoonsgegevens.</w:t>
      </w:r>
    </w:p>
    <w:p w:rsidR="00D11132" w:rsidP="00DB5D7C" w:rsidRDefault="00D11132" w14:paraId="131F8243" w14:textId="5213A2C8">
      <w:pPr>
        <w:spacing w:line="276" w:lineRule="auto"/>
        <w:rPr>
          <w:szCs w:val="18"/>
        </w:rPr>
      </w:pPr>
    </w:p>
    <w:p w:rsidR="00B5471D" w:rsidP="00B5471D" w:rsidRDefault="00D12E02" w14:paraId="208AEF8C" w14:textId="64946B03">
      <w:pPr>
        <w:spacing w:line="276" w:lineRule="auto"/>
      </w:pPr>
      <w:r>
        <w:t>Het</w:t>
      </w:r>
      <w:r w:rsidRPr="00B5471D" w:rsidR="00B5471D">
        <w:t xml:space="preserve"> opvragen van de gegevens door bestuursorganen en rechtspersonen </w:t>
      </w:r>
      <w:r w:rsidR="0085482E">
        <w:t xml:space="preserve">met een overheidstaak </w:t>
      </w:r>
      <w:r>
        <w:t xml:space="preserve">is </w:t>
      </w:r>
      <w:r w:rsidRPr="00B5471D" w:rsidR="00B5471D">
        <w:t xml:space="preserve">noodzakelijk omdat </w:t>
      </w:r>
      <w:r w:rsidR="001B2601">
        <w:t>ze</w:t>
      </w:r>
      <w:r w:rsidRPr="00B5471D" w:rsidR="00B5471D">
        <w:t xml:space="preserve"> hiermee aan hun wettelijke verplichting kunnen voldoen. De verwerking is evenredig omdat de bestuursorganen en rechtspersonen enkel de opvraging mogen doen in verband met de wettelijke taak of bevoegdheid zoals opgenomen in het besluit. Er is bovendien geen andere (betrouwbare) bron voor het verkrijgen </w:t>
      </w:r>
      <w:r w:rsidR="002136BC">
        <w:t xml:space="preserve">en verifiëren </w:t>
      </w:r>
      <w:r w:rsidRPr="00B5471D" w:rsidR="00B5471D">
        <w:t xml:space="preserve">van de benodigde gegevens die minder ingrijpend is dan het raadplegen van de UBO-registers. </w:t>
      </w:r>
    </w:p>
    <w:p w:rsidR="008E6CF7" w:rsidP="00B5471D" w:rsidRDefault="008E6CF7" w14:paraId="7A8D159E" w14:textId="77777777">
      <w:pPr>
        <w:spacing w:line="276" w:lineRule="auto"/>
      </w:pPr>
    </w:p>
    <w:p w:rsidR="008E6CF7" w:rsidP="008E6CF7" w:rsidRDefault="008E6CF7" w14:paraId="539A8475" w14:textId="220F5F1F">
      <w:pPr>
        <w:spacing w:line="276" w:lineRule="auto"/>
      </w:pPr>
      <w:r>
        <w:t xml:space="preserve">De toegang voor de bestuursorganen en rechtspersonen </w:t>
      </w:r>
      <w:r w:rsidRPr="000F7FA3">
        <w:rPr>
          <w:szCs w:val="18"/>
        </w:rPr>
        <w:t>met een overheidstaak waarvoor het in verband met een wettelijke of Europeesrechtelijke taak of bevoegdheid noodzakelijk is om UBO</w:t>
      </w:r>
      <w:r>
        <w:rPr>
          <w:szCs w:val="18"/>
        </w:rPr>
        <w:t>’</w:t>
      </w:r>
      <w:r w:rsidRPr="000F7FA3">
        <w:rPr>
          <w:szCs w:val="18"/>
        </w:rPr>
        <w:t>s te achterhalen</w:t>
      </w:r>
      <w:r>
        <w:rPr>
          <w:szCs w:val="18"/>
        </w:rPr>
        <w:t xml:space="preserve">, </w:t>
      </w:r>
      <w:r>
        <w:t>brengt in sommige gevallen met zich mee dat er persoonsgegevens worden verwerkt voor een ander doel dan waarvoor de persoonsgegevens oorspronkelijk zijn verzameld. De toegang op basis van de anti-witwasrichtlijn beperkt zich immers tot de doelstellingen van de richtlijn, namelijk het voorkomen of bestrijden van witwassen, daarmee verband houdende basisdelicten of financieren van terrorisme. Deze verwerking voor een ander doel is gerechtvaardigd wanneer deze geschiedt op grond van een wettelijke grondslag die in een democratische samenleving een noodzakelijk</w:t>
      </w:r>
      <w:r w:rsidR="0085482E">
        <w:t>e</w:t>
      </w:r>
      <w:r>
        <w:t xml:space="preserve"> en evenredige maatregel vormt ter waarborging van de in het eerste lid van artikel 23 van de AVG bedoelde doelstellingen.</w:t>
      </w:r>
      <w:r>
        <w:rPr>
          <w:rStyle w:val="Voetnootmarkering"/>
        </w:rPr>
        <w:footnoteReference w:id="23"/>
      </w:r>
      <w:r>
        <w:t xml:space="preserve"> </w:t>
      </w:r>
    </w:p>
    <w:p w:rsidR="008E6CF7" w:rsidDel="008E6CF7" w:rsidP="008E6CF7" w:rsidRDefault="008E6CF7" w14:paraId="69D867B9" w14:textId="77777777">
      <w:pPr>
        <w:spacing w:line="276" w:lineRule="auto"/>
      </w:pPr>
    </w:p>
    <w:p w:rsidR="008E6CF7" w:rsidP="008E6CF7" w:rsidRDefault="008E6CF7" w14:paraId="2E1021A3" w14:textId="5ACAE565">
      <w:pPr>
        <w:spacing w:line="276" w:lineRule="auto"/>
        <w:rPr>
          <w:szCs w:val="18"/>
        </w:rPr>
      </w:pPr>
      <w:r>
        <w:t xml:space="preserve">In paragraaf 2 wordt per </w:t>
      </w:r>
      <w:r w:rsidR="00134B8C">
        <w:t xml:space="preserve">aangewezen </w:t>
      </w:r>
      <w:r>
        <w:t xml:space="preserve">bestuursorgaan of rechtspersoon </w:t>
      </w:r>
      <w:r w:rsidRPr="000F7FA3">
        <w:rPr>
          <w:szCs w:val="18"/>
        </w:rPr>
        <w:t xml:space="preserve">met een overheidstaak </w:t>
      </w:r>
      <w:r>
        <w:t>onderbouwd waarom deze verwerking voor een ander doel gerechtvaardigd is en een noodzakelijke en evenredige maatregel vormt ter waarborging van de in artikel 23, eerste lid, AVG bedoelde doelstellingen</w:t>
      </w:r>
      <w:r w:rsidR="00134B8C">
        <w:t>.</w:t>
      </w:r>
    </w:p>
    <w:p w:rsidR="00E60E3A" w:rsidP="00477E8F" w:rsidRDefault="00E60E3A" w14:paraId="2B55BEFD" w14:textId="77777777">
      <w:pPr>
        <w:spacing w:line="276" w:lineRule="auto"/>
      </w:pPr>
    </w:p>
    <w:p w:rsidR="00A3079E" w:rsidP="00477E8F" w:rsidRDefault="00E60E3A" w14:paraId="42744816" w14:textId="5FE50820">
      <w:pPr>
        <w:spacing w:line="276" w:lineRule="auto"/>
        <w:rPr>
          <w:szCs w:val="18"/>
        </w:rPr>
      </w:pPr>
      <w:r w:rsidRPr="009D11B8">
        <w:rPr>
          <w:szCs w:val="18"/>
        </w:rPr>
        <w:t xml:space="preserve">De aangewezen partijen beschikken over passende technische en organisatorische maatregelen voor de bescherming van persoonsgegevens tegen incidenteel verlies, ongeoorloofde verspreiding of toegang. </w:t>
      </w:r>
      <w:r w:rsidR="00D3209C">
        <w:t xml:space="preserve">Autorisaties worden enkel door </w:t>
      </w:r>
      <w:r w:rsidR="00D20B3F">
        <w:t>de Kamer van Koopha</w:t>
      </w:r>
      <w:r w:rsidR="00134B8C">
        <w:t>ndel</w:t>
      </w:r>
      <w:r w:rsidR="00D20B3F">
        <w:t xml:space="preserve"> (KVK) </w:t>
      </w:r>
      <w:r w:rsidR="00D3209C">
        <w:t>verleend</w:t>
      </w:r>
      <w:r w:rsidR="00134B8C">
        <w:t>. De KVK</w:t>
      </w:r>
      <w:r w:rsidR="00D3209C">
        <w:t xml:space="preserve"> zal deze alleen verlenen als zij overtuigd is dat de aanvrager (dus het bestuursorgaan of de rechtspersoon</w:t>
      </w:r>
      <w:r w:rsidR="00134B8C">
        <w:t xml:space="preserve"> met een overheidstaak</w:t>
      </w:r>
      <w:r w:rsidR="00D3209C">
        <w:t>) kwalificeert als een aangewezen partij.</w:t>
      </w:r>
      <w:r w:rsidR="00D3209C">
        <w:rPr>
          <w:rFonts w:cs="Arial"/>
          <w:szCs w:val="18"/>
        </w:rPr>
        <w:t xml:space="preserve"> Het bestuursorgaan of rechtspersoon</w:t>
      </w:r>
      <w:r w:rsidR="00134B8C">
        <w:rPr>
          <w:rFonts w:cs="Arial"/>
          <w:szCs w:val="18"/>
        </w:rPr>
        <w:t xml:space="preserve"> met een overheidstaak</w:t>
      </w:r>
      <w:r w:rsidR="00D3209C">
        <w:rPr>
          <w:rFonts w:cs="Arial"/>
          <w:szCs w:val="18"/>
        </w:rPr>
        <w:t xml:space="preserve"> bepaalt zelf aan wie zij binnen hun organisatie toegang verlenen. Deze toegang dient alleen te worden verleend aan mensen binnen de organisatie die in het kader van het uitoefenen van hun functie toegang moeten hebben tot de UBO-registers. </w:t>
      </w:r>
      <w:r w:rsidR="00A3079E">
        <w:rPr>
          <w:color w:val="000000" w:themeColor="text1"/>
        </w:rPr>
        <w:t xml:space="preserve">Partijen </w:t>
      </w:r>
      <w:r w:rsidRPr="00D26F8A" w:rsidR="00A3079E">
        <w:t xml:space="preserve">die gegevens uit de UBO-registers verwerken zijn zelf verantwoordelijk (in de zin van de AVG) voor de wijze van verwerking en zij </w:t>
      </w:r>
      <w:r w:rsidR="00134B8C">
        <w:t>nemen</w:t>
      </w:r>
      <w:r w:rsidRPr="00D26F8A" w:rsidR="00A3079E">
        <w:t xml:space="preserve"> in alle gevallen de regels omtrent de bescherming van persoonsgegevens in acht</w:t>
      </w:r>
      <w:r w:rsidR="00A3079E">
        <w:t xml:space="preserve">. </w:t>
      </w:r>
      <w:r w:rsidRPr="009D11B8">
        <w:rPr>
          <w:szCs w:val="18"/>
        </w:rPr>
        <w:t xml:space="preserve">Zij </w:t>
      </w:r>
      <w:r w:rsidR="00430926">
        <w:rPr>
          <w:szCs w:val="18"/>
        </w:rPr>
        <w:t>maken</w:t>
      </w:r>
      <w:r w:rsidRPr="009D11B8">
        <w:rPr>
          <w:szCs w:val="18"/>
        </w:rPr>
        <w:t xml:space="preserve"> zelf een uitvoerings</w:t>
      </w:r>
      <w:r w:rsidR="00134B8C">
        <w:rPr>
          <w:szCs w:val="18"/>
        </w:rPr>
        <w:t>-</w:t>
      </w:r>
      <w:r w:rsidRPr="009D11B8">
        <w:rPr>
          <w:szCs w:val="18"/>
        </w:rPr>
        <w:t>dpia waarin de gegevensverwerking wordt beschreven</w:t>
      </w:r>
      <w:r w:rsidR="00477E8F">
        <w:rPr>
          <w:szCs w:val="18"/>
        </w:rPr>
        <w:t xml:space="preserve">. </w:t>
      </w:r>
      <w:r w:rsidRPr="00D26F8A" w:rsidR="00A3079E">
        <w:t xml:space="preserve">De functionaris gegevensbescherming bij een bestuursorgaan </w:t>
      </w:r>
      <w:r w:rsidR="00A3079E">
        <w:t xml:space="preserve">of rechtspersoon </w:t>
      </w:r>
      <w:r w:rsidRPr="00D26F8A" w:rsidR="00A3079E">
        <w:t>en de Autoriteit Persoonsgegevens</w:t>
      </w:r>
      <w:r w:rsidR="00134B8C">
        <w:t xml:space="preserve"> (AP)</w:t>
      </w:r>
      <w:r w:rsidRPr="00D26F8A" w:rsidR="00A3079E">
        <w:t xml:space="preserve"> houden toezicht op het verwerken van gegevens door </w:t>
      </w:r>
      <w:r w:rsidR="00F361C9">
        <w:t xml:space="preserve">de aangewezen </w:t>
      </w:r>
      <w:r w:rsidRPr="00D26F8A" w:rsidR="00A3079E">
        <w:t>partijen.</w:t>
      </w:r>
    </w:p>
    <w:p w:rsidR="00170EAD" w:rsidP="00526FA0" w:rsidRDefault="00170EAD" w14:paraId="689709E6" w14:textId="77777777">
      <w:pPr>
        <w:spacing w:line="276" w:lineRule="auto"/>
        <w:rPr>
          <w:rFonts w:eastAsia="Calibri"/>
          <w:i/>
          <w:iCs/>
          <w:color w:val="211D1F"/>
          <w:szCs w:val="18"/>
          <w:lang w:eastAsia="en-US"/>
        </w:rPr>
      </w:pPr>
    </w:p>
    <w:p w:rsidR="00D744DB" w:rsidP="00526FA0" w:rsidRDefault="00D744DB" w14:paraId="484F9E37" w14:textId="7075999A">
      <w:pPr>
        <w:spacing w:line="276" w:lineRule="auto"/>
        <w:rPr>
          <w:rFonts w:eastAsia="Calibri"/>
          <w:i/>
          <w:iCs/>
          <w:color w:val="211D1F"/>
          <w:szCs w:val="18"/>
          <w:lang w:eastAsia="en-US"/>
        </w:rPr>
      </w:pPr>
      <w:r>
        <w:rPr>
          <w:i/>
          <w:iCs/>
        </w:rPr>
        <w:t xml:space="preserve">§4. </w:t>
      </w:r>
      <w:r w:rsidR="00CC119A">
        <w:rPr>
          <w:rFonts w:eastAsia="Calibri"/>
          <w:i/>
          <w:iCs/>
          <w:color w:val="211D1F"/>
          <w:szCs w:val="18"/>
          <w:lang w:eastAsia="en-US"/>
        </w:rPr>
        <w:t>Gevolgen</w:t>
      </w:r>
    </w:p>
    <w:p w:rsidR="00322CCA" w:rsidP="00526FA0" w:rsidRDefault="00134B8C" w14:paraId="2D5B2C73" w14:textId="12E97C99">
      <w:pPr>
        <w:pStyle w:val="Geenafstand"/>
        <w:spacing w:line="276" w:lineRule="auto"/>
        <w:rPr>
          <w:szCs w:val="18"/>
        </w:rPr>
      </w:pPr>
      <w:r>
        <w:rPr>
          <w:szCs w:val="18"/>
        </w:rPr>
        <w:t>Uit</w:t>
      </w:r>
      <w:r w:rsidR="00CC119A">
        <w:rPr>
          <w:szCs w:val="18"/>
        </w:rPr>
        <w:t xml:space="preserve"> het voorstel </w:t>
      </w:r>
      <w:r>
        <w:rPr>
          <w:szCs w:val="18"/>
        </w:rPr>
        <w:t>volgen</w:t>
      </w:r>
      <w:r w:rsidR="00CC119A">
        <w:rPr>
          <w:szCs w:val="18"/>
        </w:rPr>
        <w:t xml:space="preserve"> geen markteffecten of bedrijfseffecten. </w:t>
      </w:r>
      <w:r w:rsidR="00322CCA">
        <w:rPr>
          <w:szCs w:val="18"/>
        </w:rPr>
        <w:t>Het besluit heeft geen gevolgen voor de regeldruk.</w:t>
      </w:r>
    </w:p>
    <w:p w:rsidR="00322CCA" w:rsidP="00526FA0" w:rsidRDefault="00322CCA" w14:paraId="2C026EEB" w14:textId="77777777">
      <w:pPr>
        <w:pStyle w:val="Geenafstand"/>
        <w:spacing w:line="276" w:lineRule="auto"/>
        <w:rPr>
          <w:rFonts w:cs="Arial"/>
          <w:iCs/>
          <w:szCs w:val="18"/>
        </w:rPr>
      </w:pPr>
    </w:p>
    <w:p w:rsidR="00144E0E" w:rsidP="00526FA0" w:rsidRDefault="0060222D" w14:paraId="7EB4AE65" w14:textId="1D5A735B">
      <w:pPr>
        <w:pStyle w:val="Geenafstand"/>
        <w:spacing w:line="276" w:lineRule="auto"/>
        <w:rPr>
          <w:rFonts w:cs="Arial"/>
          <w:iCs/>
          <w:szCs w:val="18"/>
        </w:rPr>
      </w:pPr>
      <w:r>
        <w:rPr>
          <w:rFonts w:cs="Arial"/>
          <w:iCs/>
          <w:szCs w:val="18"/>
        </w:rPr>
        <w:t xml:space="preserve">Een ontwerp van </w:t>
      </w:r>
      <w:r w:rsidR="00001585">
        <w:rPr>
          <w:rFonts w:cs="Arial"/>
          <w:iCs/>
          <w:szCs w:val="18"/>
        </w:rPr>
        <w:t xml:space="preserve">dit </w:t>
      </w:r>
      <w:r>
        <w:rPr>
          <w:rFonts w:cs="Arial"/>
          <w:iCs/>
          <w:szCs w:val="18"/>
        </w:rPr>
        <w:t xml:space="preserve">besluit </w:t>
      </w:r>
      <w:r w:rsidR="00144E0E">
        <w:rPr>
          <w:szCs w:val="18"/>
        </w:rPr>
        <w:t>is voor</w:t>
      </w:r>
      <w:r>
        <w:rPr>
          <w:szCs w:val="18"/>
        </w:rPr>
        <w:t xml:space="preserve"> advies voorgelegd aan het Adviescollege toetsing regeldruk (ATR)</w:t>
      </w:r>
      <w:r w:rsidR="002433C2">
        <w:rPr>
          <w:szCs w:val="18"/>
        </w:rPr>
        <w:t>.</w:t>
      </w:r>
      <w:r w:rsidR="00144E0E">
        <w:rPr>
          <w:szCs w:val="18"/>
        </w:rPr>
        <w:t xml:space="preserve"> </w:t>
      </w:r>
      <w:r w:rsidRPr="00652C6F" w:rsidR="00144E0E">
        <w:rPr>
          <w:rFonts w:cs="Arial"/>
          <w:iCs/>
          <w:szCs w:val="18"/>
        </w:rPr>
        <w:t>ATR heeft het dossier niet geselecteerd voor een formeel advies omdat het geen significante gevolgen voor de regeldruk heeft</w:t>
      </w:r>
      <w:r w:rsidR="00144E0E">
        <w:rPr>
          <w:rFonts w:cs="Arial"/>
          <w:iCs/>
          <w:szCs w:val="18"/>
        </w:rPr>
        <w:t>.</w:t>
      </w:r>
    </w:p>
    <w:p w:rsidR="00F25B08" w:rsidP="00526FA0" w:rsidRDefault="00F25B08" w14:paraId="1F1874F2" w14:textId="77777777">
      <w:pPr>
        <w:pStyle w:val="Geenafstand"/>
        <w:spacing w:line="276" w:lineRule="auto"/>
        <w:rPr>
          <w:rFonts w:cs="Arial"/>
          <w:iCs/>
          <w:szCs w:val="18"/>
        </w:rPr>
      </w:pPr>
    </w:p>
    <w:p w:rsidR="00F25B08" w:rsidP="00526FA0" w:rsidRDefault="00F25B08" w14:paraId="456F111A" w14:textId="77777777">
      <w:pPr>
        <w:pStyle w:val="Geenafstand"/>
        <w:spacing w:line="276" w:lineRule="auto"/>
        <w:rPr>
          <w:rFonts w:cs="Arial"/>
          <w:iCs/>
          <w:szCs w:val="18"/>
        </w:rPr>
      </w:pPr>
    </w:p>
    <w:p w:rsidR="00797ACF" w:rsidP="00526FA0" w:rsidRDefault="00797ACF" w14:paraId="753D663E" w14:textId="77777777">
      <w:pPr>
        <w:spacing w:line="276" w:lineRule="auto"/>
      </w:pPr>
    </w:p>
    <w:p w:rsidR="00D744DB" w:rsidP="00526FA0" w:rsidRDefault="00D744DB" w14:paraId="4FB0B4E9" w14:textId="38F846E0">
      <w:pPr>
        <w:spacing w:line="276" w:lineRule="auto"/>
        <w:rPr>
          <w:i/>
          <w:iCs/>
        </w:rPr>
      </w:pPr>
      <w:r>
        <w:rPr>
          <w:i/>
          <w:iCs/>
        </w:rPr>
        <w:t>§5. Uitvoering en handhaving</w:t>
      </w:r>
    </w:p>
    <w:p w:rsidR="00180957" w:rsidP="00526FA0" w:rsidRDefault="0060222D" w14:paraId="3F2FB063" w14:textId="4355F7F0">
      <w:pPr>
        <w:spacing w:line="276" w:lineRule="auto"/>
        <w:rPr>
          <w:rFonts w:cs="Arial"/>
          <w:iCs/>
          <w:szCs w:val="18"/>
        </w:rPr>
      </w:pPr>
      <w:r>
        <w:rPr>
          <w:rFonts w:cs="Arial"/>
          <w:iCs/>
          <w:szCs w:val="18"/>
        </w:rPr>
        <w:t xml:space="preserve">Een ontwerp van </w:t>
      </w:r>
      <w:r w:rsidR="00001585">
        <w:rPr>
          <w:rFonts w:cs="Arial"/>
          <w:iCs/>
          <w:szCs w:val="18"/>
        </w:rPr>
        <w:t xml:space="preserve">dit </w:t>
      </w:r>
      <w:r>
        <w:rPr>
          <w:rFonts w:cs="Arial"/>
          <w:iCs/>
          <w:szCs w:val="18"/>
        </w:rPr>
        <w:t xml:space="preserve">besluit </w:t>
      </w:r>
      <w:r w:rsidR="00922D5F">
        <w:rPr>
          <w:rFonts w:cs="Arial"/>
          <w:iCs/>
          <w:szCs w:val="18"/>
        </w:rPr>
        <w:t xml:space="preserve">is </w:t>
      </w:r>
      <w:r>
        <w:rPr>
          <w:rFonts w:cs="Arial"/>
          <w:iCs/>
          <w:szCs w:val="18"/>
        </w:rPr>
        <w:t xml:space="preserve">voor een uitvoerings- en </w:t>
      </w:r>
      <w:r w:rsidRPr="001810C8">
        <w:rPr>
          <w:rFonts w:cs="Arial"/>
          <w:iCs/>
          <w:szCs w:val="18"/>
        </w:rPr>
        <w:t xml:space="preserve">handhaafbaarheidstoets voorgelegd aan </w:t>
      </w:r>
      <w:r w:rsidRPr="001810C8" w:rsidR="00797ACF">
        <w:rPr>
          <w:rFonts w:cs="Arial"/>
          <w:iCs/>
          <w:szCs w:val="18"/>
        </w:rPr>
        <w:t xml:space="preserve">de </w:t>
      </w:r>
      <w:r w:rsidR="00D20B3F">
        <w:rPr>
          <w:rFonts w:cs="Arial"/>
          <w:iCs/>
          <w:szCs w:val="18"/>
        </w:rPr>
        <w:t>KVK</w:t>
      </w:r>
      <w:r w:rsidR="00A413FB">
        <w:rPr>
          <w:rFonts w:cs="Arial"/>
          <w:iCs/>
          <w:szCs w:val="18"/>
        </w:rPr>
        <w:t xml:space="preserve"> en</w:t>
      </w:r>
      <w:r w:rsidRPr="00A413FB" w:rsidR="00A413FB">
        <w:rPr>
          <w:rFonts w:cs="Arial"/>
          <w:iCs/>
          <w:szCs w:val="18"/>
        </w:rPr>
        <w:t xml:space="preserve"> het Bureau Economische Handhaving van de Belastingdienst (BEH)</w:t>
      </w:r>
      <w:r w:rsidR="00A413FB">
        <w:rPr>
          <w:rFonts w:cs="Arial"/>
          <w:iCs/>
          <w:szCs w:val="18"/>
        </w:rPr>
        <w:t>.</w:t>
      </w:r>
    </w:p>
    <w:p w:rsidR="00180957" w:rsidP="00526FA0" w:rsidRDefault="00180957" w14:paraId="4F3A0B89" w14:textId="77777777">
      <w:pPr>
        <w:spacing w:line="276" w:lineRule="auto"/>
        <w:rPr>
          <w:rFonts w:cs="Arial"/>
          <w:iCs/>
          <w:szCs w:val="18"/>
        </w:rPr>
      </w:pPr>
    </w:p>
    <w:p w:rsidR="00744FC0" w:rsidP="00744FC0" w:rsidRDefault="00180957" w14:paraId="029068DF" w14:textId="77777777">
      <w:pPr>
        <w:spacing w:line="260" w:lineRule="atLeast"/>
        <w:rPr>
          <w:rFonts w:cs="Arial"/>
          <w:iCs/>
          <w:szCs w:val="18"/>
        </w:rPr>
      </w:pPr>
      <w:r w:rsidRPr="00744FC0">
        <w:rPr>
          <w:rFonts w:cs="Arial"/>
          <w:iCs/>
          <w:szCs w:val="18"/>
        </w:rPr>
        <w:t>De KVK geeft aan het voorstel uitvoerbaar te vinden</w:t>
      </w:r>
      <w:r w:rsidRPr="00744FC0" w:rsidR="00744FC0">
        <w:rPr>
          <w:rFonts w:cs="Arial"/>
          <w:iCs/>
          <w:szCs w:val="18"/>
        </w:rPr>
        <w:t xml:space="preserve"> met in achtneming van een aantal voorwaarden. </w:t>
      </w:r>
    </w:p>
    <w:p w:rsidR="00744FC0" w:rsidP="00744FC0" w:rsidRDefault="00744FC0" w14:paraId="01985254" w14:textId="77777777">
      <w:pPr>
        <w:spacing w:line="260" w:lineRule="atLeast"/>
        <w:rPr>
          <w:rFonts w:cs="Arial"/>
          <w:iCs/>
          <w:szCs w:val="18"/>
        </w:rPr>
      </w:pPr>
    </w:p>
    <w:p w:rsidR="00431FE5" w:rsidP="00431FE5" w:rsidRDefault="00744FC0" w14:paraId="37D455E7" w14:textId="52930144">
      <w:pPr>
        <w:spacing w:line="260" w:lineRule="atLeast"/>
      </w:pPr>
      <w:r w:rsidRPr="00431FE5">
        <w:rPr>
          <w:rFonts w:cs="Arial"/>
          <w:iCs/>
          <w:szCs w:val="18"/>
        </w:rPr>
        <w:t>De KVK geeft aan dat de aanvragen van autorisatie gefaseerd worden verwerkt en</w:t>
      </w:r>
      <w:r w:rsidR="00430926">
        <w:rPr>
          <w:rFonts w:cs="Arial"/>
          <w:iCs/>
          <w:szCs w:val="18"/>
        </w:rPr>
        <w:t xml:space="preserve"> dat</w:t>
      </w:r>
      <w:r w:rsidRPr="00431FE5">
        <w:rPr>
          <w:rFonts w:cs="Arial"/>
          <w:iCs/>
          <w:szCs w:val="18"/>
        </w:rPr>
        <w:t xml:space="preserve"> </w:t>
      </w:r>
      <w:r w:rsidR="00430926">
        <w:rPr>
          <w:rFonts w:cs="Arial"/>
          <w:iCs/>
          <w:szCs w:val="18"/>
        </w:rPr>
        <w:t xml:space="preserve">zij </w:t>
      </w:r>
      <w:r w:rsidRPr="00431FE5">
        <w:rPr>
          <w:rFonts w:cs="Arial"/>
          <w:iCs/>
          <w:szCs w:val="18"/>
        </w:rPr>
        <w:t xml:space="preserve">uitgaat van een directe toegang van de aangewezen partij (zonder tussenschakel). </w:t>
      </w:r>
      <w:r>
        <w:t xml:space="preserve">KVK kent een autorisatie enkel toe als KVK is overtuigd dat de aanvrager kwalificeert als een aangewezen partij. De gelaagdheid in </w:t>
      </w:r>
      <w:r w:rsidR="00FE08F4">
        <w:t>dit besluit</w:t>
      </w:r>
      <w:r>
        <w:t xml:space="preserve"> met verwijzing naar andere wet- en regelgeving, zoals de Wet Bibob en verordeningen kunnen hierin een complicerende factor zijn. Tevens geeft KVK aan dat zij volstaan met het in stand houden van de autorisatie zolang de aangewezen partij in het besluit is aangewezen. </w:t>
      </w:r>
      <w:r w:rsidRPr="00DE429B" w:rsidR="00DE429B">
        <w:t>De toegang is niet afhankelijk van de looptijd van een fonds of een andere regeling in het kader waarvoor een organisatie toegang heeft gekregen</w:t>
      </w:r>
      <w:r w:rsidR="00DE429B">
        <w:t>.</w:t>
      </w:r>
    </w:p>
    <w:p w:rsidR="00431FE5" w:rsidP="00431FE5" w:rsidRDefault="00431FE5" w14:paraId="04BD4B66" w14:textId="77777777">
      <w:pPr>
        <w:spacing w:line="260" w:lineRule="atLeast"/>
      </w:pPr>
    </w:p>
    <w:p w:rsidR="00431FE5" w:rsidP="00D73A29" w:rsidRDefault="00431FE5" w14:paraId="42EA08F6" w14:textId="0E50BEB0">
      <w:pPr>
        <w:spacing w:line="260" w:lineRule="atLeast"/>
      </w:pPr>
      <w:r w:rsidRPr="00E94E49">
        <w:t xml:space="preserve">De </w:t>
      </w:r>
      <w:r>
        <w:t>toegang tot specifieke gegevens uit de uitgebreide set van UBO-gegevens</w:t>
      </w:r>
      <w:r w:rsidR="00134B8C">
        <w:t>,</w:t>
      </w:r>
      <w:r>
        <w:t xml:space="preserve"> zoals het BSN, </w:t>
      </w:r>
      <w:r w:rsidR="00134B8C">
        <w:t xml:space="preserve">de </w:t>
      </w:r>
      <w:r>
        <w:t xml:space="preserve">toegang tot de UBO-bescheiden en de toegang tot zoeken op natuurlijk persoon kan afhankelijk zijn van het gebruikte kanaal of inlogmiddel. </w:t>
      </w:r>
      <w:r w:rsidRPr="00431FE5">
        <w:t>KVK informeert de aangewezen partij en de inspecteur van de Douane over de doelbinding, maar de verantwoordelijkheid van het gebruik conform de doelbinding ligt bij de betreffende afnemer.</w:t>
      </w:r>
      <w:r w:rsidR="00A637ED">
        <w:t xml:space="preserve"> Wat betreft het register voor trust en soortgelijke juridische constructies is het alleen mogelijk in te loggen met eHerkenning.</w:t>
      </w:r>
    </w:p>
    <w:p w:rsidR="00001AED" w:rsidP="00744FC0" w:rsidRDefault="00001AED" w14:paraId="33F71280" w14:textId="77777777">
      <w:pPr>
        <w:spacing w:line="260" w:lineRule="atLeast"/>
      </w:pPr>
    </w:p>
    <w:p w:rsidRPr="00B3442C" w:rsidR="00B3442C" w:rsidP="00D73A29" w:rsidRDefault="00001AED" w14:paraId="22188D5B" w14:textId="33EB3986">
      <w:pPr>
        <w:spacing w:line="260" w:lineRule="atLeast"/>
      </w:pPr>
      <w:r>
        <w:t xml:space="preserve">KVK </w:t>
      </w:r>
      <w:r w:rsidR="00B3442C">
        <w:t>geeft aan dat de verwachting is dat</w:t>
      </w:r>
      <w:r>
        <w:t xml:space="preserve"> </w:t>
      </w:r>
      <w:r w:rsidR="00B3442C">
        <w:t xml:space="preserve">het </w:t>
      </w:r>
      <w:r>
        <w:t>aantal terugmeldingen</w:t>
      </w:r>
      <w:r w:rsidR="00A52688">
        <w:rPr>
          <w:rStyle w:val="Voetnootmarkering"/>
        </w:rPr>
        <w:footnoteReference w:id="24"/>
      </w:r>
      <w:r>
        <w:t xml:space="preserve"> binnen de huidige capaciteit voor de terugmeldprocessen kan worden opgevangen.</w:t>
      </w:r>
      <w:r w:rsidR="00B3442C">
        <w:t xml:space="preserve"> KVK gaat ervan uit dat </w:t>
      </w:r>
      <w:r w:rsidRPr="00B3442C" w:rsidR="00B3442C">
        <w:t xml:space="preserve">inwerkingtreding van de bevoegdheid om bij KVK persoonsgegevens van afnemers van </w:t>
      </w:r>
      <w:r w:rsidR="00B3442C">
        <w:t xml:space="preserve">het register voor vennootschappen en andere juridische entiteiten </w:t>
      </w:r>
      <w:r w:rsidRPr="00B3442C" w:rsidR="00B3442C">
        <w:t xml:space="preserve">op te vragen </w:t>
      </w:r>
      <w:r w:rsidR="00B3442C">
        <w:t>(</w:t>
      </w:r>
      <w:r w:rsidRPr="00B3442C" w:rsidR="00B3442C">
        <w:t>conform de huidige situatie</w:t>
      </w:r>
      <w:r w:rsidR="00B3442C">
        <w:t xml:space="preserve">) </w:t>
      </w:r>
      <w:r w:rsidRPr="00B3442C" w:rsidR="00B3442C">
        <w:t>wordt uitgesteld</w:t>
      </w:r>
      <w:r w:rsidR="00B3442C">
        <w:t>, omdat er nog technische voorbereidingen moeten worden getroffen.</w:t>
      </w:r>
      <w:r w:rsidR="004E1615">
        <w:rPr>
          <w:rStyle w:val="Voetnootmarkering"/>
        </w:rPr>
        <w:footnoteReference w:id="25"/>
      </w:r>
      <w:r w:rsidR="00B3442C">
        <w:t xml:space="preserve"> </w:t>
      </w:r>
      <w:r w:rsidRPr="00B3442C" w:rsidR="00B3442C">
        <w:t>Als het te zijner tijd inwerking treedt</w:t>
      </w:r>
      <w:r w:rsidR="002D24DA">
        <w:t xml:space="preserve">, </w:t>
      </w:r>
      <w:r w:rsidRPr="00B3442C" w:rsidR="00B3442C">
        <w:t xml:space="preserve">gaat KVK ervan uit dat deze verzoeken incidenteel van aard zijn en </w:t>
      </w:r>
      <w:r w:rsidR="00B3442C">
        <w:t xml:space="preserve">KVK deze handmatig kan afhandelen. </w:t>
      </w:r>
      <w:r w:rsidR="002D24DA">
        <w:t>KVK brengt een update aan op de webpagina met</w:t>
      </w:r>
      <w:r w:rsidRPr="00B3442C" w:rsidR="00B3442C">
        <w:t xml:space="preserve"> informatie voor UBO’s. Bij </w:t>
      </w:r>
      <w:r w:rsidRPr="002D24DA" w:rsidR="002D24DA">
        <w:t xml:space="preserve">register voor vennootschappen en andere juridische entiteiten </w:t>
      </w:r>
      <w:r w:rsidRPr="00B3442C" w:rsidR="00B3442C">
        <w:t>over wie hun UBO-gegevens kunnen raadplegen, maar voorziet niet in individuele communicatie over de wijzigingen richting UBO’s.</w:t>
      </w:r>
    </w:p>
    <w:p w:rsidRPr="00B3442C" w:rsidR="00B3442C" w:rsidP="00D73A29" w:rsidRDefault="00B3442C" w14:paraId="62B0B4FE" w14:textId="22F39229">
      <w:pPr>
        <w:spacing w:line="260" w:lineRule="atLeast"/>
      </w:pPr>
    </w:p>
    <w:p w:rsidR="000C6709" w:rsidP="00D73A29" w:rsidRDefault="0064541A" w14:paraId="799E2FAC" w14:textId="538C22EB">
      <w:pPr>
        <w:spacing w:line="260" w:lineRule="atLeast"/>
        <w:rPr>
          <w:szCs w:val="18"/>
        </w:rPr>
      </w:pPr>
      <w:r w:rsidRPr="0064541A">
        <w:t>De opmerkingen van KVK zijn voor een groot deel technisch van aard. Deze technische implicaties worden besproken met KVK</w:t>
      </w:r>
      <w:r>
        <w:t xml:space="preserve">. Het </w:t>
      </w:r>
      <w:r w:rsidRPr="0064541A">
        <w:t xml:space="preserve">tijdstip van inwerkingtreding van de bepalingen(en) </w:t>
      </w:r>
      <w:r>
        <w:t>wordt</w:t>
      </w:r>
      <w:r w:rsidRPr="0064541A">
        <w:t xml:space="preserve"> afgestemd, zodat aan alle technische randvoorwaarden is voldaan voordat desbetreffende bepalingen in werking treden.</w:t>
      </w:r>
    </w:p>
    <w:p w:rsidR="00A413FB" w:rsidP="00D73A29" w:rsidRDefault="00A413FB" w14:paraId="772B54DB" w14:textId="77777777">
      <w:pPr>
        <w:spacing w:line="260" w:lineRule="atLeast"/>
        <w:rPr>
          <w:szCs w:val="18"/>
        </w:rPr>
      </w:pPr>
    </w:p>
    <w:p w:rsidRPr="005C2107" w:rsidR="00A413FB" w:rsidP="00D73A29" w:rsidRDefault="00A413FB" w14:paraId="41C95005" w14:textId="38D0CBC2">
      <w:pPr>
        <w:spacing w:line="260" w:lineRule="atLeast"/>
      </w:pPr>
      <w:r>
        <w:rPr>
          <w:szCs w:val="18"/>
        </w:rPr>
        <w:t>De Belastingdienst acht het voorstel uitvoerbaar en heeft enkel een opmerking over de Douane gemaakt.</w:t>
      </w:r>
      <w:r w:rsidR="004E1615">
        <w:rPr>
          <w:rStyle w:val="Voetnootmarkering"/>
          <w:szCs w:val="18"/>
        </w:rPr>
        <w:footnoteReference w:id="26"/>
      </w:r>
      <w:r w:rsidR="00A50E2F">
        <w:rPr>
          <w:szCs w:val="18"/>
        </w:rPr>
        <w:t xml:space="preserve"> </w:t>
      </w:r>
      <w:r w:rsidR="00134B8C">
        <w:rPr>
          <w:szCs w:val="18"/>
        </w:rPr>
        <w:t xml:space="preserve">Hierover merkt dat Belastingdienst op </w:t>
      </w:r>
      <w:r>
        <w:rPr>
          <w:szCs w:val="18"/>
        </w:rPr>
        <w:t>dat het voorstel</w:t>
      </w:r>
      <w:r w:rsidRPr="00DF0C3B">
        <w:rPr>
          <w:szCs w:val="16"/>
        </w:rPr>
        <w:t xml:space="preserve"> </w:t>
      </w:r>
      <w:r>
        <w:rPr>
          <w:szCs w:val="16"/>
        </w:rPr>
        <w:t>beperkte</w:t>
      </w:r>
      <w:r w:rsidRPr="00DF0C3B">
        <w:rPr>
          <w:szCs w:val="16"/>
        </w:rPr>
        <w:t xml:space="preserve"> impact </w:t>
      </w:r>
      <w:r>
        <w:rPr>
          <w:szCs w:val="16"/>
        </w:rPr>
        <w:t xml:space="preserve">heeft. Er </w:t>
      </w:r>
      <w:r w:rsidRPr="00DF0C3B">
        <w:rPr>
          <w:szCs w:val="16"/>
        </w:rPr>
        <w:t xml:space="preserve">moet gekeken worden naar de mogelijkheid van datalekken, dat is reeds ingeregeld. </w:t>
      </w:r>
      <w:r>
        <w:rPr>
          <w:szCs w:val="16"/>
        </w:rPr>
        <w:t>Ook is opgemerkt dat de</w:t>
      </w:r>
      <w:r w:rsidRPr="00DF0C3B">
        <w:rPr>
          <w:szCs w:val="16"/>
        </w:rPr>
        <w:t xml:space="preserve"> Douane een uitvoerings-</w:t>
      </w:r>
      <w:r>
        <w:rPr>
          <w:szCs w:val="16"/>
        </w:rPr>
        <w:t>D</w:t>
      </w:r>
      <w:r w:rsidRPr="00DF0C3B">
        <w:rPr>
          <w:szCs w:val="16"/>
        </w:rPr>
        <w:t xml:space="preserve">PIA </w:t>
      </w:r>
      <w:r w:rsidR="00134B8C">
        <w:rPr>
          <w:szCs w:val="16"/>
        </w:rPr>
        <w:t>maakt</w:t>
      </w:r>
      <w:r w:rsidRPr="00DF0C3B">
        <w:rPr>
          <w:szCs w:val="16"/>
        </w:rPr>
        <w:t xml:space="preserve"> waarin de gegevensverwerking wordt beschreven</w:t>
      </w:r>
      <w:r>
        <w:rPr>
          <w:szCs w:val="16"/>
        </w:rPr>
        <w:t>.</w:t>
      </w:r>
    </w:p>
    <w:p w:rsidR="00D744DB" w:rsidP="00526FA0" w:rsidRDefault="00D744DB" w14:paraId="3B38CE7C" w14:textId="77777777">
      <w:pPr>
        <w:spacing w:line="276" w:lineRule="auto"/>
        <w:rPr>
          <w:i/>
          <w:iCs/>
        </w:rPr>
      </w:pPr>
    </w:p>
    <w:p w:rsidR="00D744DB" w:rsidP="00526FA0" w:rsidRDefault="00D744DB" w14:paraId="1E3926D9" w14:textId="1EA1EDF7">
      <w:pPr>
        <w:spacing w:line="276" w:lineRule="auto"/>
        <w:rPr>
          <w:i/>
          <w:iCs/>
        </w:rPr>
      </w:pPr>
      <w:r>
        <w:rPr>
          <w:i/>
          <w:iCs/>
        </w:rPr>
        <w:t>§6. Financiële gevolgen</w:t>
      </w:r>
    </w:p>
    <w:p w:rsidR="00D744DB" w:rsidP="00526FA0" w:rsidRDefault="0060222D" w14:paraId="1D5DAE9A" w14:textId="41AD8432">
      <w:pPr>
        <w:spacing w:line="276" w:lineRule="auto"/>
        <w:rPr>
          <w:rFonts w:cs="Arial"/>
          <w:iCs/>
          <w:szCs w:val="18"/>
        </w:rPr>
      </w:pPr>
      <w:r>
        <w:rPr>
          <w:rFonts w:cs="Arial"/>
          <w:iCs/>
          <w:szCs w:val="18"/>
        </w:rPr>
        <w:t>Het besluit heeft geen gevolgen voor de Rijksbegroting.</w:t>
      </w:r>
    </w:p>
    <w:p w:rsidR="0039276C" w:rsidP="00526FA0" w:rsidRDefault="0039276C" w14:paraId="1587AB76" w14:textId="77777777">
      <w:pPr>
        <w:spacing w:line="276" w:lineRule="auto"/>
        <w:rPr>
          <w:i/>
          <w:iCs/>
        </w:rPr>
      </w:pPr>
    </w:p>
    <w:p w:rsidR="00AE69BA" w:rsidP="00AE69BA" w:rsidRDefault="00AE69BA" w14:paraId="41BDC28A" w14:textId="77777777">
      <w:pPr>
        <w:spacing w:line="276" w:lineRule="auto"/>
        <w:rPr>
          <w:rFonts w:cs="Arial"/>
          <w:i/>
          <w:iCs/>
          <w:szCs w:val="18"/>
        </w:rPr>
      </w:pPr>
      <w:r>
        <w:rPr>
          <w:i/>
          <w:iCs/>
        </w:rPr>
        <w:t xml:space="preserve">§7. Advies en </w:t>
      </w:r>
      <w:r>
        <w:rPr>
          <w:rFonts w:cs="Arial"/>
          <w:i/>
          <w:iCs/>
          <w:szCs w:val="18"/>
        </w:rPr>
        <w:t xml:space="preserve">consultatie </w:t>
      </w:r>
    </w:p>
    <w:p w:rsidR="00AE69BA" w:rsidP="00AE69BA" w:rsidRDefault="00AE69BA" w14:paraId="27DCF563" w14:textId="77777777">
      <w:pPr>
        <w:spacing w:line="276" w:lineRule="auto"/>
        <w:rPr>
          <w:rFonts w:cs="Arial"/>
          <w:szCs w:val="18"/>
        </w:rPr>
      </w:pPr>
    </w:p>
    <w:p w:rsidRPr="00B87356" w:rsidR="00AE69BA" w:rsidP="00AE69BA" w:rsidRDefault="00AE69BA" w14:paraId="62BE94DB" w14:textId="77777777">
      <w:pPr>
        <w:spacing w:line="276" w:lineRule="auto"/>
        <w:rPr>
          <w:rFonts w:cs="Arial"/>
          <w:i/>
          <w:iCs/>
          <w:szCs w:val="18"/>
        </w:rPr>
      </w:pPr>
      <w:r w:rsidRPr="004D5EF9">
        <w:rPr>
          <w:i/>
          <w:iCs/>
        </w:rPr>
        <w:t>§</w:t>
      </w:r>
      <w:r w:rsidRPr="00B87356">
        <w:rPr>
          <w:rFonts w:cs="Arial"/>
          <w:i/>
          <w:iCs/>
          <w:szCs w:val="18"/>
        </w:rPr>
        <w:t>7.1 Consultatie</w:t>
      </w:r>
    </w:p>
    <w:p w:rsidR="00AE69BA" w:rsidP="00AE69BA" w:rsidRDefault="00AE69BA" w14:paraId="446170BF" w14:textId="61E202EF">
      <w:pPr>
        <w:spacing w:line="276" w:lineRule="auto"/>
        <w:rPr>
          <w:rFonts w:cs="Arial"/>
          <w:szCs w:val="18"/>
        </w:rPr>
      </w:pPr>
      <w:r>
        <w:rPr>
          <w:rFonts w:cs="Arial"/>
          <w:szCs w:val="18"/>
        </w:rPr>
        <w:t>Een ontwerp van dit besluit is geconsulteerd van 15 mei tot 26 juni 2025. Hierop zijn 11 reacties ontvangen. Deze reacties zijn afkomstig van particulieren, een advocatenkantoor, Stichting Privacy First, de Koninklijke Notariële Beroepsorganisatie, de Vereniging Onderneming</w:t>
      </w:r>
      <w:r w:rsidR="005138FC">
        <w:rPr>
          <w:rFonts w:cs="Arial"/>
          <w:szCs w:val="18"/>
        </w:rPr>
        <w:t>s</w:t>
      </w:r>
      <w:r>
        <w:rPr>
          <w:rFonts w:cs="Arial"/>
          <w:szCs w:val="18"/>
        </w:rPr>
        <w:t xml:space="preserve">rechtspecialisten Notariaat en de </w:t>
      </w:r>
      <w:r w:rsidRPr="001014CF">
        <w:rPr>
          <w:rFonts w:cs="Arial"/>
          <w:szCs w:val="18"/>
        </w:rPr>
        <w:t>Gecombineerde Commissie Vennootschapsrecht van de NOvA</w:t>
      </w:r>
      <w:r w:rsidR="0069001A">
        <w:rPr>
          <w:rFonts w:cs="Arial"/>
          <w:szCs w:val="18"/>
        </w:rPr>
        <w:t xml:space="preserve">, </w:t>
      </w:r>
      <w:r w:rsidRPr="001014CF">
        <w:rPr>
          <w:rFonts w:cs="Arial"/>
          <w:szCs w:val="18"/>
        </w:rPr>
        <w:t>de KNB</w:t>
      </w:r>
      <w:r w:rsidR="00424CBF">
        <w:rPr>
          <w:rFonts w:cs="Arial"/>
          <w:szCs w:val="18"/>
        </w:rPr>
        <w:t xml:space="preserve"> en Stichting MKB Financiering</w:t>
      </w:r>
      <w:r>
        <w:rPr>
          <w:rFonts w:cs="Arial"/>
          <w:szCs w:val="18"/>
        </w:rPr>
        <w:t>. Hieronder wordt thematisch ingegaan op de belangrijkste punten die zien op de inhoud van het besluit.</w:t>
      </w:r>
    </w:p>
    <w:p w:rsidR="00AE69BA" w:rsidP="00AE69BA" w:rsidRDefault="00AE69BA" w14:paraId="692F2B65" w14:textId="77777777">
      <w:pPr>
        <w:spacing w:line="276" w:lineRule="auto"/>
        <w:rPr>
          <w:rFonts w:cs="Arial"/>
          <w:szCs w:val="18"/>
        </w:rPr>
      </w:pPr>
    </w:p>
    <w:p w:rsidRPr="00B87356" w:rsidR="00AE69BA" w:rsidP="00AE69BA" w:rsidRDefault="00AE69BA" w14:paraId="51A0C3FE" w14:textId="77777777">
      <w:pPr>
        <w:spacing w:line="276" w:lineRule="auto"/>
        <w:rPr>
          <w:rFonts w:cs="Arial"/>
          <w:i/>
          <w:iCs/>
          <w:szCs w:val="18"/>
        </w:rPr>
      </w:pPr>
      <w:r w:rsidRPr="004D5EF9">
        <w:rPr>
          <w:i/>
          <w:iCs/>
        </w:rPr>
        <w:t>§</w:t>
      </w:r>
      <w:r w:rsidRPr="00B87356">
        <w:rPr>
          <w:rFonts w:cs="Arial"/>
          <w:i/>
          <w:iCs/>
          <w:szCs w:val="18"/>
        </w:rPr>
        <w:t>7.1.2 Gegevensbescherming</w:t>
      </w:r>
    </w:p>
    <w:p w:rsidR="00AE69BA" w:rsidP="00AE69BA" w:rsidRDefault="00AE69BA" w14:paraId="1F8BBC3F" w14:textId="77777777">
      <w:pPr>
        <w:spacing w:line="276" w:lineRule="auto"/>
        <w:rPr>
          <w:rFonts w:cs="Arial"/>
          <w:szCs w:val="18"/>
        </w:rPr>
      </w:pPr>
      <w:r w:rsidRPr="004E7D7A">
        <w:rPr>
          <w:rFonts w:cs="Arial"/>
          <w:szCs w:val="18"/>
        </w:rPr>
        <w:t xml:space="preserve">Er zijn verschillende opmerkingen gemaakt die zien op gegevensbescherming, dan wel het onrechtmatig raadplegen van </w:t>
      </w:r>
      <w:r>
        <w:rPr>
          <w:rFonts w:cs="Arial"/>
          <w:szCs w:val="18"/>
        </w:rPr>
        <w:t>de</w:t>
      </w:r>
      <w:r w:rsidRPr="004E7D7A">
        <w:rPr>
          <w:rFonts w:cs="Arial"/>
          <w:szCs w:val="18"/>
        </w:rPr>
        <w:t xml:space="preserve"> register</w:t>
      </w:r>
      <w:r>
        <w:rPr>
          <w:rFonts w:cs="Arial"/>
          <w:szCs w:val="18"/>
        </w:rPr>
        <w:t>s</w:t>
      </w:r>
      <w:r w:rsidRPr="004E7D7A">
        <w:rPr>
          <w:rFonts w:cs="Arial"/>
          <w:szCs w:val="18"/>
        </w:rPr>
        <w:t xml:space="preserve"> of mogelijk misbruik van gegevens.</w:t>
      </w:r>
    </w:p>
    <w:p w:rsidR="00AE69BA" w:rsidP="00AE69BA" w:rsidRDefault="00AE69BA" w14:paraId="4EC16F9D" w14:textId="77777777">
      <w:pPr>
        <w:spacing w:line="276" w:lineRule="auto"/>
        <w:rPr>
          <w:rFonts w:cs="Arial"/>
          <w:szCs w:val="18"/>
        </w:rPr>
      </w:pPr>
    </w:p>
    <w:p w:rsidR="00AE69BA" w:rsidP="00AE69BA" w:rsidRDefault="00AE69BA" w14:paraId="6DE3B2BF" w14:textId="77777777">
      <w:pPr>
        <w:tabs>
          <w:tab w:val="left" w:pos="2451"/>
        </w:tabs>
        <w:spacing w:line="276" w:lineRule="auto"/>
        <w:rPr>
          <w:rFonts w:cs="Arial"/>
          <w:szCs w:val="18"/>
        </w:rPr>
      </w:pPr>
      <w:r>
        <w:rPr>
          <w:rFonts w:cs="Arial"/>
          <w:szCs w:val="18"/>
        </w:rPr>
        <w:t>Zo wordt er geopperd om de personen die toegang krijgen te registeren, zodat er achter controle kan plaatsvinden over wat er met de gegevens is gebeurd. Tevens moeten de UBO’s die worden geraadpleegd, worden geïnformeerd. Ook wordt opgemerkt dat niet gecontroleerd kan worden of de inzage rechtmatig was, afgezien van partijen die aan tuchtrecht onderworpen zijn. Voorgesteld het reguleren van de toegang via een centraal punt, waarbij het verzoek om toegang met voldoende reden omkleed moet zijn. Ook wordt in het algemeen opgemerkt dat het onderdeel over gegevensbescherming in de nota van toelichting te beperkt is.</w:t>
      </w:r>
    </w:p>
    <w:p w:rsidR="00AE69BA" w:rsidP="00AE69BA" w:rsidRDefault="00AE69BA" w14:paraId="534D4BFC" w14:textId="77777777">
      <w:pPr>
        <w:tabs>
          <w:tab w:val="left" w:pos="2451"/>
        </w:tabs>
        <w:spacing w:line="276" w:lineRule="auto"/>
        <w:rPr>
          <w:rFonts w:cs="Arial"/>
          <w:szCs w:val="18"/>
        </w:rPr>
      </w:pPr>
    </w:p>
    <w:p w:rsidRPr="00560A43" w:rsidR="00AE69BA" w:rsidP="00AE69BA" w:rsidRDefault="00AE69BA" w14:paraId="5768F376" w14:textId="77777777">
      <w:pPr>
        <w:tabs>
          <w:tab w:val="left" w:pos="2451"/>
        </w:tabs>
        <w:spacing w:line="276" w:lineRule="auto"/>
        <w:rPr>
          <w:szCs w:val="18"/>
        </w:rPr>
      </w:pPr>
      <w:r>
        <w:t>Autorisaties worden enkel door KVK verleend en zal deze alleen verlenen als zij overtuigd is dat de aanvrager (dus het bestuursorgaan of de rechtspersoon) kwalificeert als een aangewezen partij.</w:t>
      </w:r>
      <w:r>
        <w:rPr>
          <w:rFonts w:cs="Arial"/>
          <w:szCs w:val="18"/>
        </w:rPr>
        <w:t xml:space="preserve"> Het bestuursorgaan of rechtspersoon bepaalt zelf aan wie zij binnen hun organisatie toegang verlenen. Deze toegang wordt alleen verleend aan mensen binnen de organisatie die in het kader van het uitoefenen van hun functie toegang moeten hebben tot de UBO-registers. </w:t>
      </w:r>
      <w:r>
        <w:rPr>
          <w:color w:val="000000" w:themeColor="text1"/>
        </w:rPr>
        <w:t xml:space="preserve">Bestuursorganen en rechtspersonen met een overheidstaak </w:t>
      </w:r>
      <w:r w:rsidRPr="00D26F8A">
        <w:t>die gegevens uit de UBO-registers verwerken zijn zelf verantwoordelijk (in de zin van de AVG) voor de wijze van verwerking en zij zullen in alle gevallen de regels omtrent de bescherming van persoonsgegevens in acht moeten nemen</w:t>
      </w:r>
      <w:r>
        <w:t xml:space="preserve">. </w:t>
      </w:r>
      <w:r w:rsidRPr="009D11B8">
        <w:rPr>
          <w:szCs w:val="18"/>
        </w:rPr>
        <w:t>Zij dienen zelf een uitvoeringsdpia te maken waarin de gegevensverwerking wordt beschreven</w:t>
      </w:r>
      <w:r>
        <w:rPr>
          <w:szCs w:val="18"/>
        </w:rPr>
        <w:t xml:space="preserve">. </w:t>
      </w:r>
      <w:r w:rsidRPr="00D26F8A">
        <w:t>De</w:t>
      </w:r>
      <w:r>
        <w:t xml:space="preserve"> </w:t>
      </w:r>
      <w:r w:rsidRPr="00D26F8A">
        <w:t xml:space="preserve">functionaris gegevensbescherming bij een bestuursorgaan </w:t>
      </w:r>
      <w:r>
        <w:t xml:space="preserve">of rechtspersoon </w:t>
      </w:r>
      <w:r w:rsidRPr="00D26F8A">
        <w:t xml:space="preserve">en de Autoriteit Persoonsgegevens houden toezicht op het verwerken van gegevens door </w:t>
      </w:r>
      <w:r>
        <w:t>de aangewezen bestuursorganen en rechtspersonen met een overheidstaak</w:t>
      </w:r>
      <w:r w:rsidRPr="00D26F8A">
        <w:t>.</w:t>
      </w:r>
      <w:r>
        <w:t xml:space="preserve"> </w:t>
      </w:r>
      <w:r>
        <w:rPr>
          <w:rFonts w:cs="Arial"/>
          <w:szCs w:val="18"/>
        </w:rPr>
        <w:t>De toelichting is op het punt van gegevensbescherming aangevuld. Zie paragraaf 3.</w:t>
      </w:r>
    </w:p>
    <w:p w:rsidR="00AE69BA" w:rsidP="00AE69BA" w:rsidRDefault="00AE69BA" w14:paraId="7050EBCD" w14:textId="77777777">
      <w:pPr>
        <w:tabs>
          <w:tab w:val="left" w:pos="2451"/>
        </w:tabs>
        <w:spacing w:line="276" w:lineRule="auto"/>
        <w:rPr>
          <w:rFonts w:cs="Arial"/>
          <w:szCs w:val="18"/>
        </w:rPr>
      </w:pPr>
    </w:p>
    <w:p w:rsidRPr="00B87356" w:rsidR="00AE69BA" w:rsidP="00AE69BA" w:rsidRDefault="00AE69BA" w14:paraId="6B7313ED" w14:textId="77777777">
      <w:pPr>
        <w:tabs>
          <w:tab w:val="left" w:pos="2451"/>
        </w:tabs>
        <w:spacing w:line="276" w:lineRule="auto"/>
        <w:rPr>
          <w:rFonts w:cs="Arial"/>
          <w:i/>
          <w:iCs/>
          <w:szCs w:val="18"/>
        </w:rPr>
      </w:pPr>
      <w:r w:rsidRPr="004D5EF9">
        <w:rPr>
          <w:i/>
          <w:iCs/>
        </w:rPr>
        <w:t>§</w:t>
      </w:r>
      <w:r w:rsidRPr="00B87356">
        <w:rPr>
          <w:rFonts w:cs="Arial"/>
          <w:i/>
          <w:iCs/>
          <w:szCs w:val="18"/>
        </w:rPr>
        <w:t>7.1.3 Toegang tot de gegevens</w:t>
      </w:r>
    </w:p>
    <w:p w:rsidR="00AE69BA" w:rsidP="00AE69BA" w:rsidRDefault="00AE69BA" w14:paraId="38D06010" w14:textId="77777777">
      <w:pPr>
        <w:spacing w:line="276" w:lineRule="auto"/>
        <w:rPr>
          <w:bCs/>
        </w:rPr>
      </w:pPr>
      <w:r>
        <w:rPr>
          <w:bCs/>
        </w:rPr>
        <w:t xml:space="preserve">Er zijn een aantal opmerkingen gemaakt over de bestuursorganen en rechtspersonen met een overheidstaak die worden aangewezen in het besluit en de gronden waarvoor zij toegang krijgen. </w:t>
      </w:r>
    </w:p>
    <w:p w:rsidR="00AE69BA" w:rsidP="00AE69BA" w:rsidRDefault="00AE69BA" w14:paraId="2D020E1F" w14:textId="77777777">
      <w:pPr>
        <w:spacing w:line="276" w:lineRule="auto"/>
        <w:rPr>
          <w:bCs/>
        </w:rPr>
      </w:pPr>
    </w:p>
    <w:p w:rsidRPr="00D4165A" w:rsidR="00AE69BA" w:rsidP="00AE69BA" w:rsidRDefault="00AE69BA" w14:paraId="42E4799A" w14:textId="77777777">
      <w:pPr>
        <w:spacing w:line="276" w:lineRule="auto"/>
        <w:rPr>
          <w:szCs w:val="18"/>
        </w:rPr>
      </w:pPr>
      <w:r>
        <w:rPr>
          <w:bCs/>
        </w:rPr>
        <w:t xml:space="preserve">Opgemerkt wordt onder andere dat met dit besluit de UBO-registers door buitenproportioneel veel mensen zijn in te zien buiten Wwft en Sanctiewet doeleinden. Dit besluit regelt toegang voor bepaalde bestuursorganen en rechtspersonen met een overheidstaak die een </w:t>
      </w:r>
      <w:r>
        <w:t xml:space="preserve">ander doel hebben dan waarvoor de persoonsgegevens oorspronkelijk zijn verzameld. De toegang op basis van de anti-witwasrichtlijn beperkt zich immers tot de doelstellingen van de richtlijn, namelijk het voorkomen of bestrijden van witwassen, daarmee verband houdende basisdelicten of financieren van terrorisme. </w:t>
      </w:r>
      <w:r>
        <w:rPr>
          <w:bCs/>
          <w:szCs w:val="18"/>
        </w:rPr>
        <w:t>Voor de bestuursorganen en rechtspersonen met een overheidstaak in dit besluit is gebleken dat het noodzakelijk is dat zij ook toegang krijgen tot de informatie uit de UBO-registers.</w:t>
      </w:r>
      <w:r>
        <w:t xml:space="preserve"> In paragraaf 2 wordt per bestuursorgaan of rechtspersoon </w:t>
      </w:r>
      <w:r w:rsidRPr="000F7FA3">
        <w:rPr>
          <w:szCs w:val="18"/>
        </w:rPr>
        <w:t>met een overheidstaak waarvoor het in verband met een wettelijke of Europeesrechtelijke taak of bevoegdheid noodzakelijk is om UBO</w:t>
      </w:r>
      <w:r>
        <w:rPr>
          <w:szCs w:val="18"/>
        </w:rPr>
        <w:t>’</w:t>
      </w:r>
      <w:r w:rsidRPr="000F7FA3">
        <w:rPr>
          <w:szCs w:val="18"/>
        </w:rPr>
        <w:t>s te achterhalen</w:t>
      </w:r>
      <w:r>
        <w:rPr>
          <w:szCs w:val="18"/>
        </w:rPr>
        <w:t>,</w:t>
      </w:r>
      <w:r>
        <w:t xml:space="preserve"> onderbouwd waarom deze verwerking voor een ander doel gerechtvaardigd is en een noodzakelijke en evenredige maatregel vormt ter waarborging van de in artikel 23, eerste lid, AVG bedoelde doelstellingen.</w:t>
      </w:r>
      <w:r w:rsidRPr="009D11B8">
        <w:rPr>
          <w:szCs w:val="18"/>
        </w:rPr>
        <w:t xml:space="preserve"> </w:t>
      </w:r>
      <w:r>
        <w:t>Toegang tot de</w:t>
      </w:r>
      <w:r w:rsidRPr="00B5471D">
        <w:t xml:space="preserve"> gegevens </w:t>
      </w:r>
      <w:r>
        <w:t xml:space="preserve">voor </w:t>
      </w:r>
      <w:r w:rsidRPr="00B5471D">
        <w:t xml:space="preserve">bestuursorganen en rechtspersonen </w:t>
      </w:r>
      <w:r>
        <w:t xml:space="preserve">is </w:t>
      </w:r>
      <w:r w:rsidRPr="00B5471D">
        <w:t xml:space="preserve">noodzakelijk omdat </w:t>
      </w:r>
      <w:r>
        <w:t>ze</w:t>
      </w:r>
      <w:r w:rsidRPr="00B5471D">
        <w:t xml:space="preserve"> hiermee aan hun wettelijke verplichting kunnen voldoen. De verwerking is evenredig omdat de bestuursorganen en rechtspersonen enkel de opvraging mogen doen in verband met de wettelijke taak of bevoegdheid zoals opgenomen in het besluit. Er is bovendien geen andere (betrouwbare) bron voor het verkrijgen </w:t>
      </w:r>
      <w:r>
        <w:t xml:space="preserve">en verifiëren </w:t>
      </w:r>
      <w:r w:rsidRPr="00B5471D">
        <w:t xml:space="preserve">van de benodigde gegevens die minder ingrijpend is dan het raadplegen van de UBO-registers. </w:t>
      </w:r>
    </w:p>
    <w:p w:rsidR="00AE69BA" w:rsidP="00AE69BA" w:rsidRDefault="00AE69BA" w14:paraId="5219E794" w14:textId="77777777">
      <w:pPr>
        <w:spacing w:line="276" w:lineRule="auto"/>
        <w:rPr>
          <w:bCs/>
        </w:rPr>
      </w:pPr>
    </w:p>
    <w:p w:rsidR="00AE69BA" w:rsidP="00AE69BA" w:rsidRDefault="00AE69BA" w14:paraId="46D6026A" w14:textId="77777777">
      <w:pPr>
        <w:spacing w:line="276" w:lineRule="auto"/>
        <w:rPr>
          <w:i/>
          <w:iCs/>
        </w:rPr>
      </w:pPr>
      <w:r>
        <w:rPr>
          <w:bCs/>
        </w:rPr>
        <w:t>Tevens is opgemerkt dat de AFM een te ruime toegang krijgt en niet voldoende specifiek staat aangegeven om welke persoonsgegevens het gaat en een onderbouwing van de noodzaak. Per onderwerp is in de toelichting onderbouwd waarom de AFM voor dat specifieke onderwerp toegang nodig heeft. Waar mogelijk is deze toelichting aangevuld. Zo is bijvoorbeeld de toegang voor AFM in het kader van oneerlijke handelspraktijken  en het vergunningsverleningsproces nader onderbouwd, z</w:t>
      </w:r>
      <w:r w:rsidRPr="00E95EB2">
        <w:rPr>
          <w:bCs/>
        </w:rPr>
        <w:t xml:space="preserve">ie </w:t>
      </w:r>
      <w:r w:rsidRPr="00870F52">
        <w:rPr>
          <w:bCs/>
        </w:rPr>
        <w:t xml:space="preserve">paragraaf </w:t>
      </w:r>
      <w:r w:rsidRPr="00870F52">
        <w:t>2.8</w:t>
      </w:r>
      <w:r w:rsidRPr="009A33EE">
        <w:t xml:space="preserve"> en 2.9.</w:t>
      </w:r>
    </w:p>
    <w:p w:rsidR="00AE69BA" w:rsidP="00AE69BA" w:rsidRDefault="00AE69BA" w14:paraId="1B277AB2" w14:textId="77777777">
      <w:pPr>
        <w:spacing w:line="276" w:lineRule="auto"/>
        <w:rPr>
          <w:bCs/>
        </w:rPr>
      </w:pPr>
    </w:p>
    <w:p w:rsidRPr="00D73A29" w:rsidR="00AE69BA" w:rsidP="00AE69BA" w:rsidRDefault="00AE69BA" w14:paraId="549ABE81" w14:textId="77777777">
      <w:pPr>
        <w:spacing w:line="276" w:lineRule="auto"/>
        <w:rPr>
          <w:i/>
          <w:iCs/>
        </w:rPr>
      </w:pPr>
      <w:r>
        <w:rPr>
          <w:bCs/>
        </w:rPr>
        <w:t xml:space="preserve">Voorgesteld wordt tevens om de toegang voor de gerechtsdeurwaarders te schrappen. Ook wordt aangegeven dat de toelichting die wordt gegeven voor de noodzaak van toegang onvolkomen is. De toelichting voor de gerechtsdeurwaarders is aangevuld. </w:t>
      </w:r>
      <w:r w:rsidRPr="00EC1CF1">
        <w:rPr>
          <w:bCs/>
        </w:rPr>
        <w:t xml:space="preserve">Zie paragraaf </w:t>
      </w:r>
      <w:r w:rsidRPr="00D73A29">
        <w:t>2.1</w:t>
      </w:r>
      <w:r>
        <w:t>0</w:t>
      </w:r>
      <w:r w:rsidRPr="00D73A29">
        <w:t>.</w:t>
      </w:r>
    </w:p>
    <w:p w:rsidR="00AE69BA" w:rsidP="00AE69BA" w:rsidRDefault="00AE69BA" w14:paraId="4F8B2B69" w14:textId="77777777">
      <w:pPr>
        <w:spacing w:line="276" w:lineRule="auto"/>
        <w:rPr>
          <w:bCs/>
          <w:i/>
          <w:iCs/>
        </w:rPr>
      </w:pPr>
    </w:p>
    <w:p w:rsidRPr="004D5EF9" w:rsidR="00AE69BA" w:rsidP="00AE69BA" w:rsidRDefault="00AE69BA" w14:paraId="290D3F1A" w14:textId="77777777">
      <w:pPr>
        <w:spacing w:line="276" w:lineRule="auto"/>
        <w:rPr>
          <w:bCs/>
          <w:i/>
          <w:iCs/>
        </w:rPr>
      </w:pPr>
      <w:r w:rsidRPr="004D5EF9">
        <w:rPr>
          <w:i/>
          <w:iCs/>
        </w:rPr>
        <w:t>§</w:t>
      </w:r>
      <w:r w:rsidRPr="00D73A29">
        <w:rPr>
          <w:bCs/>
          <w:i/>
          <w:iCs/>
        </w:rPr>
        <w:t>7.1.4 Toegang voor notarissen</w:t>
      </w:r>
    </w:p>
    <w:p w:rsidR="00AE69BA" w:rsidP="00AE69BA" w:rsidRDefault="00AE69BA" w14:paraId="7C3A87C2" w14:textId="77777777">
      <w:pPr>
        <w:spacing w:line="276" w:lineRule="auto"/>
        <w:rPr>
          <w:bCs/>
        </w:rPr>
      </w:pPr>
      <w:r>
        <w:rPr>
          <w:bCs/>
        </w:rPr>
        <w:t>Meerdere reacties zien op het verzoek</w:t>
      </w:r>
      <w:r w:rsidRPr="00D73A29">
        <w:rPr>
          <w:bCs/>
        </w:rPr>
        <w:t xml:space="preserve"> om de notarissen toe te voegen aan dit besluit voor zover zij taken verrichten op grond van artikel 2 van de Wet op het notarisambt. </w:t>
      </w:r>
    </w:p>
    <w:p w:rsidR="00AE69BA" w:rsidP="00AE69BA" w:rsidRDefault="00AE69BA" w14:paraId="6C7709F8" w14:textId="77777777">
      <w:pPr>
        <w:spacing w:line="276" w:lineRule="auto"/>
        <w:rPr>
          <w:bCs/>
        </w:rPr>
      </w:pPr>
    </w:p>
    <w:p w:rsidRPr="00D73A29" w:rsidR="00AE69BA" w:rsidP="00AE69BA" w:rsidRDefault="00AE69BA" w14:paraId="2DC66FE6" w14:textId="77777777">
      <w:pPr>
        <w:spacing w:line="276" w:lineRule="auto"/>
        <w:rPr>
          <w:bCs/>
        </w:rPr>
      </w:pPr>
      <w:r w:rsidRPr="0066446A">
        <w:rPr>
          <w:bCs/>
          <w:szCs w:val="18"/>
        </w:rPr>
        <w:t xml:space="preserve">Voor de taken van de notaris die vallen onder de strekking van artikel 1a, vierde lid, onderdeel d van de Wet ter voorkoming van witwassen en terrorismebestrijding, is reeds wettelijke grondslag aanwezig tot het raadplegen van </w:t>
      </w:r>
      <w:r>
        <w:rPr>
          <w:bCs/>
          <w:szCs w:val="18"/>
        </w:rPr>
        <w:t xml:space="preserve">de </w:t>
      </w:r>
      <w:r w:rsidRPr="0066446A">
        <w:rPr>
          <w:bCs/>
          <w:szCs w:val="18"/>
        </w:rPr>
        <w:t>UBO-register</w:t>
      </w:r>
      <w:r>
        <w:rPr>
          <w:bCs/>
          <w:szCs w:val="18"/>
        </w:rPr>
        <w:t>s</w:t>
      </w:r>
      <w:r w:rsidRPr="0066446A">
        <w:rPr>
          <w:bCs/>
          <w:szCs w:val="18"/>
        </w:rPr>
        <w:t xml:space="preserve">. In praktijk bestaan er echter typen transacties, die niet onder de reikwijdte van het voornoemd artikel vallen, maar waarvoor wel een UBO-onderzoek </w:t>
      </w:r>
      <w:r>
        <w:rPr>
          <w:bCs/>
          <w:szCs w:val="18"/>
        </w:rPr>
        <w:t>noodzakelijk is</w:t>
      </w:r>
      <w:r w:rsidRPr="0066446A">
        <w:rPr>
          <w:bCs/>
          <w:szCs w:val="18"/>
        </w:rPr>
        <w:t>, omdat er sprake kan zijn van een witwasrisico</w:t>
      </w:r>
      <w:r>
        <w:rPr>
          <w:bCs/>
          <w:szCs w:val="18"/>
        </w:rPr>
        <w:t>.</w:t>
      </w:r>
    </w:p>
    <w:p w:rsidR="00AE69BA" w:rsidP="00AE69BA" w:rsidRDefault="00AE69BA" w14:paraId="30BF8753" w14:textId="77777777">
      <w:pPr>
        <w:spacing w:line="276" w:lineRule="auto"/>
        <w:rPr>
          <w:bCs/>
          <w:i/>
          <w:iCs/>
        </w:rPr>
      </w:pPr>
    </w:p>
    <w:p w:rsidR="00AE69BA" w:rsidP="00AE69BA" w:rsidRDefault="00AE69BA" w14:paraId="3EB73A8B" w14:textId="77777777">
      <w:pPr>
        <w:spacing w:line="276" w:lineRule="auto"/>
        <w:rPr>
          <w:bCs/>
        </w:rPr>
      </w:pPr>
      <w:r>
        <w:rPr>
          <w:bCs/>
        </w:rPr>
        <w:t>Een notaris is</w:t>
      </w:r>
      <w:r w:rsidRPr="00D73A29">
        <w:rPr>
          <w:bCs/>
        </w:rPr>
        <w:t xml:space="preserve"> </w:t>
      </w:r>
      <w:r>
        <w:rPr>
          <w:bCs/>
        </w:rPr>
        <w:t xml:space="preserve">een </w:t>
      </w:r>
      <w:r w:rsidRPr="00D73A29">
        <w:rPr>
          <w:bCs/>
        </w:rPr>
        <w:t>bestuursorgaan in de zin van artikel 1:1</w:t>
      </w:r>
      <w:r>
        <w:rPr>
          <w:bCs/>
        </w:rPr>
        <w:t xml:space="preserve">, eerste lid, </w:t>
      </w:r>
      <w:r w:rsidRPr="00D73A29">
        <w:rPr>
          <w:bCs/>
        </w:rPr>
        <w:t>onder</w:t>
      </w:r>
      <w:r>
        <w:rPr>
          <w:bCs/>
        </w:rPr>
        <w:t>deel</w:t>
      </w:r>
      <w:r w:rsidRPr="00D73A29">
        <w:rPr>
          <w:bCs/>
        </w:rPr>
        <w:t xml:space="preserve"> b </w:t>
      </w:r>
      <w:r>
        <w:rPr>
          <w:bCs/>
        </w:rPr>
        <w:t xml:space="preserve">in de zin </w:t>
      </w:r>
      <w:r w:rsidRPr="001F4039">
        <w:rPr>
          <w:bCs/>
        </w:rPr>
        <w:t xml:space="preserve">van de Awb </w:t>
      </w:r>
      <w:r w:rsidRPr="00D73A29">
        <w:rPr>
          <w:bCs/>
        </w:rPr>
        <w:t xml:space="preserve">(een ander persoon of college, met enig openbaar gezag bekleed) als hij ambtshandelingen verricht als bedoeld in artikel 2 van de </w:t>
      </w:r>
      <w:r w:rsidRPr="001F4039">
        <w:rPr>
          <w:bCs/>
        </w:rPr>
        <w:t>W</w:t>
      </w:r>
      <w:r w:rsidRPr="00D73A29">
        <w:rPr>
          <w:bCs/>
        </w:rPr>
        <w:t>et op het notarisambt</w:t>
      </w:r>
      <w:r w:rsidRPr="001F4039">
        <w:rPr>
          <w:bCs/>
        </w:rPr>
        <w:t xml:space="preserve"> (Wna)</w:t>
      </w:r>
      <w:r w:rsidRPr="00D73A29">
        <w:rPr>
          <w:bCs/>
        </w:rPr>
        <w:t>. Het ambt van notaris houdt de bevoegdheid in om authentieke akten te verlijden in de gevallen waarin de wet dit aan hem opdraagt of een partij zulks van hem verlangt en andere in de wet aan hem opgedragen werkzaamheden te verrichten, aldus artikel 2 van de Wna.</w:t>
      </w:r>
      <w:r>
        <w:rPr>
          <w:bCs/>
        </w:rPr>
        <w:t xml:space="preserve"> </w:t>
      </w:r>
    </w:p>
    <w:p w:rsidR="00AE69BA" w:rsidP="00AE69BA" w:rsidRDefault="00AE69BA" w14:paraId="164DB39A" w14:textId="77777777">
      <w:pPr>
        <w:spacing w:line="276" w:lineRule="auto"/>
        <w:rPr>
          <w:bCs/>
        </w:rPr>
      </w:pPr>
    </w:p>
    <w:p w:rsidR="00AE69BA" w:rsidP="00AE69BA" w:rsidRDefault="00AE69BA" w14:paraId="3DEFCAE6" w14:textId="4EE6ED65">
      <w:pPr>
        <w:spacing w:line="276" w:lineRule="auto"/>
        <w:rPr>
          <w:bCs/>
        </w:rPr>
      </w:pPr>
      <w:r>
        <w:rPr>
          <w:bCs/>
        </w:rPr>
        <w:t xml:space="preserve">Dit heeft ertoe geleid dat notarissen voor zover zij taken verrichten op grond van artikel 2 van de Wet op het notarisambt, zijn opgenomen als aangewezen </w:t>
      </w:r>
      <w:r w:rsidRPr="008D48AF">
        <w:rPr>
          <w:bCs/>
        </w:rPr>
        <w:t xml:space="preserve">partij </w:t>
      </w:r>
      <w:r w:rsidRPr="00DC4DB3">
        <w:rPr>
          <w:bCs/>
        </w:rPr>
        <w:t xml:space="preserve">onder </w:t>
      </w:r>
      <w:r w:rsidR="002D7EE7">
        <w:rPr>
          <w:bCs/>
        </w:rPr>
        <w:t>onderdeel</w:t>
      </w:r>
      <w:r w:rsidRPr="00DC4DB3" w:rsidR="002D7EE7">
        <w:rPr>
          <w:bCs/>
        </w:rPr>
        <w:t xml:space="preserve"> </w:t>
      </w:r>
      <w:r w:rsidRPr="008D48AF">
        <w:rPr>
          <w:bCs/>
        </w:rPr>
        <w:t>g.</w:t>
      </w:r>
    </w:p>
    <w:p w:rsidRPr="00D73A29" w:rsidR="00AE69BA" w:rsidP="00AE69BA" w:rsidRDefault="00AE69BA" w14:paraId="3347BCFC" w14:textId="77777777">
      <w:pPr>
        <w:spacing w:line="276" w:lineRule="auto"/>
        <w:rPr>
          <w:bCs/>
        </w:rPr>
      </w:pPr>
      <w:r>
        <w:rPr>
          <w:bCs/>
        </w:rPr>
        <w:t xml:space="preserve">De toelichting is ook hierop </w:t>
      </w:r>
      <w:r w:rsidRPr="00195EA4">
        <w:rPr>
          <w:bCs/>
        </w:rPr>
        <w:t xml:space="preserve">aangevuld. </w:t>
      </w:r>
      <w:r w:rsidRPr="00DC4DB3">
        <w:rPr>
          <w:bCs/>
        </w:rPr>
        <w:t xml:space="preserve">Zie paragraaf </w:t>
      </w:r>
      <w:r w:rsidRPr="00195EA4">
        <w:rPr>
          <w:bCs/>
        </w:rPr>
        <w:t>2.1</w:t>
      </w:r>
      <w:r>
        <w:rPr>
          <w:bCs/>
        </w:rPr>
        <w:t>1</w:t>
      </w:r>
      <w:r w:rsidRPr="00195EA4">
        <w:rPr>
          <w:bCs/>
        </w:rPr>
        <w:t>.</w:t>
      </w:r>
    </w:p>
    <w:p w:rsidRPr="007C2A33" w:rsidR="00AE69BA" w:rsidP="00AE69BA" w:rsidRDefault="00AE69BA" w14:paraId="6229EACF" w14:textId="77777777">
      <w:pPr>
        <w:spacing w:line="276" w:lineRule="auto"/>
        <w:rPr>
          <w:bCs/>
          <w:i/>
          <w:iCs/>
        </w:rPr>
      </w:pPr>
    </w:p>
    <w:p w:rsidRPr="00D73A29" w:rsidR="00AE69BA" w:rsidP="00AE69BA" w:rsidRDefault="00AE69BA" w14:paraId="7D21EA2D" w14:textId="77777777">
      <w:pPr>
        <w:spacing w:line="276" w:lineRule="auto"/>
        <w:rPr>
          <w:bCs/>
          <w:i/>
          <w:iCs/>
        </w:rPr>
      </w:pPr>
      <w:r w:rsidRPr="004D5EF9">
        <w:rPr>
          <w:i/>
          <w:iCs/>
        </w:rPr>
        <w:t>§</w:t>
      </w:r>
      <w:r w:rsidRPr="00D73A29">
        <w:rPr>
          <w:bCs/>
          <w:i/>
          <w:iCs/>
        </w:rPr>
        <w:t>7.1.5 Afscherming</w:t>
      </w:r>
    </w:p>
    <w:p w:rsidR="00AE69BA" w:rsidP="00AE69BA" w:rsidRDefault="00AE69BA" w14:paraId="1921BE88" w14:textId="77777777">
      <w:pPr>
        <w:spacing w:line="276" w:lineRule="auto"/>
      </w:pPr>
      <w:r>
        <w:t xml:space="preserve">Het verzoek is gedaan om advocaten en fiscalisten ook onder de uitzondering van artikel 51b Handelsregisterbesluit 2008 te laten vallen. </w:t>
      </w:r>
    </w:p>
    <w:p w:rsidR="00AE69BA" w:rsidP="00AE69BA" w:rsidRDefault="00AE69BA" w14:paraId="3E971663" w14:textId="77777777">
      <w:pPr>
        <w:spacing w:line="276" w:lineRule="auto"/>
      </w:pPr>
    </w:p>
    <w:p w:rsidR="00AE69BA" w:rsidP="00AE69BA" w:rsidRDefault="00AE69BA" w14:paraId="4542A988" w14:textId="5E225DE8">
      <w:pPr>
        <w:spacing w:line="276" w:lineRule="auto"/>
      </w:pPr>
      <w:r>
        <w:t xml:space="preserve">In beginsel bepalen de Europese anti-witwasrichtlijnen welke partijen ondanks een afscherming, gegevens van de UBO’s mogen zien. Zoals ook hierboven in de toelichting benoemd, is er </w:t>
      </w:r>
      <w:r>
        <w:rPr>
          <w:rStyle w:val="normaltextrun"/>
          <w:rFonts w:cstheme="minorHAnsi"/>
        </w:rPr>
        <w:t>o</w:t>
      </w:r>
      <w:r w:rsidRPr="00E5511D">
        <w:rPr>
          <w:rStyle w:val="normaltextrun"/>
          <w:rFonts w:cstheme="minorHAnsi"/>
        </w:rPr>
        <w:t xml:space="preserve">p 19 juni 2024 </w:t>
      </w:r>
      <w:r>
        <w:rPr>
          <w:rStyle w:val="normaltextrun"/>
          <w:rFonts w:cstheme="minorHAnsi"/>
        </w:rPr>
        <w:t xml:space="preserve">een nieuwe verordening en een nieuwe richtlijn op het gebied van </w:t>
      </w:r>
      <w:r w:rsidRPr="00E5511D">
        <w:rPr>
          <w:rStyle w:val="normaltextrun"/>
          <w:rFonts w:cstheme="minorHAnsi"/>
        </w:rPr>
        <w:t>anti-witwas</w:t>
      </w:r>
      <w:r>
        <w:rPr>
          <w:rStyle w:val="normaltextrun"/>
          <w:rFonts w:cstheme="minorHAnsi"/>
        </w:rPr>
        <w:t xml:space="preserve">regelgeving </w:t>
      </w:r>
      <w:r w:rsidRPr="00E5511D">
        <w:rPr>
          <w:rStyle w:val="normaltextrun"/>
          <w:rFonts w:cstheme="minorHAnsi"/>
        </w:rPr>
        <w:t>gepubliceerd</w:t>
      </w:r>
      <w:r>
        <w:rPr>
          <w:rStyle w:val="normaltextrun"/>
          <w:rFonts w:cstheme="minorHAnsi"/>
        </w:rPr>
        <w:t>.</w:t>
      </w:r>
      <w:r w:rsidR="005138FC">
        <w:rPr>
          <w:rStyle w:val="normaltextrun"/>
          <w:rFonts w:cstheme="minorHAnsi"/>
        </w:rPr>
        <w:t xml:space="preserve"> </w:t>
      </w:r>
      <w:r>
        <w:rPr>
          <w:rStyle w:val="normaltextrun"/>
          <w:rFonts w:cstheme="minorHAnsi"/>
        </w:rPr>
        <w:t xml:space="preserve">Artikel 3, derde lid, </w:t>
      </w:r>
      <w:r w:rsidR="002D7EE7">
        <w:rPr>
          <w:rStyle w:val="normaltextrun"/>
          <w:rFonts w:cstheme="minorHAnsi"/>
        </w:rPr>
        <w:t xml:space="preserve">onderdeel </w:t>
      </w:r>
      <w:r>
        <w:rPr>
          <w:rStyle w:val="normaltextrun"/>
          <w:rFonts w:cstheme="minorHAnsi"/>
        </w:rPr>
        <w:t xml:space="preserve">b van de AMLR bepaalt dat </w:t>
      </w:r>
      <w:r w:rsidRPr="00EC51B5">
        <w:rPr>
          <w:rStyle w:val="normaltextrun"/>
          <w:rFonts w:cstheme="minorHAnsi"/>
        </w:rPr>
        <w:t>notarissen, advocaten en andere onafhankelijke beoefenaren van juridische beroepen wanneer zij deelnemen</w:t>
      </w:r>
      <w:r>
        <w:rPr>
          <w:rStyle w:val="normaltextrun"/>
          <w:rFonts w:cstheme="minorHAnsi"/>
        </w:rPr>
        <w:t xml:space="preserve"> in verband met bepaalde handelingen, zoals </w:t>
      </w:r>
      <w:r w:rsidRPr="00EC51B5">
        <w:rPr>
          <w:rFonts w:cstheme="minorHAnsi"/>
        </w:rPr>
        <w:t>de aan- en verkoop van onroerend goed of bedrijven</w:t>
      </w:r>
      <w:r>
        <w:rPr>
          <w:rFonts w:cstheme="minorHAnsi"/>
        </w:rPr>
        <w:t xml:space="preserve">, behoren tot meldingsplichtige entiteiten. Artikel 15 van AMLD6 bepaalt dat de afscherming niet van toepassing is op meldingsplichtige entiteiten zoals genoemd in </w:t>
      </w:r>
      <w:r>
        <w:rPr>
          <w:rStyle w:val="normaltextrun"/>
          <w:rFonts w:cstheme="minorHAnsi"/>
        </w:rPr>
        <w:t xml:space="preserve">artikel 3, derde lid, </w:t>
      </w:r>
      <w:r w:rsidR="002D7EE7">
        <w:rPr>
          <w:rStyle w:val="normaltextrun"/>
          <w:rFonts w:cstheme="minorHAnsi"/>
        </w:rPr>
        <w:t xml:space="preserve">onderdeel </w:t>
      </w:r>
      <w:r>
        <w:rPr>
          <w:rStyle w:val="normaltextrun"/>
          <w:rFonts w:cstheme="minorHAnsi"/>
        </w:rPr>
        <w:t>b van de AMLR. Dit betekent dus dat advocaten onder de nieuwe Europese anti-witwasregelgeving in bepaalde gevallen ook onder de uitzondering zullen vallen. De wijzigingen die hiervoor in de wetgeving moeten worden gedaan zullen worden meegenomen in het implementatietraject van deze nieuwe regelgeving.</w:t>
      </w:r>
      <w:r>
        <w:rPr>
          <w:rStyle w:val="Voetnootmarkering"/>
          <w:rFonts w:cstheme="minorHAnsi"/>
        </w:rPr>
        <w:footnoteReference w:id="27"/>
      </w:r>
    </w:p>
    <w:p w:rsidR="00AE69BA" w:rsidP="00AE69BA" w:rsidRDefault="00AE69BA" w14:paraId="296EB0E2" w14:textId="77777777">
      <w:pPr>
        <w:spacing w:line="276" w:lineRule="auto"/>
      </w:pPr>
    </w:p>
    <w:p w:rsidR="00AE69BA" w:rsidP="00AE69BA" w:rsidRDefault="00AE69BA" w14:paraId="168485DA" w14:textId="77777777">
      <w:pPr>
        <w:spacing w:line="276" w:lineRule="auto"/>
      </w:pPr>
      <w:r w:rsidRPr="00167D9C">
        <w:t>Daarnaast is opgemerkt om de huidige tekst die is opgenomen in artikel 51b Handelsregisterbesluit 2008 te vervangen door een tekst die voldoet aan artikel 30</w:t>
      </w:r>
      <w:r>
        <w:t xml:space="preserve">, negende lid, </w:t>
      </w:r>
      <w:r w:rsidRPr="00D368D8">
        <w:t xml:space="preserve">van </w:t>
      </w:r>
      <w:r w:rsidRPr="00295F7C">
        <w:t>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w:t>
      </w:r>
      <w:r>
        <w:t>(hierna richtlijn 2015/849)</w:t>
      </w:r>
      <w:r w:rsidRPr="00D368D8">
        <w:t>, aan</w:t>
      </w:r>
      <w:r w:rsidRPr="00167D9C">
        <w:t xml:space="preserve"> de AVG en </w:t>
      </w:r>
      <w:r>
        <w:t xml:space="preserve">de </w:t>
      </w:r>
      <w:r w:rsidRPr="00167D9C">
        <w:t>artikelen 2, 3 en 6 van het Europese Handvest.</w:t>
      </w:r>
      <w:r>
        <w:t xml:space="preserve"> Aangegeven wordt dat het alleen afschermen van gegevens bij politiebescherming in strijd is met Europees recht.</w:t>
      </w:r>
    </w:p>
    <w:p w:rsidR="00AE69BA" w:rsidP="00AE69BA" w:rsidRDefault="00AE69BA" w14:paraId="750FB510" w14:textId="77777777">
      <w:pPr>
        <w:spacing w:line="276" w:lineRule="auto"/>
      </w:pPr>
    </w:p>
    <w:p w:rsidRPr="00295F7C" w:rsidR="00AE69BA" w:rsidP="00AE69BA" w:rsidRDefault="00AE69BA" w14:paraId="76A221D7" w14:textId="77777777">
      <w:pPr>
        <w:spacing w:line="276" w:lineRule="auto"/>
        <w:rPr>
          <w:b/>
          <w:bCs/>
        </w:rPr>
      </w:pPr>
      <w:r w:rsidRPr="00295F7C">
        <w:t xml:space="preserve">Bij de implementatie is </w:t>
      </w:r>
      <w:r w:rsidRPr="00637895">
        <w:t xml:space="preserve">onder meer gekeken naar reeds bestaande afschermingsmogelijkheden van openbare registers, namelijk het Kadaster en het register met informatie over uiteindelijk belanghebbenden van vennootschappen en andere juridische entiteiten. </w:t>
      </w:r>
      <w:r>
        <w:t>In lijn</w:t>
      </w:r>
      <w:r w:rsidRPr="00637895">
        <w:t xml:space="preserve"> daarmee</w:t>
      </w:r>
      <w:r>
        <w:t xml:space="preserve"> is destijds</w:t>
      </w:r>
      <w:r w:rsidRPr="00637895">
        <w:t xml:space="preserve"> vastgesteld wanneer een verzoek tot afscherming wordt toegekend. </w:t>
      </w:r>
      <w:r w:rsidRPr="00307009">
        <w:t xml:space="preserve">Het </w:t>
      </w:r>
      <w:r>
        <w:t xml:space="preserve">huidige </w:t>
      </w:r>
      <w:r w:rsidRPr="00307009">
        <w:t xml:space="preserve">afschermingsregime sluit zowel qua voorwaarden als qua inhoudelijke beoordeling aan op de eisen van </w:t>
      </w:r>
      <w:r>
        <w:t>de anti-witwasrichtlijnen</w:t>
      </w:r>
      <w:r w:rsidRPr="00307009">
        <w:t xml:space="preserve">. </w:t>
      </w:r>
      <w:r w:rsidRPr="003206E7">
        <w:t>Het kabinet heeft beide kamers</w:t>
      </w:r>
      <w:r>
        <w:t xml:space="preserve"> op</w:t>
      </w:r>
      <w:r w:rsidRPr="003206E7">
        <w:t xml:space="preserve"> 14 mei 2025 per brief over geïnformeerd over de verruiming van </w:t>
      </w:r>
      <w:r>
        <w:t>regime voor afscherming</w:t>
      </w:r>
      <w:r w:rsidRPr="003206E7">
        <w:t xml:space="preserve">. </w:t>
      </w:r>
      <w:r>
        <w:t>Dit is naar aanleiding van een motie van</w:t>
      </w:r>
      <w:r w:rsidRPr="00307009">
        <w:t xml:space="preserve"> het lid de Vries die oproept om aanvullende maatregelen uit te werken om gegevens van mensen die met bedreiging te maken krijgen te beschermen</w:t>
      </w:r>
      <w:r>
        <w:t>.</w:t>
      </w:r>
      <w:r>
        <w:rPr>
          <w:rStyle w:val="Voetnootmarkering"/>
        </w:rPr>
        <w:footnoteReference w:id="28"/>
      </w:r>
      <w:r>
        <w:t xml:space="preserve"> </w:t>
      </w:r>
      <w:r w:rsidRPr="003206E7">
        <w:t xml:space="preserve">Afscherming wordt ook mogelijk gemaakt voor personen die aangifte hebben gedaan van bedreiging. Onderzocht zal worden welke verdere stappen aanvullend nodig zijn om gegevens bij dreiging naar personen in </w:t>
      </w:r>
      <w:r>
        <w:t>de</w:t>
      </w:r>
      <w:r w:rsidRPr="003206E7">
        <w:t xml:space="preserve"> UBO-register</w:t>
      </w:r>
      <w:r>
        <w:t>s</w:t>
      </w:r>
      <w:r w:rsidRPr="003206E7">
        <w:t xml:space="preserve"> af te schermen.</w:t>
      </w:r>
      <w:r>
        <w:rPr>
          <w:rStyle w:val="Voetnootmarkering"/>
        </w:rPr>
        <w:footnoteReference w:id="29"/>
      </w:r>
    </w:p>
    <w:p w:rsidR="00AE69BA" w:rsidP="00AE69BA" w:rsidRDefault="00AE69BA" w14:paraId="44F93F33" w14:textId="77777777">
      <w:pPr>
        <w:spacing w:line="276" w:lineRule="auto"/>
        <w:rPr>
          <w:i/>
          <w:iCs/>
        </w:rPr>
      </w:pPr>
    </w:p>
    <w:p w:rsidRPr="00D73A29" w:rsidR="00AE69BA" w:rsidP="00AE69BA" w:rsidRDefault="00AE69BA" w14:paraId="28FA5860" w14:textId="77777777">
      <w:pPr>
        <w:spacing w:line="276" w:lineRule="auto"/>
        <w:rPr>
          <w:bCs/>
          <w:i/>
          <w:iCs/>
        </w:rPr>
      </w:pPr>
      <w:r w:rsidRPr="004D5EF9">
        <w:rPr>
          <w:i/>
          <w:iCs/>
        </w:rPr>
        <w:t>§</w:t>
      </w:r>
      <w:r w:rsidRPr="00D73A29">
        <w:rPr>
          <w:bCs/>
          <w:i/>
          <w:iCs/>
        </w:rPr>
        <w:t>7.1.</w:t>
      </w:r>
      <w:r>
        <w:rPr>
          <w:bCs/>
          <w:i/>
          <w:iCs/>
        </w:rPr>
        <w:t>6</w:t>
      </w:r>
      <w:r w:rsidRPr="00D73A29">
        <w:rPr>
          <w:bCs/>
          <w:i/>
          <w:iCs/>
        </w:rPr>
        <w:t xml:space="preserve"> </w:t>
      </w:r>
      <w:r>
        <w:rPr>
          <w:bCs/>
          <w:i/>
          <w:iCs/>
        </w:rPr>
        <w:t>UBO-register voor de BES-eilanden</w:t>
      </w:r>
    </w:p>
    <w:p w:rsidR="00AE69BA" w:rsidP="00AE69BA" w:rsidRDefault="00AE69BA" w14:paraId="271D3457" w14:textId="77777777">
      <w:pPr>
        <w:spacing w:line="276" w:lineRule="auto"/>
      </w:pPr>
    </w:p>
    <w:p w:rsidR="00AE69BA" w:rsidP="00AE69BA" w:rsidRDefault="00AE69BA" w14:paraId="266DC2CD" w14:textId="77777777">
      <w:pPr>
        <w:spacing w:line="276" w:lineRule="auto"/>
      </w:pPr>
      <w:r>
        <w:t>Er is tevens een reactie ontvangen die ziet op de BES-eilanden. Opgemerkt wordt dat met dit besluit niet wordt geregeld dat overheidsorganisaties op de BES-eilanden toegang krijgen tot de UBO-registers en wanneer de BES-eilanden UBO-registers krijgen.</w:t>
      </w:r>
    </w:p>
    <w:p w:rsidR="00AE69BA" w:rsidP="00AE69BA" w:rsidRDefault="00AE69BA" w14:paraId="5BD6FA1A" w14:textId="77777777">
      <w:pPr>
        <w:spacing w:line="276" w:lineRule="auto"/>
      </w:pPr>
    </w:p>
    <w:p w:rsidRPr="000B47DA" w:rsidR="00AE69BA" w:rsidP="00AE69BA" w:rsidRDefault="00AE69BA" w14:paraId="6145AA29" w14:textId="3FFF5E2B">
      <w:pPr>
        <w:spacing w:line="276" w:lineRule="auto"/>
      </w:pPr>
      <w:r w:rsidRPr="000B47DA">
        <w:t>Op de BES-eilanden zijn de Europese anti-witwasrichtlijnen niet van toepassing en geldt een eigen wettelijk kader. Niet alle onderdelen van de anti-witwasaanpak in het Europese deel van Nederland zijn voor de BES-eilanden noodzakelijk, proportioneel of uitvoerbaar. Bij het opstellen van juridische kaders wordt de lokale context altijd meegewogen. Dit heeft ertoe geleid dat voor Caribisch Nederland vooralsnog geen UBO-register</w:t>
      </w:r>
      <w:r>
        <w:t>s zijn</w:t>
      </w:r>
      <w:r w:rsidR="00013045">
        <w:t xml:space="preserve"> </w:t>
      </w:r>
      <w:r w:rsidRPr="000B47DA">
        <w:t xml:space="preserve">ingericht. </w:t>
      </w:r>
    </w:p>
    <w:p w:rsidR="00AE69BA" w:rsidP="00AE69BA" w:rsidRDefault="00AE69BA" w14:paraId="489DC441" w14:textId="77777777">
      <w:pPr>
        <w:tabs>
          <w:tab w:val="left" w:pos="645"/>
        </w:tabs>
        <w:spacing w:line="276" w:lineRule="auto"/>
        <w:rPr>
          <w:bCs/>
        </w:rPr>
      </w:pPr>
    </w:p>
    <w:p w:rsidRPr="003364ED" w:rsidR="00AE69BA" w:rsidP="00AE69BA" w:rsidRDefault="00AE69BA" w14:paraId="677ED7E3" w14:textId="77777777">
      <w:pPr>
        <w:spacing w:line="276" w:lineRule="auto"/>
        <w:rPr>
          <w:i/>
          <w:iCs/>
          <w:szCs w:val="18"/>
        </w:rPr>
      </w:pPr>
      <w:r w:rsidRPr="004D5EF9">
        <w:rPr>
          <w:i/>
          <w:iCs/>
        </w:rPr>
        <w:t>§</w:t>
      </w:r>
      <w:r w:rsidRPr="003364ED">
        <w:rPr>
          <w:i/>
          <w:iCs/>
          <w:szCs w:val="18"/>
        </w:rPr>
        <w:t>7.2 Advies Autoriteit Persoonsgegevens</w:t>
      </w:r>
    </w:p>
    <w:p w:rsidRPr="00EA75C3" w:rsidR="00AE69BA" w:rsidP="00AE69BA" w:rsidRDefault="00AE69BA" w14:paraId="082D1D59" w14:textId="77777777">
      <w:pPr>
        <w:spacing w:line="276" w:lineRule="auto"/>
        <w:rPr>
          <w:szCs w:val="18"/>
        </w:rPr>
      </w:pPr>
      <w:r w:rsidRPr="00EA75C3">
        <w:rPr>
          <w:szCs w:val="18"/>
        </w:rPr>
        <w:t xml:space="preserve">Het ontwerp van dit besluit en nota van toelichting is conform artikel 36, vierde lid, AVG op 21 mei 2025 voor advies voorgelegd aan de Autoriteit Persoonsgegevens (AP). De AP heeft op 9 oktober 2025 haar advies uitgebracht. </w:t>
      </w:r>
    </w:p>
    <w:p w:rsidRPr="00EA75C3" w:rsidR="00AE69BA" w:rsidP="00AE69BA" w:rsidRDefault="00AE69BA" w14:paraId="45CB98CD" w14:textId="77777777">
      <w:pPr>
        <w:spacing w:line="276" w:lineRule="auto"/>
        <w:rPr>
          <w:szCs w:val="18"/>
        </w:rPr>
      </w:pPr>
    </w:p>
    <w:p w:rsidRPr="00EA75C3" w:rsidR="00AE69BA" w:rsidP="00AE69BA" w:rsidRDefault="00AE69BA" w14:paraId="2EB1D687" w14:textId="77777777">
      <w:pPr>
        <w:spacing w:line="276" w:lineRule="auto"/>
        <w:rPr>
          <w:szCs w:val="18"/>
        </w:rPr>
      </w:pPr>
      <w:r w:rsidRPr="00EA75C3">
        <w:rPr>
          <w:szCs w:val="18"/>
        </w:rPr>
        <w:t xml:space="preserve">De AP heeft slechts opmerkingen gemaakt ten aanzien </w:t>
      </w:r>
      <w:r>
        <w:rPr>
          <w:szCs w:val="18"/>
        </w:rPr>
        <w:t xml:space="preserve">van </w:t>
      </w:r>
      <w:r w:rsidRPr="00EA75C3">
        <w:rPr>
          <w:szCs w:val="18"/>
        </w:rPr>
        <w:t xml:space="preserve">het aanwijzen van DNB en de AFM in verband met de beoordeling van betrouwbaarheid en geschiktheid van een persoon op grond van de Wft of een vergelijkbare beoordeling op basis van een verordening als bedoeld in artikel 1:24, derde lid, of 1:25, derde lid, van die wet. </w:t>
      </w:r>
    </w:p>
    <w:p w:rsidRPr="00EA75C3" w:rsidR="00AE69BA" w:rsidP="00AE69BA" w:rsidRDefault="00AE69BA" w14:paraId="777FBBA7" w14:textId="77777777">
      <w:pPr>
        <w:spacing w:line="276" w:lineRule="auto"/>
        <w:rPr>
          <w:szCs w:val="18"/>
        </w:rPr>
      </w:pPr>
    </w:p>
    <w:p w:rsidRPr="00EA75C3" w:rsidR="00AE69BA" w:rsidP="00AE69BA" w:rsidRDefault="00AE69BA" w14:paraId="7A4EE1DC" w14:textId="77777777">
      <w:pPr>
        <w:spacing w:line="276" w:lineRule="auto"/>
        <w:rPr>
          <w:szCs w:val="18"/>
        </w:rPr>
      </w:pPr>
      <w:r w:rsidRPr="00EA75C3">
        <w:rPr>
          <w:szCs w:val="18"/>
        </w:rPr>
        <w:t>Volgens de AP is deze aanwijzing niet concreet genoeg. De AP meent dat er</w:t>
      </w:r>
      <w:r>
        <w:rPr>
          <w:szCs w:val="18"/>
        </w:rPr>
        <w:t xml:space="preserve"> </w:t>
      </w:r>
      <w:r w:rsidRPr="00EA75C3">
        <w:rPr>
          <w:szCs w:val="18"/>
        </w:rPr>
        <w:t xml:space="preserve">meer duidelijkheid wordt gegeven als het concept de betreffende artikelen uit de Wft en Europese verordeningen noemt. De AP noemt dat dit hier van belang is omdat wetgeving die inbreuk maakt op het recht op bescherming van persoonsgegevens, altijd duidelijk en nauwkeurig moet zijn en de toepassing daarvan voorspelbaar moet zijn voor degenen op wie deze wetgeving van toepassing is. De taak van beoordeling van betrouwbaarheid en geschiktheid van een persoon door DNB of de AFM voldoet volgens de AP niet aan het rechtszekerheidsvereiste. </w:t>
      </w:r>
    </w:p>
    <w:p w:rsidRPr="00EA75C3" w:rsidR="00AE69BA" w:rsidP="00AE69BA" w:rsidRDefault="00AE69BA" w14:paraId="3F3BC037" w14:textId="77777777">
      <w:pPr>
        <w:spacing w:line="276" w:lineRule="auto"/>
        <w:rPr>
          <w:szCs w:val="18"/>
        </w:rPr>
      </w:pPr>
    </w:p>
    <w:p w:rsidRPr="00EA75C3" w:rsidR="00AE69BA" w:rsidP="00AE69BA" w:rsidRDefault="00AE69BA" w14:paraId="7249CB3B" w14:textId="77777777">
      <w:pPr>
        <w:spacing w:line="276" w:lineRule="auto"/>
        <w:rPr>
          <w:szCs w:val="18"/>
        </w:rPr>
      </w:pPr>
      <w:r w:rsidRPr="00EA75C3">
        <w:rPr>
          <w:szCs w:val="18"/>
        </w:rPr>
        <w:t xml:space="preserve">Voor het uitbrengen van het advies door de AP, heeft het AP het ministerie per e-mail verzocht om de betreffende artikelen uit de Wft en Europese regelgeving te sturen, alsmede aan te geven waarom voor de vormgeving van deze bepaling is gekozen. Het ministerie heeft deze uitwerking met de AP gedeeld en hierbij aangegeven dat een uitwerking op artikelniveau in het besluit tot een onleesbare opsomming zou leiden. In het advies noemt de AP de leesbaarheid geen gerechtvaardigde reden om dit niet op artikelniveau uit te werken. </w:t>
      </w:r>
    </w:p>
    <w:p w:rsidRPr="00EA75C3" w:rsidR="00AE69BA" w:rsidP="00AE69BA" w:rsidRDefault="00AE69BA" w14:paraId="14067AB1" w14:textId="77777777">
      <w:pPr>
        <w:spacing w:line="276" w:lineRule="auto"/>
        <w:rPr>
          <w:szCs w:val="18"/>
        </w:rPr>
      </w:pPr>
    </w:p>
    <w:p w:rsidRPr="00EA75C3" w:rsidR="00AE69BA" w:rsidP="00AE69BA" w:rsidRDefault="00AE69BA" w14:paraId="579D8D46" w14:textId="68303B29">
      <w:pPr>
        <w:spacing w:line="276" w:lineRule="auto"/>
        <w:rPr>
          <w:szCs w:val="18"/>
        </w:rPr>
      </w:pPr>
      <w:r w:rsidRPr="00EA75C3">
        <w:rPr>
          <w:szCs w:val="18"/>
        </w:rPr>
        <w:t xml:space="preserve">Het kabinet </w:t>
      </w:r>
      <w:r>
        <w:rPr>
          <w:szCs w:val="18"/>
        </w:rPr>
        <w:t>deelt niet de opvatting</w:t>
      </w:r>
      <w:r w:rsidRPr="00EA75C3">
        <w:rPr>
          <w:szCs w:val="18"/>
        </w:rPr>
        <w:t xml:space="preserve"> </w:t>
      </w:r>
      <w:r>
        <w:rPr>
          <w:szCs w:val="18"/>
        </w:rPr>
        <w:t>van het</w:t>
      </w:r>
      <w:r w:rsidRPr="00EA75C3">
        <w:rPr>
          <w:szCs w:val="18"/>
        </w:rPr>
        <w:t xml:space="preserve"> AP dat er door deze manier van formuleren onvoldoende duidelijkheid wordt gegeven over de reikwijdte van de bevoegdheid om UBO-gegevens in te zien</w:t>
      </w:r>
      <w:r>
        <w:rPr>
          <w:szCs w:val="18"/>
        </w:rPr>
        <w:t>.</w:t>
      </w:r>
      <w:r w:rsidRPr="00EA75C3">
        <w:rPr>
          <w:szCs w:val="18"/>
        </w:rPr>
        <w:t xml:space="preserve"> </w:t>
      </w:r>
      <w:r w:rsidRPr="00EA75C3">
        <w:rPr>
          <w:bCs/>
          <w:szCs w:val="18"/>
        </w:rPr>
        <w:t xml:space="preserve">Toegang tot de gegevens is </w:t>
      </w:r>
      <w:r>
        <w:rPr>
          <w:bCs/>
          <w:i/>
          <w:iCs/>
          <w:szCs w:val="18"/>
        </w:rPr>
        <w:t xml:space="preserve">uitsluitend </w:t>
      </w:r>
      <w:r w:rsidRPr="00EA75C3">
        <w:rPr>
          <w:bCs/>
          <w:szCs w:val="18"/>
        </w:rPr>
        <w:t xml:space="preserve">gerechtvaardigd in verband met het beoordelen van betrouwbaarheid en geschiktheid van personen ingevolge de Wet op het financieel toezicht of een </w:t>
      </w:r>
      <w:r w:rsidRPr="00EA75C3">
        <w:rPr>
          <w:szCs w:val="18"/>
        </w:rPr>
        <w:t>vergelijkbare beoordeling op basis van een verordening als bedoeld in artikel 1:24, derde lid of artikel 1:25, derde lid van de Wft</w:t>
      </w:r>
      <w:r w:rsidRPr="00EA75C3">
        <w:rPr>
          <w:bCs/>
          <w:szCs w:val="18"/>
        </w:rPr>
        <w:t>. Hiermee is de bevoegdheid van AFM en DNB wel degelijk duidelijk en voldoende afgebakend. Door het benoemen van de reden (namelijk beoordeling van betrouwbaarheid en geschiktheid) en het wettelijke kader (de Wft of een verordening waar DNB of AFM belast is met de uitvoering en handhaving van de verordening) is het voor de geraadpleegde voldoende duidelijk op welke gronden dit door AFM en DNB kan worden gedaan. Het kabinet meent dat met deze afbakening wel aan het vereiste van rechtszekerheid is voldaan.</w:t>
      </w:r>
    </w:p>
    <w:p w:rsidRPr="00EA75C3" w:rsidR="00AE69BA" w:rsidP="00AE69BA" w:rsidRDefault="00AE69BA" w14:paraId="5241A061" w14:textId="77777777">
      <w:pPr>
        <w:spacing w:line="276" w:lineRule="auto"/>
        <w:rPr>
          <w:szCs w:val="18"/>
        </w:rPr>
      </w:pPr>
    </w:p>
    <w:p w:rsidR="00AE69BA" w:rsidP="00AE69BA" w:rsidRDefault="00AE69BA" w14:paraId="3AB27CEF" w14:textId="77777777">
      <w:pPr>
        <w:spacing w:line="276" w:lineRule="auto"/>
        <w:rPr>
          <w:szCs w:val="18"/>
        </w:rPr>
      </w:pPr>
      <w:r w:rsidRPr="00EA75C3">
        <w:rPr>
          <w:szCs w:val="18"/>
        </w:rPr>
        <w:t>Naast de argumenten dat het artikel lang en onleesbaar zou worden met een volledige opsomming, is richting de AP als argument aangedragen dat de regelgeving waar DNB en AFM mee te maken heeft, vaak te vinden is in Europese verordeningen en de regelgeving dus rechtstreeks doorwerkt. De voorgestelde formulering zorgt er</w:t>
      </w:r>
      <w:r>
        <w:rPr>
          <w:szCs w:val="18"/>
        </w:rPr>
        <w:t xml:space="preserve"> bovendien voor</w:t>
      </w:r>
      <w:r w:rsidRPr="00EA75C3">
        <w:rPr>
          <w:szCs w:val="18"/>
        </w:rPr>
        <w:t xml:space="preserve"> dat het besluit toekomstbestendig is. Wet en regelgeving omtrent financieel toezichtrecht volgt elkaar snel op. </w:t>
      </w:r>
    </w:p>
    <w:p w:rsidR="00AE69BA" w:rsidP="00AE69BA" w:rsidRDefault="00AE69BA" w14:paraId="6C6FB28A" w14:textId="77777777">
      <w:pPr>
        <w:spacing w:line="276" w:lineRule="auto"/>
        <w:rPr>
          <w:szCs w:val="18"/>
        </w:rPr>
      </w:pPr>
    </w:p>
    <w:p w:rsidR="00AE69BA" w:rsidP="00AE69BA" w:rsidRDefault="00AE69BA" w14:paraId="1421508C" w14:textId="77777777">
      <w:pPr>
        <w:spacing w:line="276" w:lineRule="auto"/>
        <w:rPr>
          <w:szCs w:val="18"/>
        </w:rPr>
      </w:pPr>
      <w:r w:rsidRPr="00EA75C3">
        <w:rPr>
          <w:szCs w:val="18"/>
        </w:rPr>
        <w:t>Het advies van de AP is wel aanleiding geweest om de toelichting op dit punt te aan te vullen en nader te verduidelijken in welke gevallen AFM en DNB van deze toegang gebruik kunnen maken. Zie paragraaf 2.4 van de toelichting.</w:t>
      </w:r>
    </w:p>
    <w:p w:rsidR="00AE69BA" w:rsidP="00AE69BA" w:rsidRDefault="00AE69BA" w14:paraId="11CCD8BD" w14:textId="77777777">
      <w:pPr>
        <w:spacing w:line="276" w:lineRule="auto"/>
        <w:rPr>
          <w:szCs w:val="18"/>
        </w:rPr>
      </w:pPr>
    </w:p>
    <w:p w:rsidR="00AE69BA" w:rsidP="00AE69BA" w:rsidRDefault="00AE69BA" w14:paraId="6F80BB7C" w14:textId="77777777">
      <w:pPr>
        <w:spacing w:line="276" w:lineRule="auto"/>
        <w:rPr>
          <w:b/>
        </w:rPr>
      </w:pPr>
    </w:p>
    <w:p w:rsidR="00AE69BA" w:rsidP="00AE69BA" w:rsidRDefault="00AE69BA" w14:paraId="38A576C3" w14:textId="77777777">
      <w:pPr>
        <w:spacing w:line="276" w:lineRule="auto"/>
      </w:pPr>
      <w:r>
        <w:rPr>
          <w:b/>
        </w:rPr>
        <w:t>Artikelsgewijs</w:t>
      </w:r>
    </w:p>
    <w:p w:rsidR="00AE69BA" w:rsidP="00AE69BA" w:rsidRDefault="00AE69BA" w14:paraId="3EC9F447" w14:textId="77777777">
      <w:pPr>
        <w:spacing w:line="276" w:lineRule="auto"/>
      </w:pPr>
    </w:p>
    <w:p w:rsidRPr="00E319AA" w:rsidR="00AE69BA" w:rsidP="00AE69BA" w:rsidRDefault="00AE69BA" w14:paraId="64AD0EAC" w14:textId="77777777">
      <w:pPr>
        <w:spacing w:line="276" w:lineRule="auto"/>
        <w:rPr>
          <w:b/>
        </w:rPr>
      </w:pPr>
      <w:r>
        <w:rPr>
          <w:b/>
        </w:rPr>
        <w:t>ARTIKEL I (Handelsregisterbesluit 2008)</w:t>
      </w:r>
    </w:p>
    <w:p w:rsidR="00AE69BA" w:rsidP="00AE69BA" w:rsidRDefault="00AE69BA" w14:paraId="5E18D63E" w14:textId="77777777">
      <w:pPr>
        <w:spacing w:line="276" w:lineRule="auto"/>
      </w:pPr>
    </w:p>
    <w:p w:rsidR="00AE69BA" w:rsidP="00AE69BA" w:rsidRDefault="00AE69BA" w14:paraId="79DFE8BA" w14:textId="77777777">
      <w:pPr>
        <w:spacing w:line="276" w:lineRule="auto"/>
      </w:pPr>
      <w:r>
        <w:t>A</w:t>
      </w:r>
    </w:p>
    <w:p w:rsidR="00AE69BA" w:rsidP="00AE69BA" w:rsidRDefault="00AE69BA" w14:paraId="1DF03077" w14:textId="77777777">
      <w:pPr>
        <w:spacing w:line="276" w:lineRule="auto"/>
      </w:pPr>
    </w:p>
    <w:p w:rsidR="00AE69BA" w:rsidP="00AE69BA" w:rsidRDefault="00AE69BA" w14:paraId="228019AD" w14:textId="77777777">
      <w:pPr>
        <w:spacing w:line="276" w:lineRule="auto"/>
      </w:pPr>
      <w:r>
        <w:t>Met deze aanpassing wordt de toegang voor de Douane als bevoegde autoriteit vastgelegd.</w:t>
      </w:r>
    </w:p>
    <w:p w:rsidR="00AE69BA" w:rsidP="00AE69BA" w:rsidRDefault="00AE69BA" w14:paraId="2765D086" w14:textId="77777777">
      <w:pPr>
        <w:spacing w:line="276" w:lineRule="auto"/>
      </w:pPr>
    </w:p>
    <w:p w:rsidR="00AE69BA" w:rsidP="00AE69BA" w:rsidRDefault="00AE69BA" w14:paraId="07FD73E2" w14:textId="77777777">
      <w:pPr>
        <w:spacing w:line="276" w:lineRule="auto"/>
      </w:pPr>
      <w:r>
        <w:t>B</w:t>
      </w:r>
    </w:p>
    <w:p w:rsidR="00AE69BA" w:rsidP="00AE69BA" w:rsidRDefault="00AE69BA" w14:paraId="2153585B" w14:textId="77777777">
      <w:pPr>
        <w:spacing w:line="276" w:lineRule="auto"/>
      </w:pPr>
    </w:p>
    <w:p w:rsidR="00AE69BA" w:rsidP="00AE69BA" w:rsidRDefault="00AE69BA" w14:paraId="157157D4" w14:textId="77777777">
      <w:pPr>
        <w:spacing w:line="276" w:lineRule="auto"/>
      </w:pPr>
      <w:r w:rsidRPr="002433C2">
        <w:t>Met het nieuwe artikel 51a</w:t>
      </w:r>
      <w:r>
        <w:t>a</w:t>
      </w:r>
      <w:r w:rsidRPr="002433C2">
        <w:t xml:space="preserve"> zijn </w:t>
      </w:r>
      <w:r>
        <w:t>de</w:t>
      </w:r>
      <w:r w:rsidRPr="004432F9">
        <w:t xml:space="preserve"> bestuursorga</w:t>
      </w:r>
      <w:r>
        <w:t>nen</w:t>
      </w:r>
      <w:r w:rsidRPr="004432F9">
        <w:t xml:space="preserve"> en rechtsperso</w:t>
      </w:r>
      <w:r>
        <w:t>nen</w:t>
      </w:r>
      <w:r w:rsidRPr="004432F9">
        <w:t xml:space="preserve"> met een overheidstaak</w:t>
      </w:r>
      <w:r w:rsidRPr="002433C2">
        <w:t xml:space="preserve"> </w:t>
      </w:r>
      <w:r>
        <w:t xml:space="preserve">aangewezen die toegang hebben tot de in </w:t>
      </w:r>
      <w:r w:rsidRPr="00CB7AB0">
        <w:rPr>
          <w:szCs w:val="18"/>
        </w:rPr>
        <w:t>artikel 15a, tweede lid,</w:t>
      </w:r>
      <w:r>
        <w:rPr>
          <w:szCs w:val="18"/>
        </w:rPr>
        <w:t xml:space="preserve"> </w:t>
      </w:r>
      <w:r w:rsidRPr="00CB7AB0">
        <w:rPr>
          <w:szCs w:val="18"/>
        </w:rPr>
        <w:t xml:space="preserve"> genoemde gegevens en de in artikel 15a, derde lid,</w:t>
      </w:r>
      <w:r>
        <w:rPr>
          <w:szCs w:val="18"/>
        </w:rPr>
        <w:t xml:space="preserve"> genoemde bescheiden van de Handelsregisterwet 2007</w:t>
      </w:r>
      <w:r w:rsidRPr="002433C2">
        <w:t xml:space="preserve">. </w:t>
      </w:r>
    </w:p>
    <w:p w:rsidR="00AE69BA" w:rsidP="00AE69BA" w:rsidRDefault="00AE69BA" w14:paraId="38431F68" w14:textId="77777777">
      <w:pPr>
        <w:spacing w:line="276" w:lineRule="auto"/>
        <w:rPr>
          <w:i/>
          <w:iCs/>
        </w:rPr>
      </w:pPr>
    </w:p>
    <w:p w:rsidRPr="00C90CA3" w:rsidR="00AE69BA" w:rsidP="00AE69BA" w:rsidRDefault="00AE69BA" w14:paraId="0218A5E3" w14:textId="77777777">
      <w:pPr>
        <w:spacing w:line="276" w:lineRule="auto"/>
      </w:pPr>
      <w:r>
        <w:t>Deze aangewezen bestuursorganen en rechtspersonen met overheidstaak krijgen ook toegang tot de aanvullende gegevens en krijgen de mogelijkheid om de KVK te verzoeken om de informatie te rangschikken naar natuurlijke personen. Beide functionaliteiten kunnen noodzakelijk zijn in het kader van de overheidstaak waarmee zij zijn belast. Tevens dienen zij melding te maken bij de KVK, wanneer zij stuiten op UBO-informatie die blijkt af te wijken van de UBO-informatie die in de UBO-registers is opgenomen.</w:t>
      </w:r>
    </w:p>
    <w:p w:rsidR="00AE69BA" w:rsidP="00AE69BA" w:rsidRDefault="00AE69BA" w14:paraId="06A0A56C" w14:textId="77777777">
      <w:pPr>
        <w:spacing w:line="276" w:lineRule="auto"/>
      </w:pPr>
    </w:p>
    <w:p w:rsidR="00AE69BA" w:rsidP="00AE69BA" w:rsidRDefault="00AE69BA" w14:paraId="5BF6DD4D" w14:textId="77777777">
      <w:pPr>
        <w:spacing w:line="276" w:lineRule="auto"/>
      </w:pPr>
      <w:r>
        <w:t>C</w:t>
      </w:r>
    </w:p>
    <w:p w:rsidR="00AE69BA" w:rsidP="00AE69BA" w:rsidRDefault="00AE69BA" w14:paraId="2894C53B" w14:textId="77777777">
      <w:pPr>
        <w:spacing w:line="276" w:lineRule="auto"/>
      </w:pPr>
    </w:p>
    <w:p w:rsidR="00AE69BA" w:rsidP="00AE69BA" w:rsidRDefault="00AE69BA" w14:paraId="6E5F330F" w14:textId="77777777">
      <w:pPr>
        <w:spacing w:line="276" w:lineRule="auto"/>
      </w:pPr>
      <w:r w:rsidRPr="00854A08">
        <w:t xml:space="preserve">Met artikel 51b is geregeld dat in bepaalde limitatieve gevallen </w:t>
      </w:r>
      <w:r>
        <w:t xml:space="preserve">bepaalde </w:t>
      </w:r>
      <w:r w:rsidRPr="00854A08">
        <w:t xml:space="preserve">gegevens van een UBO afgeschermd kunnen worden. </w:t>
      </w:r>
    </w:p>
    <w:p w:rsidR="00AE69BA" w:rsidP="00AE69BA" w:rsidRDefault="00AE69BA" w14:paraId="5536C35B" w14:textId="77777777">
      <w:pPr>
        <w:spacing w:line="276" w:lineRule="auto"/>
      </w:pPr>
    </w:p>
    <w:p w:rsidR="00AE69BA" w:rsidP="00AE69BA" w:rsidRDefault="00AE69BA" w14:paraId="30F14C1B" w14:textId="77777777">
      <w:pPr>
        <w:spacing w:line="276" w:lineRule="auto"/>
        <w:rPr>
          <w:szCs w:val="18"/>
        </w:rPr>
      </w:pPr>
      <w:r w:rsidRPr="00854A08">
        <w:t>Met deze wijziging</w:t>
      </w:r>
      <w:r>
        <w:t xml:space="preserve"> worden </w:t>
      </w:r>
      <w:r w:rsidRPr="004432F9">
        <w:t>bestuursorgaan en rechtspersoon met een overheidstaak</w:t>
      </w:r>
      <w:r>
        <w:rPr>
          <w:szCs w:val="18"/>
        </w:rPr>
        <w:t xml:space="preserve">, als bedoeld in artikel 51aa, toegevoegd aan de groep die toegang krijgen tot afgeschermde gegevens. </w:t>
      </w:r>
      <w:r w:rsidRPr="002D5726">
        <w:rPr>
          <w:szCs w:val="18"/>
        </w:rPr>
        <w:t xml:space="preserve">Daarnaast wordt geregeld dat de Wwft-instellingen die op basis van artikel </w:t>
      </w:r>
      <w:r>
        <w:rPr>
          <w:szCs w:val="18"/>
        </w:rPr>
        <w:t>51b</w:t>
      </w:r>
      <w:r w:rsidRPr="002D5726">
        <w:rPr>
          <w:szCs w:val="18"/>
        </w:rPr>
        <w:t xml:space="preserve"> van de afgeschermde UBO-gegevens mogen inzien, dit ook kunnen voor zover zij toegang krijgen in het kader van afdeling 5 van de Sanctiewet 1977.</w:t>
      </w:r>
      <w:r>
        <w:rPr>
          <w:szCs w:val="18"/>
        </w:rPr>
        <w:t xml:space="preserve"> Tevens wordt geregeld dat </w:t>
      </w:r>
      <w:r w:rsidRPr="00C171C6">
        <w:rPr>
          <w:szCs w:val="18"/>
        </w:rPr>
        <w:t>de instellingen, genoemd in artikel 11, eerste lid, onderdelen e tot en met h, van Richtlijn (EU) 2024/1640</w:t>
      </w:r>
      <w:r>
        <w:rPr>
          <w:rStyle w:val="Voetnootmarkering"/>
          <w:szCs w:val="18"/>
        </w:rPr>
        <w:footnoteReference w:id="30"/>
      </w:r>
      <w:r>
        <w:rPr>
          <w:szCs w:val="18"/>
        </w:rPr>
        <w:t xml:space="preserve"> toegang krijgen tot afgeschermde gegevens.</w:t>
      </w:r>
    </w:p>
    <w:p w:rsidRPr="009D04F9" w:rsidR="00AE69BA" w:rsidP="00AE69BA" w:rsidRDefault="00AE69BA" w14:paraId="34017DAD" w14:textId="77777777">
      <w:pPr>
        <w:spacing w:line="276" w:lineRule="auto"/>
      </w:pPr>
      <w:r>
        <w:rPr>
          <w:szCs w:val="18"/>
        </w:rPr>
        <w:t xml:space="preserve">Dit sluit aan bij het artikel 10, eerste lid van de </w:t>
      </w:r>
      <w:r w:rsidRPr="009D04F9">
        <w:rPr>
          <w:szCs w:val="18"/>
        </w:rPr>
        <w:t>Implementatiewet registratie uiteindelijk belanghebbenden van trusts en soortgelijke juridische constructies</w:t>
      </w:r>
      <w:r>
        <w:rPr>
          <w:szCs w:val="18"/>
        </w:rPr>
        <w:t>.</w:t>
      </w:r>
    </w:p>
    <w:p w:rsidR="00AE69BA" w:rsidP="00AE69BA" w:rsidRDefault="00AE69BA" w14:paraId="383F35D5" w14:textId="77777777">
      <w:pPr>
        <w:spacing w:line="276" w:lineRule="auto"/>
        <w:rPr>
          <w:b/>
          <w:bCs/>
        </w:rPr>
      </w:pPr>
    </w:p>
    <w:p w:rsidRPr="009755E5" w:rsidR="00AE69BA" w:rsidP="00AE69BA" w:rsidRDefault="00AE69BA" w14:paraId="6C00FA01" w14:textId="77777777">
      <w:pPr>
        <w:spacing w:line="276" w:lineRule="auto"/>
        <w:rPr>
          <w:b/>
          <w:bCs/>
        </w:rPr>
      </w:pPr>
      <w:r w:rsidRPr="0055706C">
        <w:rPr>
          <w:b/>
          <w:bCs/>
        </w:rPr>
        <w:t>Artikel II</w:t>
      </w:r>
      <w:r>
        <w:rPr>
          <w:b/>
          <w:bCs/>
        </w:rPr>
        <w:t xml:space="preserve"> (</w:t>
      </w:r>
      <w:r w:rsidRPr="0008747C">
        <w:rPr>
          <w:b/>
          <w:bCs/>
        </w:rPr>
        <w:t>Implementatiebesluit registratie uiteindelijk belanghebbenden van trusts en soortgelijke juridische constructies</w:t>
      </w:r>
      <w:r>
        <w:rPr>
          <w:b/>
          <w:bCs/>
        </w:rPr>
        <w:t>)</w:t>
      </w:r>
    </w:p>
    <w:p w:rsidR="00AE69BA" w:rsidP="00AE69BA" w:rsidRDefault="00AE69BA" w14:paraId="7C83D918" w14:textId="77777777">
      <w:pPr>
        <w:spacing w:line="276" w:lineRule="auto"/>
      </w:pPr>
    </w:p>
    <w:p w:rsidR="00AE69BA" w:rsidP="00AE69BA" w:rsidRDefault="00AE69BA" w14:paraId="692C5ABD" w14:textId="77777777">
      <w:pPr>
        <w:spacing w:line="276" w:lineRule="auto"/>
      </w:pPr>
      <w:r>
        <w:t>A</w:t>
      </w:r>
    </w:p>
    <w:p w:rsidR="00AE69BA" w:rsidP="00AE69BA" w:rsidRDefault="00AE69BA" w14:paraId="65A1E996" w14:textId="77777777">
      <w:pPr>
        <w:spacing w:line="276" w:lineRule="auto"/>
      </w:pPr>
    </w:p>
    <w:p w:rsidR="00AE69BA" w:rsidP="00AE69BA" w:rsidRDefault="00AE69BA" w14:paraId="0F8B1309" w14:textId="77777777">
      <w:pPr>
        <w:spacing w:line="276" w:lineRule="auto"/>
      </w:pPr>
      <w:r>
        <w:t xml:space="preserve">Met deze aanpassing wordt beoogd dat ook de aangewezen bestuursorganen en rechtspersonen </w:t>
      </w:r>
      <w:r w:rsidRPr="00714925">
        <w:t xml:space="preserve">tot tien jaar nadat de gronden voor de registratie van die gegevens en bescheiden hebben opgehouden te bestaan, toegang hebben tot </w:t>
      </w:r>
      <w:r>
        <w:t>de</w:t>
      </w:r>
      <w:r w:rsidRPr="00714925">
        <w:t xml:space="preserve"> gegevens en bescheiden</w:t>
      </w:r>
      <w:r>
        <w:t xml:space="preserve"> als </w:t>
      </w:r>
      <w:r w:rsidRPr="00714925">
        <w:t xml:space="preserve">bedoeld in artikel 5, eerste, derde en vierde lid, </w:t>
      </w:r>
      <w:r>
        <w:t>Implementatiewet registratie uiteindelijk belanghebbenden van trusts en soortgelijke juridische constructies.</w:t>
      </w:r>
    </w:p>
    <w:p w:rsidR="00AE69BA" w:rsidP="00AE69BA" w:rsidRDefault="00AE69BA" w14:paraId="6565F731" w14:textId="77777777">
      <w:pPr>
        <w:spacing w:line="276" w:lineRule="auto"/>
      </w:pPr>
    </w:p>
    <w:p w:rsidR="00AE69BA" w:rsidP="00AE69BA" w:rsidRDefault="00AE69BA" w14:paraId="13C8F21D" w14:textId="77777777">
      <w:pPr>
        <w:spacing w:line="276" w:lineRule="auto"/>
      </w:pPr>
      <w:r>
        <w:t>B</w:t>
      </w:r>
    </w:p>
    <w:p w:rsidR="00AE69BA" w:rsidP="00AE69BA" w:rsidRDefault="00AE69BA" w14:paraId="1EFCF7D0" w14:textId="77777777">
      <w:pPr>
        <w:spacing w:line="276" w:lineRule="auto"/>
      </w:pPr>
    </w:p>
    <w:p w:rsidR="00AE69BA" w:rsidP="00AE69BA" w:rsidRDefault="00AE69BA" w14:paraId="69BB9FA8" w14:textId="77777777">
      <w:pPr>
        <w:spacing w:line="276" w:lineRule="auto"/>
      </w:pPr>
      <w:r>
        <w:t>Met deze aanpassing wordt de toegang voor de Douane als bevoegde autoriteit vastgelegd.</w:t>
      </w:r>
    </w:p>
    <w:p w:rsidR="00AE69BA" w:rsidP="00AE69BA" w:rsidRDefault="00AE69BA" w14:paraId="5DE8D99B" w14:textId="77777777">
      <w:pPr>
        <w:spacing w:line="276" w:lineRule="auto"/>
      </w:pPr>
    </w:p>
    <w:p w:rsidR="00AE69BA" w:rsidP="00AE69BA" w:rsidRDefault="00AE69BA" w14:paraId="48F0E686" w14:textId="77777777">
      <w:pPr>
        <w:spacing w:line="276" w:lineRule="auto"/>
      </w:pPr>
      <w:r>
        <w:t>C</w:t>
      </w:r>
    </w:p>
    <w:p w:rsidR="00AE69BA" w:rsidP="00AE69BA" w:rsidRDefault="00AE69BA" w14:paraId="5CC88D00" w14:textId="77777777">
      <w:pPr>
        <w:spacing w:line="276" w:lineRule="auto"/>
      </w:pPr>
    </w:p>
    <w:p w:rsidR="00AE69BA" w:rsidP="00AE69BA" w:rsidRDefault="00AE69BA" w14:paraId="14D62F8A" w14:textId="77777777">
      <w:pPr>
        <w:spacing w:line="276" w:lineRule="auto"/>
        <w:rPr>
          <w:bCs/>
          <w:szCs w:val="18"/>
        </w:rPr>
      </w:pPr>
      <w:r w:rsidRPr="002433C2">
        <w:t xml:space="preserve">Met het nieuwe artikel </w:t>
      </w:r>
      <w:r>
        <w:t>6a</w:t>
      </w:r>
      <w:r w:rsidRPr="002433C2">
        <w:t xml:space="preserve"> zijn </w:t>
      </w:r>
      <w:r>
        <w:t>de</w:t>
      </w:r>
      <w:r w:rsidRPr="004432F9">
        <w:t xml:space="preserve"> bestuursorga</w:t>
      </w:r>
      <w:r>
        <w:t>nen</w:t>
      </w:r>
      <w:r w:rsidRPr="004432F9">
        <w:t xml:space="preserve"> en rechtsperso</w:t>
      </w:r>
      <w:r>
        <w:t>nen</w:t>
      </w:r>
      <w:r w:rsidRPr="004432F9">
        <w:t xml:space="preserve"> met een overheidstaak</w:t>
      </w:r>
      <w:r w:rsidRPr="002433C2">
        <w:t xml:space="preserve"> </w:t>
      </w:r>
      <w:r>
        <w:t xml:space="preserve">aangewezen die toegang hebben tot de in </w:t>
      </w:r>
      <w:r w:rsidRPr="00CB7AB0">
        <w:rPr>
          <w:bCs/>
          <w:szCs w:val="18"/>
        </w:rPr>
        <w:t xml:space="preserve">artikel </w:t>
      </w:r>
      <w:r>
        <w:rPr>
          <w:bCs/>
          <w:szCs w:val="18"/>
        </w:rPr>
        <w:t>5</w:t>
      </w:r>
      <w:r w:rsidRPr="00CB7AB0">
        <w:rPr>
          <w:bCs/>
          <w:szCs w:val="18"/>
        </w:rPr>
        <w:t xml:space="preserve"> bedoelde gegevens</w:t>
      </w:r>
      <w:r>
        <w:rPr>
          <w:bCs/>
          <w:szCs w:val="18"/>
        </w:rPr>
        <w:t xml:space="preserve"> en bescheiden van </w:t>
      </w:r>
      <w:r w:rsidRPr="00BA2A55">
        <w:rPr>
          <w:bCs/>
          <w:szCs w:val="18"/>
        </w:rPr>
        <w:t>de Implementatiewet registratie uiteindelijk belanghebbenden van trusts en soortgelijke juridische constructies.</w:t>
      </w:r>
    </w:p>
    <w:p w:rsidR="00AE69BA" w:rsidP="00AE69BA" w:rsidRDefault="00AE69BA" w14:paraId="77EA823E" w14:textId="77777777">
      <w:pPr>
        <w:spacing w:line="276" w:lineRule="auto"/>
        <w:rPr>
          <w:bCs/>
          <w:szCs w:val="18"/>
        </w:rPr>
      </w:pPr>
    </w:p>
    <w:p w:rsidR="00AE69BA" w:rsidP="00AE69BA" w:rsidRDefault="00AE69BA" w14:paraId="7A937ECE" w14:textId="77777777">
      <w:pPr>
        <w:spacing w:line="276" w:lineRule="auto"/>
      </w:pPr>
    </w:p>
    <w:p w:rsidRPr="00775144" w:rsidR="00AE69BA" w:rsidP="00AE69BA" w:rsidRDefault="00AE69BA" w14:paraId="07748F76" w14:textId="77777777">
      <w:pPr>
        <w:spacing w:line="276" w:lineRule="auto"/>
      </w:pPr>
      <w:r w:rsidRPr="0055706C">
        <w:rPr>
          <w:b/>
          <w:bCs/>
        </w:rPr>
        <w:t>Artikel III</w:t>
      </w:r>
      <w:r>
        <w:rPr>
          <w:b/>
          <w:bCs/>
        </w:rPr>
        <w:t xml:space="preserve"> (</w:t>
      </w:r>
      <w:r w:rsidRPr="007E797D">
        <w:rPr>
          <w:rFonts w:cs="Arial"/>
          <w:b/>
          <w:szCs w:val="18"/>
        </w:rPr>
        <w:t>Besluit veiligheidstoets investeringen, fusies en overnames</w:t>
      </w:r>
      <w:r>
        <w:rPr>
          <w:rFonts w:cs="Arial"/>
          <w:b/>
          <w:szCs w:val="18"/>
        </w:rPr>
        <w:t>)</w:t>
      </w:r>
    </w:p>
    <w:p w:rsidR="00AE69BA" w:rsidP="00AE69BA" w:rsidRDefault="00AE69BA" w14:paraId="1DB067A1" w14:textId="77777777">
      <w:pPr>
        <w:spacing w:line="276" w:lineRule="auto"/>
      </w:pPr>
    </w:p>
    <w:p w:rsidR="00AE69BA" w:rsidP="00AE69BA" w:rsidRDefault="00AE69BA" w14:paraId="13844317" w14:textId="77777777">
      <w:pPr>
        <w:spacing w:line="276" w:lineRule="auto"/>
        <w:rPr>
          <w:rFonts w:cs="Arial"/>
          <w:szCs w:val="18"/>
        </w:rPr>
      </w:pPr>
      <w:r w:rsidRPr="002C4465">
        <w:t xml:space="preserve">Nu BTI (Bureau Toetsing Investeringen) met onderhavig besluit toegang tot de </w:t>
      </w:r>
      <w:r>
        <w:t>UBO-</w:t>
      </w:r>
      <w:r w:rsidRPr="002C4465">
        <w:t>registers krijgt (zie artikel</w:t>
      </w:r>
      <w:r>
        <w:t xml:space="preserve"> 5</w:t>
      </w:r>
      <w:r w:rsidRPr="002C4465">
        <w:t xml:space="preserve">1aa </w:t>
      </w:r>
      <w:r w:rsidRPr="002C4465">
        <w:rPr>
          <w:bCs/>
        </w:rPr>
        <w:t>Handelsregisterbesluit 2008 en 6a Implementatiebesluit registratie uiteindelijk belanghebbenden van trusts en soortgelijke juridische constructies) kan dit artikel in</w:t>
      </w:r>
      <w:r w:rsidRPr="002C4465">
        <w:t xml:space="preserve"> </w:t>
      </w:r>
      <w:r w:rsidRPr="002C4465">
        <w:rPr>
          <w:rFonts w:cs="Arial"/>
          <w:szCs w:val="18"/>
        </w:rPr>
        <w:t>Besluit veiligheidstoets investeringen, fusies en overnames vervallen.</w:t>
      </w:r>
    </w:p>
    <w:p w:rsidR="00AE69BA" w:rsidP="00AE69BA" w:rsidRDefault="00AE69BA" w14:paraId="540E744A" w14:textId="77777777">
      <w:pPr>
        <w:spacing w:line="276" w:lineRule="auto"/>
        <w:rPr>
          <w:rFonts w:cs="Arial"/>
          <w:szCs w:val="18"/>
        </w:rPr>
      </w:pPr>
    </w:p>
    <w:p w:rsidR="00AE69BA" w:rsidP="00AE69BA" w:rsidRDefault="00AE69BA" w14:paraId="499017CB" w14:textId="77777777">
      <w:pPr>
        <w:spacing w:line="276" w:lineRule="auto"/>
        <w:rPr>
          <w:rFonts w:cs="Arial"/>
          <w:b/>
          <w:bCs/>
          <w:szCs w:val="18"/>
        </w:rPr>
      </w:pPr>
      <w:r w:rsidRPr="00E758DD">
        <w:rPr>
          <w:rFonts w:cs="Arial"/>
          <w:b/>
          <w:bCs/>
          <w:szCs w:val="18"/>
        </w:rPr>
        <w:t>ARTIKEL IV</w:t>
      </w:r>
      <w:r>
        <w:rPr>
          <w:rFonts w:cs="Arial"/>
          <w:b/>
          <w:bCs/>
          <w:szCs w:val="18"/>
        </w:rPr>
        <w:t xml:space="preserve"> (Samenloopbepaling)</w:t>
      </w:r>
    </w:p>
    <w:p w:rsidRPr="00E758DD" w:rsidR="00AE69BA" w:rsidP="00AE69BA" w:rsidRDefault="00AE69BA" w14:paraId="37EDA994" w14:textId="77777777">
      <w:pPr>
        <w:spacing w:line="276" w:lineRule="auto"/>
        <w:rPr>
          <w:rFonts w:cs="Arial"/>
          <w:b/>
          <w:bCs/>
          <w:szCs w:val="18"/>
        </w:rPr>
      </w:pPr>
    </w:p>
    <w:p w:rsidRPr="002C4465" w:rsidR="00AE69BA" w:rsidP="00AE69BA" w:rsidRDefault="00AE69BA" w14:paraId="338F5CA5" w14:textId="77777777">
      <w:pPr>
        <w:spacing w:line="276" w:lineRule="auto"/>
      </w:pPr>
      <w:r>
        <w:rPr>
          <w:szCs w:val="18"/>
        </w:rPr>
        <w:t xml:space="preserve">Dit onderdeel bevat een voorziening voor de in het wetsvoorstel </w:t>
      </w:r>
      <w:r w:rsidRPr="004C525C">
        <w:rPr>
          <w:szCs w:val="18"/>
        </w:rPr>
        <w:t>Wet implementatie richtlijn duurzaamheidsrapportering</w:t>
      </w:r>
      <w:r>
        <w:rPr>
          <w:szCs w:val="18"/>
        </w:rPr>
        <w:t xml:space="preserve"> opgenomen naamswijziging van de </w:t>
      </w:r>
      <w:r>
        <w:t xml:space="preserve">Wet </w:t>
      </w:r>
      <w:r w:rsidRPr="004C525C">
        <w:t>toezicht financiële verslaggeving</w:t>
      </w:r>
      <w:r>
        <w:t>.</w:t>
      </w:r>
    </w:p>
    <w:p w:rsidR="00AE69BA" w:rsidP="00AE69BA" w:rsidRDefault="00AE69BA" w14:paraId="1DE20387" w14:textId="77777777">
      <w:pPr>
        <w:spacing w:line="276" w:lineRule="auto"/>
        <w:rPr>
          <w:highlight w:val="yellow"/>
        </w:rPr>
      </w:pPr>
    </w:p>
    <w:p w:rsidR="00AE69BA" w:rsidP="00AE69BA" w:rsidRDefault="00AE69BA" w14:paraId="02AE26DE" w14:textId="77777777">
      <w:pPr>
        <w:widowControl w:val="0"/>
        <w:spacing w:line="276" w:lineRule="auto"/>
        <w:rPr>
          <w:b/>
          <w:szCs w:val="18"/>
        </w:rPr>
      </w:pPr>
      <w:r w:rsidRPr="00B37F00">
        <w:rPr>
          <w:b/>
          <w:szCs w:val="18"/>
        </w:rPr>
        <w:t>ARTIKEL</w:t>
      </w:r>
      <w:r>
        <w:rPr>
          <w:b/>
          <w:szCs w:val="18"/>
        </w:rPr>
        <w:t xml:space="preserve"> V (Inwerkingtreding)</w:t>
      </w:r>
    </w:p>
    <w:p w:rsidRPr="00B37F00" w:rsidR="00AE69BA" w:rsidP="00AE69BA" w:rsidRDefault="00AE69BA" w14:paraId="6E15B770" w14:textId="77777777">
      <w:pPr>
        <w:widowControl w:val="0"/>
        <w:spacing w:line="276" w:lineRule="auto"/>
        <w:rPr>
          <w:b/>
          <w:szCs w:val="18"/>
        </w:rPr>
      </w:pPr>
    </w:p>
    <w:p w:rsidR="00AE69BA" w:rsidP="00AE69BA" w:rsidRDefault="00AE69BA" w14:paraId="522B24A5" w14:textId="77777777">
      <w:pPr>
        <w:spacing w:line="276" w:lineRule="auto"/>
      </w:pPr>
      <w:r>
        <w:rPr>
          <w:rFonts w:cs="Verdana"/>
          <w:szCs w:val="18"/>
        </w:rPr>
        <w:t>Dit onderdeel regelt dat de verschillende artikelen of onderdelen daarvan op verschillende tijdstippen in werking kunnen treden.</w:t>
      </w:r>
    </w:p>
    <w:p w:rsidRPr="00C26C4D" w:rsidR="00AE69BA" w:rsidP="00AE69BA" w:rsidRDefault="00AE69BA" w14:paraId="5C29C081" w14:textId="77777777">
      <w:pPr>
        <w:spacing w:line="276" w:lineRule="auto"/>
      </w:pPr>
    </w:p>
    <w:p w:rsidR="00AE69BA" w:rsidP="00AE69BA" w:rsidRDefault="00AE69BA" w14:paraId="48CB0AA6" w14:textId="77777777">
      <w:pPr>
        <w:spacing w:line="276" w:lineRule="auto"/>
      </w:pPr>
    </w:p>
    <w:p w:rsidR="00AE69BA" w:rsidP="00AE69BA" w:rsidRDefault="00AE69BA" w14:paraId="306470D3" w14:textId="77777777">
      <w:pPr>
        <w:spacing w:line="276" w:lineRule="auto"/>
      </w:pPr>
    </w:p>
    <w:p w:rsidR="00AE69BA" w:rsidP="00AE69BA" w:rsidRDefault="00AE69BA" w14:paraId="1849256C" w14:textId="77777777">
      <w:pPr>
        <w:spacing w:line="276" w:lineRule="auto"/>
      </w:pPr>
      <w:r w:rsidRPr="00C23029">
        <w:t>De Minister van Financiën,</w:t>
      </w:r>
    </w:p>
    <w:p w:rsidR="00AE69BA" w:rsidP="00AE69BA" w:rsidRDefault="00AE69BA" w14:paraId="492D60BF" w14:textId="77777777">
      <w:pPr>
        <w:pStyle w:val="broodtekst"/>
        <w:spacing w:line="276" w:lineRule="auto"/>
      </w:pPr>
    </w:p>
    <w:p w:rsidR="00AE69BA" w:rsidP="00AE69BA" w:rsidRDefault="00AE69BA" w14:paraId="6CE56849" w14:textId="77777777"/>
    <w:p w:rsidR="00832F2C" w:rsidP="00804665" w:rsidRDefault="00832F2C" w14:paraId="08F08BA9" w14:textId="77777777">
      <w:pPr>
        <w:pStyle w:val="broodtekst"/>
        <w:spacing w:line="276" w:lineRule="auto"/>
      </w:pPr>
    </w:p>
    <w:sectPr w:rsidR="00832F2C" w:rsidSect="00D97908">
      <w:headerReference w:type="even" r:id="rId12"/>
      <w:footerReference w:type="default" r:id="rId13"/>
      <w:type w:val="continuous"/>
      <w:pgSz w:w="11906" w:h="16838" w:code="9"/>
      <w:pgMar w:top="2546" w:right="1758" w:bottom="1758" w:left="2041" w:header="2398" w:footer="624"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9D9A" w14:textId="77777777" w:rsidR="008063DD" w:rsidRDefault="008063DD">
      <w:r>
        <w:separator/>
      </w:r>
    </w:p>
    <w:p w14:paraId="79BA1B0C" w14:textId="77777777" w:rsidR="008063DD" w:rsidRDefault="008063DD"/>
    <w:p w14:paraId="73AC902B" w14:textId="77777777" w:rsidR="008063DD" w:rsidRDefault="008063DD"/>
    <w:p w14:paraId="3E23C8B8" w14:textId="77777777" w:rsidR="008063DD" w:rsidRDefault="008063DD"/>
  </w:endnote>
  <w:endnote w:type="continuationSeparator" w:id="0">
    <w:p w14:paraId="62BE705A" w14:textId="77777777" w:rsidR="008063DD" w:rsidRDefault="008063DD">
      <w:r>
        <w:continuationSeparator/>
      </w:r>
    </w:p>
    <w:p w14:paraId="3EE9196B" w14:textId="77777777" w:rsidR="008063DD" w:rsidRDefault="008063DD"/>
    <w:p w14:paraId="0F80E6DB" w14:textId="77777777" w:rsidR="008063DD" w:rsidRDefault="008063DD"/>
    <w:p w14:paraId="5F250FE3" w14:textId="77777777" w:rsidR="008063DD" w:rsidRDefault="008063DD"/>
  </w:endnote>
  <w:endnote w:type="continuationNotice" w:id="1">
    <w:p w14:paraId="3227C489" w14:textId="77777777" w:rsidR="008063DD" w:rsidRDefault="008063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amp;W Syntax (Adobe)">
    <w:altName w:val="Arial"/>
    <w:charset w:val="00"/>
    <w:family w:val="swiss"/>
    <w:pitch w:val="variable"/>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IKME H+ Univers">
    <w:altName w:val="Univer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E2ED" w14:textId="77777777" w:rsidR="001859B1" w:rsidRDefault="001859B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B799C80" w14:textId="77777777" w:rsidR="001859B1" w:rsidRDefault="001859B1">
    <w:pPr>
      <w:pStyle w:val="Voettekst"/>
    </w:pPr>
  </w:p>
  <w:p w14:paraId="6375C4D2" w14:textId="77777777" w:rsidR="001859B1" w:rsidRDefault="001859B1"/>
  <w:tbl>
    <w:tblPr>
      <w:tblW w:w="9900" w:type="dxa"/>
      <w:tblLayout w:type="fixed"/>
      <w:tblCellMar>
        <w:left w:w="0" w:type="dxa"/>
        <w:right w:w="0" w:type="dxa"/>
      </w:tblCellMar>
      <w:tblLook w:val="0000" w:firstRow="0" w:lastRow="0" w:firstColumn="0" w:lastColumn="0" w:noHBand="0" w:noVBand="0"/>
    </w:tblPr>
    <w:tblGrid>
      <w:gridCol w:w="7752"/>
      <w:gridCol w:w="2148"/>
    </w:tblGrid>
    <w:tr w:rsidR="001859B1" w14:paraId="49A7A5E8" w14:textId="77777777">
      <w:trPr>
        <w:trHeight w:hRule="exact" w:val="240"/>
      </w:trPr>
      <w:tc>
        <w:tcPr>
          <w:tcW w:w="7752" w:type="dxa"/>
        </w:tcPr>
        <w:p w14:paraId="380CA2D4" w14:textId="77777777" w:rsidR="001859B1" w:rsidRDefault="001859B1">
          <w:pPr>
            <w:pStyle w:val="Huisstijl-Rubricering"/>
          </w:pPr>
          <w:r>
            <w:t>VERTROUWELIJK</w:t>
          </w:r>
        </w:p>
      </w:tc>
      <w:tc>
        <w:tcPr>
          <w:tcW w:w="2148" w:type="dxa"/>
        </w:tcPr>
        <w:p w14:paraId="57CF6021" w14:textId="77777777" w:rsidR="001859B1" w:rsidRDefault="001859B1">
          <w:pPr>
            <w:pStyle w:val="Huisstijl-Paginanummering"/>
          </w:pPr>
          <w:r>
            <w:rPr>
              <w:rStyle w:val="Huisstijl-GegevenCharChar"/>
            </w:rPr>
            <w:t>Pagina  van</w:t>
          </w:r>
          <w:r>
            <w:t xml:space="preserve"> </w:t>
          </w:r>
          <w:fldSimple w:instr=" NUMPAGES   \* MERGEFORMAT ">
            <w:r w:rsidR="00EE5E0D">
              <w:t>3</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859B1" w14:paraId="71376C9F" w14:textId="77777777">
      <w:trPr>
        <w:trHeight w:hRule="exact" w:val="240"/>
      </w:trPr>
      <w:tc>
        <w:tcPr>
          <w:tcW w:w="7752" w:type="dxa"/>
        </w:tcPr>
        <w:p w14:paraId="43C74CF7" w14:textId="06E90C75" w:rsidR="001859B1" w:rsidRDefault="001859B1">
          <w:pPr>
            <w:pStyle w:val="Huisstijl-Rubricering"/>
          </w:pPr>
          <w:r>
            <w:fldChar w:fldCharType="begin"/>
          </w:r>
          <w:r>
            <w:instrText xml:space="preserve"> DOCPROPERTY rubricering </w:instrText>
          </w:r>
          <w:r>
            <w:fldChar w:fldCharType="separate"/>
          </w:r>
          <w:r w:rsidR="00A607C2">
            <w:rPr>
              <w:b w:val="0"/>
              <w:bCs w:val="0"/>
            </w:rPr>
            <w:t>Fout! Onbekende naam voor documenteigenschap.</w:t>
          </w:r>
          <w:r>
            <w:fldChar w:fldCharType="end"/>
          </w:r>
        </w:p>
      </w:tc>
      <w:tc>
        <w:tcPr>
          <w:tcW w:w="2148" w:type="dxa"/>
        </w:tcPr>
        <w:p w14:paraId="4FE076B9" w14:textId="76190D98" w:rsidR="001859B1" w:rsidRDefault="001859B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607C2">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607C2">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tbl>
  <w:p w14:paraId="764F12A9" w14:textId="77777777" w:rsidR="001859B1" w:rsidRDefault="001859B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BBBB" w14:textId="77777777" w:rsidR="001859B1" w:rsidRDefault="001859B1">
    <w:pPr>
      <w:pStyle w:val="Huisstijl-Paginanummering"/>
      <w:rPr>
        <w:sz w:val="2"/>
      </w:rPr>
    </w:pPr>
  </w:p>
  <w:p w14:paraId="3D77B0E0" w14:textId="77777777" w:rsidR="001859B1" w:rsidRDefault="001859B1">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1C1D" w14:textId="77777777" w:rsidR="001859B1" w:rsidRDefault="001859B1">
    <w:pPr>
      <w:pStyle w:val="Voettekst"/>
      <w:spacing w:line="240" w:lineRule="auto"/>
      <w:rPr>
        <w:sz w:val="2"/>
        <w:szCs w:val="2"/>
      </w:rPr>
    </w:pPr>
  </w:p>
  <w:p w14:paraId="3A5182A4" w14:textId="77777777" w:rsidR="001859B1" w:rsidRDefault="001859B1">
    <w:pPr>
      <w:jc w:val="right"/>
      <w:rPr>
        <w:rStyle w:val="Huisstijl-GegevenCharChar"/>
      </w:rPr>
    </w:pPr>
    <w:r>
      <w:rPr>
        <w:rStyle w:val="Huisstijl-GegevenCharChar"/>
      </w:rPr>
      <w:fldChar w:fldCharType="begin"/>
    </w:r>
    <w:r>
      <w:rPr>
        <w:rStyle w:val="Huisstijl-GegevenCharChar"/>
      </w:rPr>
      <w:instrText xml:space="preserve"> PAGE </w:instrText>
    </w:r>
    <w:r>
      <w:rPr>
        <w:rStyle w:val="Huisstijl-GegevenCharChar"/>
      </w:rPr>
      <w:fldChar w:fldCharType="separate"/>
    </w:r>
    <w:r w:rsidR="007E2258">
      <w:rPr>
        <w:rStyle w:val="Huisstijl-GegevenCharChar"/>
      </w:rPr>
      <w:t>2</w:t>
    </w:r>
    <w:r>
      <w:rPr>
        <w:rStyle w:val="Huisstijl-GegevenCha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ABD8" w14:textId="77777777" w:rsidR="008063DD" w:rsidRDefault="008063DD">
      <w:r>
        <w:separator/>
      </w:r>
    </w:p>
  </w:footnote>
  <w:footnote w:type="continuationSeparator" w:id="0">
    <w:p w14:paraId="2C817957" w14:textId="77777777" w:rsidR="008063DD" w:rsidRDefault="008063DD">
      <w:r>
        <w:continuationSeparator/>
      </w:r>
    </w:p>
  </w:footnote>
  <w:footnote w:type="continuationNotice" w:id="1">
    <w:p w14:paraId="1AA47A0B" w14:textId="77777777" w:rsidR="008063DD" w:rsidRDefault="008063DD">
      <w:pPr>
        <w:spacing w:line="240" w:lineRule="auto"/>
      </w:pPr>
    </w:p>
  </w:footnote>
  <w:footnote w:id="2">
    <w:p w14:paraId="531EE25B" w14:textId="33A15ED2" w:rsidR="00D84950" w:rsidRPr="004341D4" w:rsidRDefault="00D84950" w:rsidP="00766342">
      <w:pPr>
        <w:pStyle w:val="Voetnoottekst"/>
        <w:spacing w:line="240" w:lineRule="auto"/>
        <w:rPr>
          <w:szCs w:val="16"/>
        </w:rPr>
      </w:pPr>
      <w:r w:rsidRPr="004341D4">
        <w:rPr>
          <w:rStyle w:val="Voetnootmarkering"/>
          <w:szCs w:val="16"/>
        </w:rPr>
        <w:footnoteRef/>
      </w:r>
      <w:r w:rsidRPr="004341D4">
        <w:rPr>
          <w:szCs w:val="16"/>
        </w:rPr>
        <w:t xml:space="preserve"> HvJ EU 22 november 2022, ECLI:EU:C:2022:912.</w:t>
      </w:r>
    </w:p>
  </w:footnote>
  <w:footnote w:id="3">
    <w:p w14:paraId="39DC821B" w14:textId="24353B7A" w:rsidR="005028EB" w:rsidRPr="004341D4" w:rsidRDefault="005028EB" w:rsidP="00766342">
      <w:pPr>
        <w:pStyle w:val="Default"/>
        <w:rPr>
          <w:rFonts w:ascii="Verdana" w:eastAsia="Calibri" w:hAnsi="Verdana" w:cs="EIKME H+ Univers"/>
          <w:sz w:val="16"/>
          <w:szCs w:val="16"/>
        </w:rPr>
      </w:pPr>
      <w:r w:rsidRPr="004341D4">
        <w:rPr>
          <w:rStyle w:val="Voetnootmarkering"/>
          <w:rFonts w:ascii="Verdana" w:hAnsi="Verdana"/>
          <w:color w:val="auto"/>
          <w:sz w:val="16"/>
          <w:szCs w:val="16"/>
        </w:rPr>
        <w:footnoteRef/>
      </w:r>
      <w:r w:rsidRPr="004341D4">
        <w:rPr>
          <w:rFonts w:ascii="Verdana" w:hAnsi="Verdana"/>
          <w:color w:val="auto"/>
          <w:sz w:val="16"/>
          <w:szCs w:val="16"/>
        </w:rPr>
        <w:t xml:space="preserve"> </w:t>
      </w:r>
      <w:r w:rsidRPr="004341D4">
        <w:rPr>
          <w:rFonts w:ascii="Verdana" w:eastAsia="Calibri" w:hAnsi="Verdana" w:cs="EIKME H+ Univers"/>
          <w:color w:val="auto"/>
          <w:sz w:val="16"/>
          <w:szCs w:val="16"/>
        </w:rPr>
        <w:t>Richtlijn (EU) 2018/843 van het Europees parlement en de Raad van 30 mei 2018 tot wijziging van Richtlijn (EU) 2015/849 inzake de voorkoming van het gebruik van het financiële stelsel voor het witwassen van geld of terrorismefinanciering, en tot wijziging van de Richtlijnen 2009/138/EG en 2013/36/EU.</w:t>
      </w:r>
    </w:p>
  </w:footnote>
  <w:footnote w:id="4">
    <w:p w14:paraId="73A61786" w14:textId="476EABEE" w:rsidR="00FF034C" w:rsidRPr="008E4094" w:rsidRDefault="00FF034C" w:rsidP="004341D4">
      <w:pPr>
        <w:spacing w:line="276" w:lineRule="auto"/>
        <w:rPr>
          <w:szCs w:val="16"/>
        </w:rPr>
      </w:pPr>
      <w:r w:rsidRPr="004341D4">
        <w:rPr>
          <w:rStyle w:val="Voetnootmarkering"/>
          <w:sz w:val="16"/>
          <w:szCs w:val="16"/>
        </w:rPr>
        <w:footnoteRef/>
      </w:r>
      <w:r w:rsidRPr="004341D4">
        <w:rPr>
          <w:sz w:val="16"/>
          <w:szCs w:val="16"/>
        </w:rPr>
        <w:t xml:space="preserve"> </w:t>
      </w:r>
      <w:r w:rsidR="002F4FD3">
        <w:rPr>
          <w:sz w:val="16"/>
          <w:szCs w:val="16"/>
        </w:rPr>
        <w:t>A</w:t>
      </w:r>
      <w:r w:rsidRPr="004341D4">
        <w:rPr>
          <w:sz w:val="16"/>
          <w:szCs w:val="16"/>
        </w:rPr>
        <w:t xml:space="preserve">rtikel 28, tweede lid, onderdeel d, van de Handelsregisterwet 2007 en artikel 7, tweede lid, onderdeel d, van de </w:t>
      </w:r>
      <w:r w:rsidRPr="004341D4">
        <w:rPr>
          <w:bCs/>
          <w:sz w:val="16"/>
          <w:szCs w:val="16"/>
        </w:rPr>
        <w:t xml:space="preserve">Implementatiewet registratie uiteindelijk belanghebbenden van trusts en soortgelijke juridische constructies. </w:t>
      </w:r>
    </w:p>
  </w:footnote>
  <w:footnote w:id="5">
    <w:p w14:paraId="296F4678" w14:textId="5BC29088" w:rsidR="00E16CC2" w:rsidRPr="00B846BF" w:rsidRDefault="00E16CC2" w:rsidP="00766342">
      <w:pPr>
        <w:pStyle w:val="Voetnoottekst"/>
        <w:spacing w:line="240" w:lineRule="auto"/>
        <w:rPr>
          <w:szCs w:val="16"/>
        </w:rPr>
      </w:pPr>
      <w:r w:rsidRPr="00B846BF">
        <w:rPr>
          <w:rStyle w:val="Voetnootmarkering"/>
          <w:szCs w:val="16"/>
        </w:rPr>
        <w:footnoteRef/>
      </w:r>
      <w:r w:rsidRPr="00B846BF">
        <w:rPr>
          <w:szCs w:val="16"/>
        </w:rPr>
        <w:t xml:space="preserve"> </w:t>
      </w:r>
      <w:r w:rsidR="00BA378B" w:rsidRPr="00B846BF">
        <w:rPr>
          <w:szCs w:val="16"/>
        </w:rPr>
        <w:t>Zie a</w:t>
      </w:r>
      <w:r w:rsidRPr="00B846BF">
        <w:rPr>
          <w:szCs w:val="16"/>
        </w:rPr>
        <w:t xml:space="preserve">rtikel 22a, </w:t>
      </w:r>
      <w:r w:rsidR="00620F42" w:rsidRPr="00B846BF">
        <w:rPr>
          <w:szCs w:val="16"/>
        </w:rPr>
        <w:t xml:space="preserve">tweede </w:t>
      </w:r>
      <w:r w:rsidRPr="00B846BF">
        <w:rPr>
          <w:szCs w:val="16"/>
        </w:rPr>
        <w:t>lid, Handelsregisterwet 2007</w:t>
      </w:r>
      <w:r w:rsidR="00D16784" w:rsidRPr="00B846BF">
        <w:rPr>
          <w:szCs w:val="16"/>
        </w:rPr>
        <w:t xml:space="preserve"> en artikel 7, derde lid, Implementatiewet registratie uiteindelijk belanghebbenden van trusts en soortgelijke juridische constructies </w:t>
      </w:r>
      <w:r w:rsidRPr="00B846BF">
        <w:rPr>
          <w:szCs w:val="16"/>
        </w:rPr>
        <w:t>.</w:t>
      </w:r>
    </w:p>
  </w:footnote>
  <w:footnote w:id="6">
    <w:p w14:paraId="30B74E6E" w14:textId="5630A559" w:rsidR="00A010C1" w:rsidRPr="00F168A9" w:rsidRDefault="00A010C1" w:rsidP="00766342">
      <w:pPr>
        <w:pStyle w:val="Voetnoottekst"/>
        <w:spacing w:line="240" w:lineRule="auto"/>
        <w:rPr>
          <w:szCs w:val="16"/>
        </w:rPr>
      </w:pPr>
      <w:r w:rsidRPr="00F168A9">
        <w:rPr>
          <w:rStyle w:val="Voetnootmarkering"/>
          <w:szCs w:val="16"/>
        </w:rPr>
        <w:footnoteRef/>
      </w:r>
      <w:r w:rsidRPr="00F168A9">
        <w:rPr>
          <w:szCs w:val="16"/>
        </w:rPr>
        <w:t xml:space="preserve"> </w:t>
      </w:r>
      <w:r w:rsidR="001D02EB" w:rsidRPr="00F168A9">
        <w:rPr>
          <w:szCs w:val="16"/>
        </w:rPr>
        <w:t xml:space="preserve">Kamerstukken II </w:t>
      </w:r>
      <w:r w:rsidR="00766342" w:rsidRPr="00F168A9">
        <w:rPr>
          <w:szCs w:val="16"/>
        </w:rPr>
        <w:t>2023</w:t>
      </w:r>
      <w:r w:rsidR="00EC1BB9" w:rsidRPr="00F168A9">
        <w:rPr>
          <w:szCs w:val="16"/>
        </w:rPr>
        <w:t>/</w:t>
      </w:r>
      <w:r w:rsidR="00766342" w:rsidRPr="00F168A9">
        <w:rPr>
          <w:szCs w:val="16"/>
        </w:rPr>
        <w:t>24, 36 584.</w:t>
      </w:r>
    </w:p>
  </w:footnote>
  <w:footnote w:id="7">
    <w:p w14:paraId="410EF37B" w14:textId="643B0E10" w:rsidR="004F7E47" w:rsidRPr="00C922BB" w:rsidRDefault="004F7E47" w:rsidP="00BF7F5E">
      <w:pPr>
        <w:pStyle w:val="Voetnoottekst"/>
        <w:spacing w:line="240" w:lineRule="auto"/>
        <w:rPr>
          <w:sz w:val="12"/>
          <w:szCs w:val="12"/>
        </w:rPr>
      </w:pPr>
      <w:r w:rsidRPr="00237716">
        <w:rPr>
          <w:rStyle w:val="Voetnootmarkering"/>
        </w:rPr>
        <w:footnoteRef/>
      </w:r>
      <w:r w:rsidRPr="00237716">
        <w:rPr>
          <w:rStyle w:val="Voetnootmarkering"/>
        </w:rPr>
        <w:t xml:space="preserve"> </w:t>
      </w:r>
      <w:r w:rsidRPr="00C922BB">
        <w:rPr>
          <w:szCs w:val="16"/>
        </w:rPr>
        <w:t xml:space="preserve">Richtlijn (EU) 2024/1640 van het </w:t>
      </w:r>
      <w:r w:rsidR="00726D42" w:rsidRPr="00C922BB">
        <w:rPr>
          <w:szCs w:val="16"/>
        </w:rPr>
        <w:t>E</w:t>
      </w:r>
      <w:r w:rsidRPr="00C922BB">
        <w:rPr>
          <w:szCs w:val="16"/>
        </w:rPr>
        <w:t xml:space="preserve">uropees parlement en de </w:t>
      </w:r>
      <w:r w:rsidR="00726D42" w:rsidRPr="00C922BB">
        <w:rPr>
          <w:szCs w:val="16"/>
        </w:rPr>
        <w:t>R</w:t>
      </w:r>
      <w:r w:rsidRPr="00C922BB">
        <w:rPr>
          <w:szCs w:val="16"/>
        </w:rPr>
        <w:t>aad van 31 mei 2024 betreffende de mechanismen die de lidstaten moeten invoeren om het gebruik van het financiële stelsel voor witwassen of terrorismefinanciering te voorkomen, tot wijziging van Richtlijn (EU) 2019/1937, en tot wijziging en intrekking van Richtlijn (EU) 2015/849 EU</w:t>
      </w:r>
      <w:r w:rsidR="009D1BB5" w:rsidRPr="00C922BB">
        <w:rPr>
          <w:szCs w:val="16"/>
        </w:rPr>
        <w:t xml:space="preserve"> en Verordening (EU) 2024/1624 van het Europees Parlement en de Raad van 31 mei 2024 tot voorkoming van het gebruik van het financiële stelsel voor witwassen of terrorismefinanciering.</w:t>
      </w:r>
    </w:p>
  </w:footnote>
  <w:footnote w:id="8">
    <w:p w14:paraId="63E54690" w14:textId="77777777" w:rsidR="00BC7DE1" w:rsidRPr="001C4F3C" w:rsidRDefault="00BC7DE1" w:rsidP="00DB5D7C">
      <w:pPr>
        <w:pStyle w:val="Voetnoottekst"/>
        <w:spacing w:line="240" w:lineRule="auto"/>
        <w:rPr>
          <w:sz w:val="12"/>
          <w:szCs w:val="12"/>
        </w:rPr>
      </w:pPr>
      <w:r w:rsidRPr="00C922BB">
        <w:rPr>
          <w:rStyle w:val="Voetnootmarkering"/>
          <w:szCs w:val="16"/>
        </w:rPr>
        <w:footnoteRef/>
      </w:r>
      <w:r w:rsidRPr="00C922BB">
        <w:rPr>
          <w:szCs w:val="16"/>
        </w:rPr>
        <w:t xml:space="preserve"> Artikel 6, vierde lid,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footnote>
  <w:footnote w:id="9">
    <w:p w14:paraId="1078C08B" w14:textId="5EDED1A7" w:rsidR="00000F00" w:rsidRPr="00FB0FFB" w:rsidRDefault="00000F00" w:rsidP="00A67FCD">
      <w:pPr>
        <w:pStyle w:val="Voetnoottekst"/>
        <w:spacing w:line="240" w:lineRule="auto"/>
        <w:rPr>
          <w:sz w:val="12"/>
          <w:szCs w:val="12"/>
        </w:rPr>
      </w:pPr>
      <w:r w:rsidRPr="00872FD6">
        <w:rPr>
          <w:rStyle w:val="Voetnootmarkering"/>
          <w:szCs w:val="16"/>
        </w:rPr>
        <w:footnoteRef/>
      </w:r>
      <w:r w:rsidRPr="00872FD6">
        <w:rPr>
          <w:szCs w:val="16"/>
        </w:rPr>
        <w:t xml:space="preserve"> Verordening (EU) 2021/241 van het Europees Parlement en de Raad </w:t>
      </w:r>
      <w:r w:rsidR="00FB0FFB" w:rsidRPr="00872FD6">
        <w:rPr>
          <w:szCs w:val="16"/>
        </w:rPr>
        <w:t>v</w:t>
      </w:r>
      <w:r w:rsidRPr="00872FD6">
        <w:rPr>
          <w:szCs w:val="16"/>
        </w:rPr>
        <w:t>an</w:t>
      </w:r>
      <w:r w:rsidR="00FB0FFB" w:rsidRPr="00872FD6">
        <w:rPr>
          <w:szCs w:val="16"/>
        </w:rPr>
        <w:t xml:space="preserve"> </w:t>
      </w:r>
      <w:r w:rsidRPr="00872FD6">
        <w:rPr>
          <w:szCs w:val="16"/>
        </w:rPr>
        <w:t>12 februari 2021 tot instelling van de herstel</w:t>
      </w:r>
      <w:r w:rsidRPr="00872FD6">
        <w:rPr>
          <w:rFonts w:ascii="Cambria Math" w:hAnsi="Cambria Math" w:cs="Cambria Math"/>
          <w:szCs w:val="16"/>
        </w:rPr>
        <w:t>‑</w:t>
      </w:r>
      <w:r w:rsidRPr="00872FD6">
        <w:rPr>
          <w:szCs w:val="16"/>
        </w:rPr>
        <w:t xml:space="preserve"> en veerkrachtfaciliteit</w:t>
      </w:r>
      <w:r w:rsidR="007D7CAC" w:rsidRPr="00872FD6">
        <w:rPr>
          <w:szCs w:val="16"/>
        </w:rPr>
        <w:t>.</w:t>
      </w:r>
    </w:p>
  </w:footnote>
  <w:footnote w:id="10">
    <w:p w14:paraId="21EDF344" w14:textId="6EBCEFF4" w:rsidR="009A7F2A" w:rsidRDefault="009A7F2A" w:rsidP="00237716">
      <w:pPr>
        <w:pStyle w:val="Voetnoottekst"/>
        <w:spacing w:line="240" w:lineRule="auto"/>
      </w:pPr>
      <w:r>
        <w:rPr>
          <w:rStyle w:val="Voetnootmarkering"/>
        </w:rPr>
        <w:footnoteRef/>
      </w:r>
      <w:r>
        <w:t xml:space="preserve"> </w:t>
      </w:r>
      <w:r>
        <w:rPr>
          <w:rFonts w:eastAsia="Calibri"/>
          <w:szCs w:val="18"/>
          <w:lang w:eastAsia="en-US"/>
        </w:rPr>
        <w:t>Te weten het</w:t>
      </w:r>
      <w:r w:rsidRPr="00BD2693">
        <w:rPr>
          <w:rFonts w:eastAsia="Calibri"/>
          <w:szCs w:val="18"/>
          <w:lang w:eastAsia="en-US"/>
        </w:rPr>
        <w:t xml:space="preserve"> Ministerie van </w:t>
      </w:r>
      <w:r w:rsidRPr="003A3A8F">
        <w:rPr>
          <w:rFonts w:eastAsia="Calibri"/>
          <w:szCs w:val="18"/>
          <w:lang w:eastAsia="en-US"/>
        </w:rPr>
        <w:t xml:space="preserve">Binnenlandse Zaken en Koninkrijksrelaties, </w:t>
      </w:r>
      <w:r>
        <w:rPr>
          <w:rFonts w:eastAsia="Calibri"/>
          <w:szCs w:val="18"/>
          <w:lang w:eastAsia="en-US"/>
        </w:rPr>
        <w:t>het</w:t>
      </w:r>
      <w:r w:rsidRPr="00BD2693">
        <w:rPr>
          <w:rFonts w:eastAsia="Calibri"/>
          <w:szCs w:val="18"/>
          <w:lang w:eastAsia="en-US"/>
        </w:rPr>
        <w:t xml:space="preserve"> Ministerie van </w:t>
      </w:r>
      <w:r w:rsidRPr="003A3A8F">
        <w:rPr>
          <w:rFonts w:eastAsia="Calibri"/>
          <w:szCs w:val="18"/>
          <w:lang w:eastAsia="en-US"/>
        </w:rPr>
        <w:t xml:space="preserve">Defensie, </w:t>
      </w:r>
      <w:r>
        <w:rPr>
          <w:rFonts w:eastAsia="Calibri"/>
          <w:szCs w:val="18"/>
          <w:lang w:eastAsia="en-US"/>
        </w:rPr>
        <w:t>het</w:t>
      </w:r>
      <w:r w:rsidRPr="00BD2693">
        <w:rPr>
          <w:rFonts w:eastAsia="Calibri"/>
          <w:szCs w:val="18"/>
          <w:lang w:eastAsia="en-US"/>
        </w:rPr>
        <w:t xml:space="preserve"> Ministerie van </w:t>
      </w:r>
      <w:r w:rsidRPr="003A3A8F">
        <w:rPr>
          <w:rFonts w:eastAsia="Calibri"/>
          <w:szCs w:val="18"/>
          <w:lang w:eastAsia="en-US"/>
        </w:rPr>
        <w:t xml:space="preserve">Economische Zaken, </w:t>
      </w:r>
      <w:r>
        <w:rPr>
          <w:rFonts w:eastAsia="Calibri"/>
          <w:szCs w:val="18"/>
          <w:lang w:eastAsia="en-US"/>
        </w:rPr>
        <w:t>het</w:t>
      </w:r>
      <w:r w:rsidRPr="00BD2693">
        <w:rPr>
          <w:rFonts w:eastAsia="Calibri"/>
          <w:szCs w:val="18"/>
          <w:lang w:eastAsia="en-US"/>
        </w:rPr>
        <w:t xml:space="preserve"> Ministerie van </w:t>
      </w:r>
      <w:r w:rsidRPr="003A3A8F">
        <w:rPr>
          <w:rFonts w:eastAsia="Calibri"/>
          <w:szCs w:val="18"/>
          <w:lang w:eastAsia="en-US"/>
        </w:rPr>
        <w:t xml:space="preserve">Infrastructuur en Waterstaat, </w:t>
      </w:r>
      <w:r>
        <w:rPr>
          <w:rFonts w:eastAsia="Calibri"/>
          <w:szCs w:val="18"/>
          <w:lang w:eastAsia="en-US"/>
        </w:rPr>
        <w:t>het</w:t>
      </w:r>
      <w:r w:rsidRPr="00BD2693">
        <w:rPr>
          <w:rFonts w:eastAsia="Calibri"/>
          <w:szCs w:val="18"/>
          <w:lang w:eastAsia="en-US"/>
        </w:rPr>
        <w:t xml:space="preserve"> Ministerie van </w:t>
      </w:r>
      <w:r w:rsidRPr="003A3A8F">
        <w:rPr>
          <w:rFonts w:eastAsia="Calibri"/>
          <w:szCs w:val="18"/>
          <w:lang w:eastAsia="en-US"/>
        </w:rPr>
        <w:t xml:space="preserve">Klimaat en Groene Groei, </w:t>
      </w:r>
      <w:r>
        <w:rPr>
          <w:rFonts w:eastAsia="Calibri"/>
          <w:szCs w:val="18"/>
          <w:lang w:eastAsia="en-US"/>
        </w:rPr>
        <w:t>het</w:t>
      </w:r>
      <w:r w:rsidRPr="00BD2693">
        <w:rPr>
          <w:rFonts w:eastAsia="Calibri"/>
          <w:szCs w:val="18"/>
          <w:lang w:eastAsia="en-US"/>
        </w:rPr>
        <w:t xml:space="preserve"> Ministerie van </w:t>
      </w:r>
      <w:r w:rsidRPr="003A3A8F">
        <w:rPr>
          <w:rFonts w:eastAsia="Calibri"/>
          <w:szCs w:val="18"/>
          <w:lang w:eastAsia="en-US"/>
        </w:rPr>
        <w:t xml:space="preserve">Landbouw, Visserij, Voedselzekerheid en Natuur, </w:t>
      </w:r>
      <w:r>
        <w:rPr>
          <w:rFonts w:eastAsia="Calibri"/>
          <w:szCs w:val="18"/>
          <w:lang w:eastAsia="en-US"/>
        </w:rPr>
        <w:t>het</w:t>
      </w:r>
      <w:r w:rsidRPr="00BD2693">
        <w:rPr>
          <w:rFonts w:eastAsia="Calibri"/>
          <w:szCs w:val="18"/>
          <w:lang w:eastAsia="en-US"/>
        </w:rPr>
        <w:t xml:space="preserve"> Ministerie van </w:t>
      </w:r>
      <w:r w:rsidRPr="003A3A8F">
        <w:rPr>
          <w:rFonts w:eastAsia="Calibri"/>
          <w:szCs w:val="18"/>
          <w:lang w:eastAsia="en-US"/>
        </w:rPr>
        <w:t xml:space="preserve">Onderwijs, Cultuur en Wetenschap, </w:t>
      </w:r>
      <w:r>
        <w:rPr>
          <w:rFonts w:eastAsia="Calibri"/>
          <w:szCs w:val="18"/>
          <w:lang w:eastAsia="en-US"/>
        </w:rPr>
        <w:t>het</w:t>
      </w:r>
      <w:r w:rsidRPr="00BD2693">
        <w:rPr>
          <w:rFonts w:eastAsia="Calibri"/>
          <w:szCs w:val="18"/>
          <w:lang w:eastAsia="en-US"/>
        </w:rPr>
        <w:t xml:space="preserve"> Ministerie van </w:t>
      </w:r>
      <w:r w:rsidRPr="003A3A8F">
        <w:rPr>
          <w:rFonts w:eastAsia="Calibri"/>
          <w:szCs w:val="18"/>
          <w:lang w:eastAsia="en-US"/>
        </w:rPr>
        <w:t xml:space="preserve">Sociale Zaken en Werkgelegenheid, </w:t>
      </w:r>
      <w:r>
        <w:rPr>
          <w:rFonts w:eastAsia="Calibri"/>
          <w:szCs w:val="18"/>
          <w:lang w:eastAsia="en-US"/>
        </w:rPr>
        <w:t>het</w:t>
      </w:r>
      <w:r w:rsidRPr="00BD2693">
        <w:rPr>
          <w:rFonts w:eastAsia="Calibri"/>
          <w:szCs w:val="18"/>
          <w:lang w:eastAsia="en-US"/>
        </w:rPr>
        <w:t xml:space="preserve"> Ministerie van </w:t>
      </w:r>
      <w:r w:rsidRPr="003A3A8F">
        <w:rPr>
          <w:rFonts w:eastAsia="Calibri"/>
          <w:szCs w:val="18"/>
          <w:lang w:eastAsia="en-US"/>
        </w:rPr>
        <w:t xml:space="preserve">Justitie en Veiligheid, </w:t>
      </w:r>
      <w:r>
        <w:rPr>
          <w:rFonts w:eastAsia="Calibri"/>
          <w:szCs w:val="18"/>
          <w:lang w:eastAsia="en-US"/>
        </w:rPr>
        <w:t>het</w:t>
      </w:r>
      <w:r w:rsidRPr="00BD2693">
        <w:rPr>
          <w:rFonts w:eastAsia="Calibri"/>
          <w:szCs w:val="18"/>
          <w:lang w:eastAsia="en-US"/>
        </w:rPr>
        <w:t xml:space="preserve"> Ministerie van </w:t>
      </w:r>
      <w:r w:rsidRPr="003A3A8F">
        <w:rPr>
          <w:rFonts w:eastAsia="Calibri"/>
          <w:szCs w:val="18"/>
          <w:lang w:eastAsia="en-US"/>
        </w:rPr>
        <w:t xml:space="preserve">Volkshuisvesting en Ruimtelijke Ordening en </w:t>
      </w:r>
      <w:r>
        <w:rPr>
          <w:rFonts w:eastAsia="Calibri"/>
          <w:szCs w:val="18"/>
          <w:lang w:eastAsia="en-US"/>
        </w:rPr>
        <w:t>het</w:t>
      </w:r>
      <w:r w:rsidRPr="00BD2693">
        <w:rPr>
          <w:rFonts w:eastAsia="Calibri"/>
          <w:szCs w:val="18"/>
          <w:lang w:eastAsia="en-US"/>
        </w:rPr>
        <w:t xml:space="preserve"> Ministerie van </w:t>
      </w:r>
      <w:r w:rsidRPr="003A3A8F">
        <w:rPr>
          <w:rFonts w:eastAsia="Calibri"/>
          <w:szCs w:val="18"/>
          <w:lang w:eastAsia="en-US"/>
        </w:rPr>
        <w:t>Volksgezondheid</w:t>
      </w:r>
      <w:r>
        <w:rPr>
          <w:rFonts w:eastAsia="Calibri"/>
          <w:szCs w:val="18"/>
          <w:lang w:eastAsia="en-US"/>
        </w:rPr>
        <w:t xml:space="preserve">, </w:t>
      </w:r>
      <w:r w:rsidRPr="003A3A8F">
        <w:rPr>
          <w:rFonts w:eastAsia="Calibri"/>
          <w:szCs w:val="18"/>
          <w:lang w:eastAsia="en-US"/>
        </w:rPr>
        <w:t>Welzijn en Sport</w:t>
      </w:r>
      <w:r>
        <w:rPr>
          <w:rFonts w:eastAsia="Calibri"/>
          <w:szCs w:val="18"/>
          <w:lang w:eastAsia="en-US"/>
        </w:rPr>
        <w:t>.</w:t>
      </w:r>
    </w:p>
  </w:footnote>
  <w:footnote w:id="11">
    <w:p w14:paraId="18FBD08F" w14:textId="50B7EC46" w:rsidR="00A45A63" w:rsidRDefault="00A45A63">
      <w:pPr>
        <w:pStyle w:val="Voetnoottekst"/>
      </w:pPr>
      <w:r>
        <w:rPr>
          <w:rStyle w:val="Voetnootmarkering"/>
        </w:rPr>
        <w:footnoteRef/>
      </w:r>
      <w:r>
        <w:t xml:space="preserve"> Zie artikel 1, eerste lid van de Wet Bibob</w:t>
      </w:r>
    </w:p>
  </w:footnote>
  <w:footnote w:id="12">
    <w:p w14:paraId="4FBA18AE" w14:textId="21464161" w:rsidR="005A634C" w:rsidRPr="001D5370" w:rsidRDefault="005A634C">
      <w:pPr>
        <w:pStyle w:val="Voetnoottekst"/>
        <w:rPr>
          <w:szCs w:val="16"/>
        </w:rPr>
      </w:pPr>
      <w:r w:rsidRPr="001D5370">
        <w:rPr>
          <w:rStyle w:val="Voetnootmarkering"/>
          <w:szCs w:val="16"/>
        </w:rPr>
        <w:footnoteRef/>
      </w:r>
      <w:r w:rsidRPr="001D5370">
        <w:rPr>
          <w:szCs w:val="16"/>
        </w:rPr>
        <w:t xml:space="preserve"> </w:t>
      </w:r>
      <w:r w:rsidRPr="00C922BB">
        <w:rPr>
          <w:szCs w:val="16"/>
        </w:rPr>
        <w:t>Zie artikel 16, tweede lid, van de Wwft.</w:t>
      </w:r>
    </w:p>
  </w:footnote>
  <w:footnote w:id="13">
    <w:p w14:paraId="17EA8878" w14:textId="24A68F67" w:rsidR="00D124B3" w:rsidRDefault="00D124B3">
      <w:pPr>
        <w:pStyle w:val="Voetnoottekst"/>
      </w:pPr>
      <w:r>
        <w:rPr>
          <w:rStyle w:val="Voetnootmarkering"/>
        </w:rPr>
        <w:footnoteRef/>
      </w:r>
      <w:r>
        <w:t xml:space="preserve"> </w:t>
      </w:r>
      <w:r w:rsidRPr="00A7403A">
        <w:rPr>
          <w:rFonts w:cs="Calibri"/>
          <w:szCs w:val="16"/>
        </w:rPr>
        <w:t>Verordening EU 596/2014 van het Europees Parlement en de Raad van 16 april 2014 betreffende marktmisbruik (Verordening marktmisbruik) en houdende intrekking van Richtlijn  2003/6/EG van het Europees Parlement en de Raad en Richtlijnen 2003/124, 2003/125/EG en 2004/72/EG van de Commissie.</w:t>
      </w:r>
    </w:p>
  </w:footnote>
  <w:footnote w:id="14">
    <w:p w14:paraId="788D888B" w14:textId="044DA492" w:rsidR="00B43EE2" w:rsidRDefault="00B43EE2">
      <w:pPr>
        <w:pStyle w:val="Voetnoottekst"/>
      </w:pPr>
      <w:r>
        <w:rPr>
          <w:rStyle w:val="Voetnootmarkering"/>
        </w:rPr>
        <w:footnoteRef/>
      </w:r>
      <w:r>
        <w:t xml:space="preserve"> </w:t>
      </w:r>
      <w:r w:rsidRPr="000005E1">
        <w:t>Verordening (EU) 2017/1129 van het Europees Parlement en de Raad van 14 juni 2017 betreffende het prospectus dat moet worden gepubliceerd wanneer effecten aan het publiek worden aangeboden of tot de handel op een gereglementeerde markt worden toegelaten en tot intrekking van Richtlijn 2003/71/EG</w:t>
      </w:r>
      <w:r w:rsidR="00D23371">
        <w:t>.</w:t>
      </w:r>
    </w:p>
  </w:footnote>
  <w:footnote w:id="15">
    <w:p w14:paraId="46F0A26A" w14:textId="49455598" w:rsidR="00D23371" w:rsidRDefault="00D23371">
      <w:pPr>
        <w:pStyle w:val="Voetnoottekst"/>
      </w:pPr>
      <w:r>
        <w:rPr>
          <w:rStyle w:val="Voetnootmarkering"/>
        </w:rPr>
        <w:footnoteRef/>
      </w:r>
      <w:r>
        <w:t xml:space="preserve"> </w:t>
      </w:r>
      <w:r w:rsidR="004117F5" w:rsidRPr="000005E1">
        <w:t>Gedelegeerde Verordening (EU) 2019/980 van de Commissie van 14 maart 2019 tot aanvulling van Verordening (EU) 2017/1129 van het Europees Parlement en de Raad wat betreft de vorm, de inhoud, de controle en de goedkeuring van het prospectus dat moet worden gepubliceerd wanneer effecten aan het publiek worden aangeboden of tot de handel op een gereglementeerde markt worden toegelaten, en tot intrekking van Verordening (EG) nr. 809/2004</w:t>
      </w:r>
      <w:r w:rsidR="004117F5">
        <w:t>.</w:t>
      </w:r>
    </w:p>
  </w:footnote>
  <w:footnote w:id="16">
    <w:p w14:paraId="1814074C" w14:textId="26AAD92B" w:rsidR="00EE580D" w:rsidRDefault="00EE580D">
      <w:pPr>
        <w:pStyle w:val="Voetnoottekst"/>
      </w:pPr>
      <w:r>
        <w:rPr>
          <w:rStyle w:val="Voetnootmarkering"/>
        </w:rPr>
        <w:footnoteRef/>
      </w:r>
      <w:r>
        <w:t xml:space="preserve"> </w:t>
      </w:r>
      <w:r w:rsidRPr="000005E1">
        <w:t>Verordening (EU) 2020/1503 van het Europees Parlement en de Raad van 7 oktober 2020 betreffende Europese crowdfundingdienstverleners voor bedrijven en tot wijziging van Verordening (EU) 2017/1129 en Richtlijn (EU) 2019/1937</w:t>
      </w:r>
      <w:r>
        <w:t>.</w:t>
      </w:r>
    </w:p>
  </w:footnote>
  <w:footnote w:id="17">
    <w:p w14:paraId="415EC7B2" w14:textId="5EF6C130" w:rsidR="001E46F4" w:rsidRPr="00C922BB" w:rsidRDefault="001E46F4" w:rsidP="00526FA0">
      <w:pPr>
        <w:pStyle w:val="Normaalweb"/>
        <w:spacing w:before="0" w:beforeAutospacing="0" w:after="0" w:afterAutospacing="0"/>
        <w:rPr>
          <w:rFonts w:ascii="Calibri" w:hAnsi="Calibri" w:cs="Calibri"/>
          <w:sz w:val="16"/>
          <w:szCs w:val="16"/>
        </w:rPr>
      </w:pPr>
    </w:p>
  </w:footnote>
  <w:footnote w:id="18">
    <w:p w14:paraId="1774D58F" w14:textId="68F6AB17" w:rsidR="00127CB4" w:rsidRPr="001A2CC4" w:rsidRDefault="00127CB4" w:rsidP="008B7BDE">
      <w:pPr>
        <w:pStyle w:val="Voetnoottekst"/>
        <w:spacing w:line="240" w:lineRule="auto"/>
        <w:rPr>
          <w:szCs w:val="16"/>
        </w:rPr>
      </w:pPr>
      <w:r w:rsidRPr="00C922BB">
        <w:rPr>
          <w:rStyle w:val="Voetnootmarkering"/>
          <w:szCs w:val="16"/>
        </w:rPr>
        <w:footnoteRef/>
      </w:r>
      <w:r w:rsidRPr="00C922BB">
        <w:rPr>
          <w:szCs w:val="16"/>
        </w:rPr>
        <w:t xml:space="preserve">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w:t>
      </w:r>
      <w:r w:rsidR="00D5381B" w:rsidRPr="00C922BB">
        <w:rPr>
          <w:szCs w:val="16"/>
        </w:rPr>
        <w:t>.</w:t>
      </w:r>
    </w:p>
  </w:footnote>
  <w:footnote w:id="19">
    <w:p w14:paraId="4BD0A165" w14:textId="4A1E33B3" w:rsidR="00EE580D" w:rsidRDefault="00EE580D" w:rsidP="00237716">
      <w:pPr>
        <w:pStyle w:val="Voetnoottekst"/>
        <w:spacing w:line="240" w:lineRule="auto"/>
      </w:pPr>
      <w:r>
        <w:rPr>
          <w:rStyle w:val="Voetnootmarkering"/>
        </w:rPr>
        <w:footnoteRef/>
      </w:r>
      <w:r>
        <w:t xml:space="preserve"> </w:t>
      </w:r>
      <w:r w:rsidRPr="00237716">
        <w:rPr>
          <w:szCs w:val="16"/>
        </w:rPr>
        <w:t>Verordening (EG) nr. 1071/2009 van het Europees Parlement en de Raad van 21 oktober 2009 tot vaststelling van gemeenschappelijke regels betreffende de voorwaarden waaraan moet zijn voldaan om het beroep van wegvervoerondernemer uit te oefenen en tot intrekking van Richtlijn 96/26/EG van de Raad</w:t>
      </w:r>
      <w:r>
        <w:rPr>
          <w:szCs w:val="16"/>
        </w:rPr>
        <w:t>.</w:t>
      </w:r>
    </w:p>
  </w:footnote>
  <w:footnote w:id="20">
    <w:p w14:paraId="4FDE9870" w14:textId="405AECFB" w:rsidR="00EE580D" w:rsidRDefault="00EE580D" w:rsidP="00237716">
      <w:pPr>
        <w:pStyle w:val="Voetnoottekst"/>
        <w:spacing w:line="240" w:lineRule="auto"/>
      </w:pPr>
      <w:r>
        <w:rPr>
          <w:rStyle w:val="Voetnootmarkering"/>
        </w:rPr>
        <w:footnoteRef/>
      </w:r>
      <w:r>
        <w:t xml:space="preserve"> </w:t>
      </w:r>
      <w:r w:rsidRPr="00237716">
        <w:rPr>
          <w:szCs w:val="16"/>
        </w:rPr>
        <w:t>Verordening (EG) nr. 1072/2009 van het Europees Parlement en de Raad van 21 oktober 2009 tot vaststelling van gemeenschappelijke regels voor toegang tot de markt voor internationaal goederenvervoer over de weg (herschikking)</w:t>
      </w:r>
      <w:r>
        <w:rPr>
          <w:szCs w:val="16"/>
        </w:rPr>
        <w:t>.</w:t>
      </w:r>
    </w:p>
  </w:footnote>
  <w:footnote w:id="21">
    <w:p w14:paraId="30BFEF5D" w14:textId="29BA7344" w:rsidR="00F2655A" w:rsidRDefault="00F2655A" w:rsidP="00237716">
      <w:pPr>
        <w:pStyle w:val="Voetnoottekst"/>
        <w:spacing w:line="240" w:lineRule="auto"/>
      </w:pPr>
      <w:r>
        <w:rPr>
          <w:rStyle w:val="Voetnootmarkering"/>
        </w:rPr>
        <w:footnoteRef/>
      </w:r>
      <w:r>
        <w:t xml:space="preserve"> </w:t>
      </w:r>
      <w:r w:rsidRPr="00237716">
        <w:rPr>
          <w:szCs w:val="16"/>
        </w:rPr>
        <w:t>Verordening (EU) 2024/1745 van de Raad van 24 juni 2024 tot wijziging van Verordening (EU) nr. 833/2014 betreffende beperkende maatregelen naar aanleiding van de acties van Rusland die de situatie in Oekraïne destabiliseren</w:t>
      </w:r>
      <w:r>
        <w:rPr>
          <w:szCs w:val="16"/>
        </w:rPr>
        <w:t>.</w:t>
      </w:r>
    </w:p>
  </w:footnote>
  <w:footnote w:id="22">
    <w:p w14:paraId="49C68C26" w14:textId="47D28856" w:rsidR="00F2655A" w:rsidRDefault="00F2655A" w:rsidP="00237716">
      <w:pPr>
        <w:pStyle w:val="Voetnoottekst"/>
        <w:spacing w:line="240" w:lineRule="auto"/>
      </w:pPr>
      <w:r>
        <w:rPr>
          <w:rStyle w:val="Voetnootmarkering"/>
        </w:rPr>
        <w:footnoteRef/>
      </w:r>
      <w:r>
        <w:t xml:space="preserve"> </w:t>
      </w:r>
      <w:r w:rsidRPr="00237716">
        <w:rPr>
          <w:szCs w:val="16"/>
        </w:rPr>
        <w:t>Verordening (EU) 2024/1865 van de Raad van 29 juni 2024 tot wijziging van Verordening (EG) nr. 765/2006 betreffende beperkende maatregelen met het oog op de situatie in Belarus en de betrokkenheid van Belarus bij de Russische agressie tegen Oekraïne</w:t>
      </w:r>
      <w:r>
        <w:rPr>
          <w:szCs w:val="16"/>
        </w:rPr>
        <w:t>.</w:t>
      </w:r>
    </w:p>
  </w:footnote>
  <w:footnote w:id="23">
    <w:p w14:paraId="328C5A5D" w14:textId="238D494C" w:rsidR="008E6CF7" w:rsidRPr="001C4F3C" w:rsidRDefault="008E6CF7" w:rsidP="008E6CF7">
      <w:pPr>
        <w:pStyle w:val="Voetnoottekst"/>
        <w:spacing w:line="240" w:lineRule="auto"/>
        <w:rPr>
          <w:sz w:val="12"/>
          <w:szCs w:val="12"/>
        </w:rPr>
      </w:pPr>
      <w:r w:rsidRPr="00C922BB">
        <w:rPr>
          <w:rStyle w:val="Voetnootmarkering"/>
          <w:szCs w:val="16"/>
        </w:rPr>
        <w:footnoteRef/>
      </w:r>
      <w:r w:rsidRPr="00C922BB">
        <w:rPr>
          <w:szCs w:val="16"/>
        </w:rPr>
        <w:t xml:space="preserve"> Artikel 6, vierde lid,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0085482E">
        <w:rPr>
          <w:szCs w:val="16"/>
        </w:rPr>
        <w:t>.</w:t>
      </w:r>
    </w:p>
  </w:footnote>
  <w:footnote w:id="24">
    <w:p w14:paraId="620A8997" w14:textId="440591D7" w:rsidR="00A52688" w:rsidRDefault="00A52688">
      <w:pPr>
        <w:pStyle w:val="Voetnoottekst"/>
      </w:pPr>
      <w:r>
        <w:rPr>
          <w:rStyle w:val="Voetnootmarkering"/>
        </w:rPr>
        <w:footnoteRef/>
      </w:r>
      <w:r>
        <w:t xml:space="preserve"> Bestuursorganen en rechtspersonen moet</w:t>
      </w:r>
      <w:r w:rsidRPr="00A52688">
        <w:t xml:space="preserve"> melding aan de </w:t>
      </w:r>
      <w:r>
        <w:t>Kamer van Koophandel</w:t>
      </w:r>
      <w:r w:rsidRPr="00A52688">
        <w:t xml:space="preserve"> </w:t>
      </w:r>
      <w:r>
        <w:t xml:space="preserve">maken </w:t>
      </w:r>
      <w:r w:rsidRPr="00A52688">
        <w:t>van iedere discrepantie die zij aantre</w:t>
      </w:r>
      <w:r>
        <w:t>ffen</w:t>
      </w:r>
      <w:r w:rsidRPr="00A52688">
        <w:t xml:space="preserve"> tussen een gegeven omtrent een uiteindelijk belanghebbende dat zij verstrekt heeft gekregen uit het </w:t>
      </w:r>
      <w:r>
        <w:t>(</w:t>
      </w:r>
      <w:r w:rsidRPr="00A52688">
        <w:t>handels</w:t>
      </w:r>
      <w:r>
        <w:t>)</w:t>
      </w:r>
      <w:r w:rsidRPr="00A52688">
        <w:t>register en de informatie over die uiteindelijk belanghebbende waarover zij uit anderen hoofde beschikt</w:t>
      </w:r>
      <w:r>
        <w:t>.</w:t>
      </w:r>
    </w:p>
  </w:footnote>
  <w:footnote w:id="25">
    <w:p w14:paraId="5652E130" w14:textId="37225C8F" w:rsidR="004E1615" w:rsidRPr="004E1615" w:rsidRDefault="004E1615" w:rsidP="00A50E2F">
      <w:pPr>
        <w:pStyle w:val="Voetnoottekst"/>
        <w:spacing w:line="240" w:lineRule="auto"/>
      </w:pPr>
      <w:r w:rsidRPr="004E1615">
        <w:rPr>
          <w:rStyle w:val="Voetnootmarkering"/>
        </w:rPr>
        <w:footnoteRef/>
      </w:r>
      <w:r w:rsidRPr="004E1615">
        <w:t xml:space="preserve"> Dit betreft het nog niet in werking getreden artikel 22, zevende lid, van de Handelsregisterwet 2007.</w:t>
      </w:r>
    </w:p>
  </w:footnote>
  <w:footnote w:id="26">
    <w:p w14:paraId="5789D568" w14:textId="59441F1E" w:rsidR="004E1615" w:rsidRDefault="004E1615" w:rsidP="00A50E2F">
      <w:pPr>
        <w:pStyle w:val="Voetnoottekst"/>
        <w:spacing w:line="240" w:lineRule="auto"/>
      </w:pPr>
      <w:r w:rsidRPr="004E1615">
        <w:rPr>
          <w:rStyle w:val="Voetnootmarkering"/>
        </w:rPr>
        <w:footnoteRef/>
      </w:r>
      <w:r w:rsidRPr="004E1615">
        <w:t xml:space="preserve"> </w:t>
      </w:r>
      <w:r w:rsidRPr="004E1615">
        <w:rPr>
          <w:szCs w:val="18"/>
        </w:rPr>
        <w:t>De Belastingdienst heeft laten weten dat zij ook het toetsproces procesmatig coördineren voor de Douane en daarom ook de Douane meenemen in hun uitvoeringstoetsen.</w:t>
      </w:r>
    </w:p>
  </w:footnote>
  <w:footnote w:id="27">
    <w:p w14:paraId="37DE9DC0" w14:textId="3D38EA77" w:rsidR="00AE69BA" w:rsidRDefault="00AE69BA" w:rsidP="00AE69BA">
      <w:pPr>
        <w:pStyle w:val="Voetnoottekst"/>
      </w:pPr>
      <w:r>
        <w:rPr>
          <w:rStyle w:val="Voetnootmarkering"/>
        </w:rPr>
        <w:footnoteRef/>
      </w:r>
      <w:r>
        <w:t xml:space="preserve"> </w:t>
      </w:r>
      <w:r w:rsidRPr="001B1197">
        <w:t>https://wetgevingskalender.overheid.nl/Regeling/WGK027204</w:t>
      </w:r>
      <w:r w:rsidR="00C57BAF">
        <w:t>.</w:t>
      </w:r>
    </w:p>
  </w:footnote>
  <w:footnote w:id="28">
    <w:p w14:paraId="72569182" w14:textId="77777777" w:rsidR="00AE69BA" w:rsidRDefault="00AE69BA" w:rsidP="00AE69BA">
      <w:pPr>
        <w:pStyle w:val="Voetnoottekst"/>
      </w:pPr>
      <w:r>
        <w:rPr>
          <w:rStyle w:val="Voetnootmarkering"/>
        </w:rPr>
        <w:footnoteRef/>
      </w:r>
      <w:r>
        <w:t xml:space="preserve"> </w:t>
      </w:r>
      <w:r w:rsidRPr="00ED2286">
        <w:t>Kamerstukken II 2024–2025, 36 584, nr. 16</w:t>
      </w:r>
      <w:r>
        <w:t>.</w:t>
      </w:r>
    </w:p>
  </w:footnote>
  <w:footnote w:id="29">
    <w:p w14:paraId="7E19225B" w14:textId="77777777" w:rsidR="00AE69BA" w:rsidRDefault="00AE69BA" w:rsidP="00AE69BA">
      <w:pPr>
        <w:pStyle w:val="Voetnoottekst"/>
      </w:pPr>
      <w:r>
        <w:rPr>
          <w:rStyle w:val="Voetnootmarkering"/>
        </w:rPr>
        <w:footnoteRef/>
      </w:r>
      <w:r>
        <w:t xml:space="preserve"> </w:t>
      </w:r>
      <w:r w:rsidRPr="005658AC">
        <w:t>Kamerstukken II 2024/25, 31 477, nr. 113 en Kamerstukken I 2024/25, 31 477, J.</w:t>
      </w:r>
    </w:p>
  </w:footnote>
  <w:footnote w:id="30">
    <w:p w14:paraId="25480043" w14:textId="77777777" w:rsidR="00AE69BA" w:rsidRPr="00C922BB" w:rsidRDefault="00AE69BA" w:rsidP="00AE69BA">
      <w:pPr>
        <w:spacing w:line="240" w:lineRule="auto"/>
        <w:rPr>
          <w:sz w:val="16"/>
          <w:szCs w:val="16"/>
        </w:rPr>
      </w:pPr>
      <w:r w:rsidRPr="00C922BB">
        <w:rPr>
          <w:rStyle w:val="Voetnootmarkering"/>
          <w:sz w:val="16"/>
          <w:szCs w:val="16"/>
        </w:rPr>
        <w:footnoteRef/>
      </w:r>
      <w:r w:rsidRPr="00C922BB">
        <w:rPr>
          <w:sz w:val="16"/>
          <w:szCs w:val="16"/>
        </w:rPr>
        <w:t xml:space="preserve">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w:t>
      </w:r>
    </w:p>
    <w:p w14:paraId="563EBFEA" w14:textId="77777777" w:rsidR="00AE69BA" w:rsidRDefault="00AE69BA" w:rsidP="00AE69B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4CDC" w14:textId="77777777" w:rsidR="001859B1" w:rsidRDefault="001859B1">
    <w:pPr>
      <w:pStyle w:val="Koptekst"/>
    </w:pPr>
  </w:p>
  <w:p w14:paraId="55289552" w14:textId="77777777" w:rsidR="001859B1" w:rsidRDefault="001859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34D1" w14:textId="77777777" w:rsidR="001859B1" w:rsidRDefault="001859B1">
    <w:pPr>
      <w:pStyle w:val="Koptekst"/>
    </w:pPr>
    <w:r>
      <w:rPr>
        <w:noProof/>
        <w:sz w:val="20"/>
      </w:rPr>
      <w:drawing>
        <wp:anchor distT="0" distB="0" distL="114300" distR="114300" simplePos="0" relativeHeight="251658240" behindDoc="0" locked="1" layoutInCell="1" allowOverlap="1" wp14:anchorId="7F2D1F80" wp14:editId="011E79F3">
          <wp:simplePos x="0" y="0"/>
          <wp:positionH relativeFrom="page">
            <wp:posOffset>3810</wp:posOffset>
          </wp:positionH>
          <wp:positionV relativeFrom="page">
            <wp:posOffset>0</wp:posOffset>
          </wp:positionV>
          <wp:extent cx="6432550" cy="2393950"/>
          <wp:effectExtent l="0" t="0" r="6350" b="6350"/>
          <wp:wrapNone/>
          <wp:docPr id="122" name="Afbeelding 122" descr="wijwillemalexa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ijwillemalexan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0" cy="2393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09F6" w14:textId="77777777" w:rsidR="001859B1" w:rsidRDefault="001859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3" w15:restartNumberingAfterBreak="0">
    <w:nsid w:val="13DA4A84"/>
    <w:multiLevelType w:val="hybridMultilevel"/>
    <w:tmpl w:val="D12C081C"/>
    <w:lvl w:ilvl="0" w:tplc="8CC86DA0">
      <w:start w:val="1"/>
      <w:numFmt w:val="lowerLetter"/>
      <w:lvlText w:val="%1."/>
      <w:lvlJc w:val="left"/>
      <w:pPr>
        <w:ind w:left="720" w:hanging="360"/>
      </w:pPr>
    </w:lvl>
    <w:lvl w:ilvl="1" w:tplc="2D58D364">
      <w:start w:val="1"/>
      <w:numFmt w:val="lowerLetter"/>
      <w:lvlText w:val="%2."/>
      <w:lvlJc w:val="left"/>
      <w:pPr>
        <w:ind w:left="720" w:hanging="360"/>
      </w:pPr>
    </w:lvl>
    <w:lvl w:ilvl="2" w:tplc="281E6F2A">
      <w:start w:val="1"/>
      <w:numFmt w:val="lowerLetter"/>
      <w:lvlText w:val="%3."/>
      <w:lvlJc w:val="left"/>
      <w:pPr>
        <w:ind w:left="720" w:hanging="360"/>
      </w:pPr>
    </w:lvl>
    <w:lvl w:ilvl="3" w:tplc="FB72C6A8">
      <w:start w:val="1"/>
      <w:numFmt w:val="lowerLetter"/>
      <w:lvlText w:val="%4."/>
      <w:lvlJc w:val="left"/>
      <w:pPr>
        <w:ind w:left="720" w:hanging="360"/>
      </w:pPr>
    </w:lvl>
    <w:lvl w:ilvl="4" w:tplc="D706B7DC">
      <w:start w:val="1"/>
      <w:numFmt w:val="lowerLetter"/>
      <w:lvlText w:val="%5."/>
      <w:lvlJc w:val="left"/>
      <w:pPr>
        <w:ind w:left="720" w:hanging="360"/>
      </w:pPr>
    </w:lvl>
    <w:lvl w:ilvl="5" w:tplc="FE60496A">
      <w:start w:val="1"/>
      <w:numFmt w:val="lowerLetter"/>
      <w:lvlText w:val="%6."/>
      <w:lvlJc w:val="left"/>
      <w:pPr>
        <w:ind w:left="720" w:hanging="360"/>
      </w:pPr>
    </w:lvl>
    <w:lvl w:ilvl="6" w:tplc="D4D0B52A">
      <w:start w:val="1"/>
      <w:numFmt w:val="lowerLetter"/>
      <w:lvlText w:val="%7."/>
      <w:lvlJc w:val="left"/>
      <w:pPr>
        <w:ind w:left="720" w:hanging="360"/>
      </w:pPr>
    </w:lvl>
    <w:lvl w:ilvl="7" w:tplc="B0F0920A">
      <w:start w:val="1"/>
      <w:numFmt w:val="lowerLetter"/>
      <w:lvlText w:val="%8."/>
      <w:lvlJc w:val="left"/>
      <w:pPr>
        <w:ind w:left="720" w:hanging="360"/>
      </w:pPr>
    </w:lvl>
    <w:lvl w:ilvl="8" w:tplc="32B6D658">
      <w:start w:val="1"/>
      <w:numFmt w:val="lowerLetter"/>
      <w:lvlText w:val="%9."/>
      <w:lvlJc w:val="left"/>
      <w:pPr>
        <w:ind w:left="720" w:hanging="36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F163C1"/>
    <w:multiLevelType w:val="hybridMultilevel"/>
    <w:tmpl w:val="A44A45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A24451"/>
    <w:multiLevelType w:val="hybridMultilevel"/>
    <w:tmpl w:val="1CCE5C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CE57B7A"/>
    <w:multiLevelType w:val="multilevel"/>
    <w:tmpl w:val="84146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4B0078"/>
    <w:multiLevelType w:val="hybridMultilevel"/>
    <w:tmpl w:val="E9E22F80"/>
    <w:lvl w:ilvl="0" w:tplc="93105744">
      <w:start w:val="1"/>
      <w:numFmt w:val="lowerLetter"/>
      <w:lvlText w:val="%1."/>
      <w:lvlJc w:val="left"/>
      <w:pPr>
        <w:ind w:left="360" w:hanging="360"/>
      </w:pPr>
      <w:rPr>
        <w:rFonts w:ascii="Verdana" w:hAnsi="Verdana" w:cs="Segoe UI"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F603D83"/>
    <w:multiLevelType w:val="hybridMultilevel"/>
    <w:tmpl w:val="E0EAF3C0"/>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0A90FFD"/>
    <w:multiLevelType w:val="hybridMultilevel"/>
    <w:tmpl w:val="592EC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CF7101B"/>
    <w:multiLevelType w:val="hybridMultilevel"/>
    <w:tmpl w:val="B69AA5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0426D0D"/>
    <w:multiLevelType w:val="hybridMultilevel"/>
    <w:tmpl w:val="BA5A90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3D869D5"/>
    <w:multiLevelType w:val="hybridMultilevel"/>
    <w:tmpl w:val="8E94426C"/>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CC2A36"/>
    <w:multiLevelType w:val="hybridMultilevel"/>
    <w:tmpl w:val="D3085722"/>
    <w:lvl w:ilvl="0" w:tplc="5C70B2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EF01175"/>
    <w:multiLevelType w:val="hybridMultilevel"/>
    <w:tmpl w:val="70ECAE24"/>
    <w:lvl w:ilvl="0" w:tplc="B4F2401A">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0" w15:restartNumberingAfterBreak="0">
    <w:nsid w:val="4F9D7122"/>
    <w:multiLevelType w:val="multilevel"/>
    <w:tmpl w:val="84146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45DD2"/>
    <w:multiLevelType w:val="hybridMultilevel"/>
    <w:tmpl w:val="A03A641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7732997"/>
    <w:multiLevelType w:val="hybridMultilevel"/>
    <w:tmpl w:val="3076A0D4"/>
    <w:lvl w:ilvl="0" w:tplc="C9241238">
      <w:start w:val="1"/>
      <w:numFmt w:val="lowerLetter"/>
      <w:lvlText w:val="%1."/>
      <w:lvlJc w:val="left"/>
      <w:pPr>
        <w:ind w:left="360" w:hanging="360"/>
      </w:pPr>
      <w:rPr>
        <w:rFonts w:hint="default"/>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4"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5" w15:restartNumberingAfterBreak="0">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6" w15:restartNumberingAfterBreak="0">
    <w:nsid w:val="5F395E35"/>
    <w:multiLevelType w:val="hybridMultilevel"/>
    <w:tmpl w:val="432A13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FA74827"/>
    <w:multiLevelType w:val="hybridMultilevel"/>
    <w:tmpl w:val="A0EE63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9" w15:restartNumberingAfterBreak="0">
    <w:nsid w:val="7DAF6DD6"/>
    <w:multiLevelType w:val="hybridMultilevel"/>
    <w:tmpl w:val="0C32186A"/>
    <w:lvl w:ilvl="0" w:tplc="04130019">
      <w:start w:val="1"/>
      <w:numFmt w:val="lowerLetter"/>
      <w:lvlText w:val="%1."/>
      <w:lvlJc w:val="left"/>
      <w:pPr>
        <w:ind w:left="6456" w:hanging="360"/>
      </w:pPr>
      <w:rPr>
        <w:rFonts w:hint="default"/>
      </w:rPr>
    </w:lvl>
    <w:lvl w:ilvl="1" w:tplc="04130019" w:tentative="1">
      <w:start w:val="1"/>
      <w:numFmt w:val="lowerLetter"/>
      <w:lvlText w:val="%2."/>
      <w:lvlJc w:val="left"/>
      <w:pPr>
        <w:ind w:left="1015" w:hanging="360"/>
      </w:pPr>
    </w:lvl>
    <w:lvl w:ilvl="2" w:tplc="0413001B" w:tentative="1">
      <w:start w:val="1"/>
      <w:numFmt w:val="lowerRoman"/>
      <w:lvlText w:val="%3."/>
      <w:lvlJc w:val="right"/>
      <w:pPr>
        <w:ind w:left="1735" w:hanging="180"/>
      </w:pPr>
    </w:lvl>
    <w:lvl w:ilvl="3" w:tplc="0413000F" w:tentative="1">
      <w:start w:val="1"/>
      <w:numFmt w:val="decimal"/>
      <w:lvlText w:val="%4."/>
      <w:lvlJc w:val="left"/>
      <w:pPr>
        <w:ind w:left="2455" w:hanging="360"/>
      </w:pPr>
    </w:lvl>
    <w:lvl w:ilvl="4" w:tplc="04130019" w:tentative="1">
      <w:start w:val="1"/>
      <w:numFmt w:val="lowerLetter"/>
      <w:lvlText w:val="%5."/>
      <w:lvlJc w:val="left"/>
      <w:pPr>
        <w:ind w:left="3175" w:hanging="360"/>
      </w:pPr>
    </w:lvl>
    <w:lvl w:ilvl="5" w:tplc="0413001B" w:tentative="1">
      <w:start w:val="1"/>
      <w:numFmt w:val="lowerRoman"/>
      <w:lvlText w:val="%6."/>
      <w:lvlJc w:val="right"/>
      <w:pPr>
        <w:ind w:left="3895" w:hanging="180"/>
      </w:pPr>
    </w:lvl>
    <w:lvl w:ilvl="6" w:tplc="0413000F" w:tentative="1">
      <w:start w:val="1"/>
      <w:numFmt w:val="decimal"/>
      <w:lvlText w:val="%7."/>
      <w:lvlJc w:val="left"/>
      <w:pPr>
        <w:ind w:left="4615" w:hanging="360"/>
      </w:pPr>
    </w:lvl>
    <w:lvl w:ilvl="7" w:tplc="04130019" w:tentative="1">
      <w:start w:val="1"/>
      <w:numFmt w:val="lowerLetter"/>
      <w:lvlText w:val="%8."/>
      <w:lvlJc w:val="left"/>
      <w:pPr>
        <w:ind w:left="5335" w:hanging="360"/>
      </w:pPr>
    </w:lvl>
    <w:lvl w:ilvl="8" w:tplc="0413001B" w:tentative="1">
      <w:start w:val="1"/>
      <w:numFmt w:val="lowerRoman"/>
      <w:lvlText w:val="%9."/>
      <w:lvlJc w:val="right"/>
      <w:pPr>
        <w:ind w:left="6055" w:hanging="180"/>
      </w:pPr>
    </w:lvl>
  </w:abstractNum>
  <w:abstractNum w:abstractNumId="40" w15:restartNumberingAfterBreak="0">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516649219">
    <w:abstractNumId w:val="11"/>
  </w:num>
  <w:num w:numId="2" w16cid:durableId="1641687619">
    <w:abstractNumId w:val="7"/>
  </w:num>
  <w:num w:numId="3" w16cid:durableId="588738087">
    <w:abstractNumId w:val="6"/>
  </w:num>
  <w:num w:numId="4" w16cid:durableId="1470173625">
    <w:abstractNumId w:val="5"/>
  </w:num>
  <w:num w:numId="5" w16cid:durableId="68693154">
    <w:abstractNumId w:val="4"/>
  </w:num>
  <w:num w:numId="6" w16cid:durableId="576986149">
    <w:abstractNumId w:val="8"/>
  </w:num>
  <w:num w:numId="7" w16cid:durableId="394857549">
    <w:abstractNumId w:val="3"/>
  </w:num>
  <w:num w:numId="8" w16cid:durableId="1324813732">
    <w:abstractNumId w:val="2"/>
  </w:num>
  <w:num w:numId="9" w16cid:durableId="335691257">
    <w:abstractNumId w:val="1"/>
  </w:num>
  <w:num w:numId="10" w16cid:durableId="1230001911">
    <w:abstractNumId w:val="0"/>
  </w:num>
  <w:num w:numId="11" w16cid:durableId="1944876801">
    <w:abstractNumId w:val="10"/>
  </w:num>
  <w:num w:numId="12" w16cid:durableId="342897782">
    <w:abstractNumId w:val="14"/>
  </w:num>
  <w:num w:numId="13" w16cid:durableId="463160671">
    <w:abstractNumId w:val="31"/>
  </w:num>
  <w:num w:numId="14" w16cid:durableId="84614803">
    <w:abstractNumId w:val="16"/>
  </w:num>
  <w:num w:numId="15" w16cid:durableId="1800998621">
    <w:abstractNumId w:val="22"/>
  </w:num>
  <w:num w:numId="16" w16cid:durableId="85538609">
    <w:abstractNumId w:val="35"/>
  </w:num>
  <w:num w:numId="17" w16cid:durableId="439181866">
    <w:abstractNumId w:val="25"/>
  </w:num>
  <w:num w:numId="18" w16cid:durableId="687292733">
    <w:abstractNumId w:val="34"/>
  </w:num>
  <w:num w:numId="19" w16cid:durableId="1037435255">
    <w:abstractNumId w:val="24"/>
  </w:num>
  <w:num w:numId="20" w16cid:durableId="794712474">
    <w:abstractNumId w:val="9"/>
  </w:num>
  <w:num w:numId="21" w16cid:durableId="1938249228">
    <w:abstractNumId w:val="40"/>
  </w:num>
  <w:num w:numId="22" w16cid:durableId="417870607">
    <w:abstractNumId w:val="38"/>
  </w:num>
  <w:num w:numId="23" w16cid:durableId="1044908006">
    <w:abstractNumId w:val="12"/>
  </w:num>
  <w:num w:numId="24" w16cid:durableId="442384615">
    <w:abstractNumId w:val="22"/>
  </w:num>
  <w:num w:numId="25" w16cid:durableId="1670020567">
    <w:abstractNumId w:val="35"/>
  </w:num>
  <w:num w:numId="26" w16cid:durableId="2040738714">
    <w:abstractNumId w:val="40"/>
  </w:num>
  <w:num w:numId="27" w16cid:durableId="1285192547">
    <w:abstractNumId w:val="34"/>
  </w:num>
  <w:num w:numId="28" w16cid:durableId="111175835">
    <w:abstractNumId w:val="38"/>
  </w:num>
  <w:num w:numId="29" w16cid:durableId="778724048">
    <w:abstractNumId w:val="12"/>
  </w:num>
  <w:num w:numId="30" w16cid:durableId="215363535">
    <w:abstractNumId w:val="37"/>
  </w:num>
  <w:num w:numId="31" w16cid:durableId="2093356389">
    <w:abstractNumId w:val="26"/>
  </w:num>
  <w:num w:numId="32" w16cid:durableId="1935937845">
    <w:abstractNumId w:val="39"/>
  </w:num>
  <w:num w:numId="33" w16cid:durableId="317924229">
    <w:abstractNumId w:val="23"/>
  </w:num>
  <w:num w:numId="34" w16cid:durableId="1232155195">
    <w:abstractNumId w:val="28"/>
  </w:num>
  <w:num w:numId="35" w16cid:durableId="4257361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5530792">
    <w:abstractNumId w:val="28"/>
  </w:num>
  <w:num w:numId="37" w16cid:durableId="1934044584">
    <w:abstractNumId w:val="15"/>
  </w:num>
  <w:num w:numId="38" w16cid:durableId="1756634379">
    <w:abstractNumId w:val="20"/>
  </w:num>
  <w:num w:numId="39" w16cid:durableId="20666235">
    <w:abstractNumId w:val="27"/>
  </w:num>
  <w:num w:numId="40" w16cid:durableId="1849102751">
    <w:abstractNumId w:val="21"/>
  </w:num>
  <w:num w:numId="41" w16cid:durableId="525094325">
    <w:abstractNumId w:val="29"/>
  </w:num>
  <w:num w:numId="42" w16cid:durableId="509023722">
    <w:abstractNumId w:val="33"/>
  </w:num>
  <w:num w:numId="43" w16cid:durableId="1576478499">
    <w:abstractNumId w:val="36"/>
  </w:num>
  <w:num w:numId="44" w16cid:durableId="982856286">
    <w:abstractNumId w:val="13"/>
  </w:num>
  <w:num w:numId="45" w16cid:durableId="810974795">
    <w:abstractNumId w:val="18"/>
    <w:lvlOverride w:ilvl="0">
      <w:lvl w:ilvl="0">
        <w:numFmt w:val="lowerLetter"/>
        <w:lvlText w:val="%1."/>
        <w:lvlJc w:val="left"/>
      </w:lvl>
    </w:lvlOverride>
  </w:num>
  <w:num w:numId="46" w16cid:durableId="1700937560">
    <w:abstractNumId w:val="18"/>
    <w:lvlOverride w:ilvl="0">
      <w:lvl w:ilvl="0">
        <w:numFmt w:val="lowerLetter"/>
        <w:lvlText w:val="%1."/>
        <w:lvlJc w:val="left"/>
      </w:lvl>
    </w:lvlOverride>
  </w:num>
  <w:num w:numId="47" w16cid:durableId="2034384187">
    <w:abstractNumId w:val="30"/>
  </w:num>
  <w:num w:numId="48" w16cid:durableId="1161000458">
    <w:abstractNumId w:val="19"/>
  </w:num>
  <w:num w:numId="49" w16cid:durableId="1140683460">
    <w:abstractNumId w:val="17"/>
  </w:num>
  <w:num w:numId="50" w16cid:durableId="6626878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0" w:nlCheck="1" w:checkStyle="0"/>
  <w:activeWritingStyle w:appName="MSWord" w:lang="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 "/>
    <w:docVar w:name="Carma DocSys~CanReopen" w:val="0"/>
    <w:docVar w:name="Carma DocSys~XML" w:val="&lt;?xml version=&quot;1.0&quot;?&gt;_x000d__x000a_&lt;data customer=&quot;minjus&quot; profile=&quot;minjus&quot; model=&quot;wij_willem-alexander.xml&quot; country-code=&quot;31&quot; target=&quot;Microsoft Word&quot; target-version=&quot;14.0&quot; target-build=&quot;14.0.6129&quot; engine-version=&quot;2.6.10&quot; lastuser-initials=&quot;LV&quot; lastuser-name=&quot;Vester L.J. - BD/DWJZ/WKB&quot;&gt;&lt;wijwa template=&quot;wij_willem-alexander.dot&quot; id=&quot;fb26ea6ce8b749498482ecb9e6614eaf&quot; version=&quot;1.0&quot; reopen=&quot;false&quot; lcid=&quot;1043&quot; locale=&quot;nl&quot;&gt;&lt;PAPER first=&quot;blanco&quot; other=&quot;blanco&quot;/&gt;&lt;zaak/&gt;&lt;digijust value=&quot;0&quot; formatted-value=&quot;0&quot;/&gt;&lt;documentsubtype formatted-value=&quot;Overige&quot;/&gt;&lt;documenttitel formatted-value=&quot;Wij Willem Alexander&quot;/&gt;&lt;heropend value=&quot;false&quot;/&gt;&lt;vorm value=&quot;Digitaal&quot;/&gt;&lt;ZaakLocatie/&gt;&lt;zaakkenmerk/&gt;&lt;zaaktitel/&gt;&lt;drager formatted-value=&quot;Document&quot;/&gt;&lt;documentclass value=&quot;Overige&quot; formatted-value=&quot;Overige&quot;/&gt;&lt;onderdeel/&gt;&lt;digionderdeel/&gt;&lt;documentdatum/&gt;&lt;documentomschrijving/&gt;&lt;adres/&gt;&lt;geadresseerde/&gt;&lt;land/&gt;&lt;postcode/&gt;&lt;woonplaats/&gt;&lt;titel/&gt;&lt;onderwerp/&gt;&lt;contactpersoon/&gt;&lt;directoraat/&gt;&lt;docstatus/&gt;&lt;documenttype value=&quot;Uitgaand&quot;/&gt;&lt;doctype value=&quot;Wij Willem Alexander&quot; formatted-value=&quot;Wij Willem Alexander&quot;/&gt;&lt;/wijwa&gt;&lt;/data&gt;_x000d__x000a_"/>
    <w:docVar w:name="clausule" w:val="clausule"/>
  </w:docVars>
  <w:rsids>
    <w:rsidRoot w:val="005E14AD"/>
    <w:rsid w:val="000005C1"/>
    <w:rsid w:val="000005E1"/>
    <w:rsid w:val="00000F00"/>
    <w:rsid w:val="00001585"/>
    <w:rsid w:val="00001A3B"/>
    <w:rsid w:val="00001AED"/>
    <w:rsid w:val="00001C57"/>
    <w:rsid w:val="000055EF"/>
    <w:rsid w:val="00006900"/>
    <w:rsid w:val="00011755"/>
    <w:rsid w:val="000122D3"/>
    <w:rsid w:val="00012AD5"/>
    <w:rsid w:val="00013045"/>
    <w:rsid w:val="000174FB"/>
    <w:rsid w:val="00020A7E"/>
    <w:rsid w:val="000248EE"/>
    <w:rsid w:val="00033957"/>
    <w:rsid w:val="000339B5"/>
    <w:rsid w:val="00033F5F"/>
    <w:rsid w:val="000350F4"/>
    <w:rsid w:val="00035DE0"/>
    <w:rsid w:val="00036492"/>
    <w:rsid w:val="0003710B"/>
    <w:rsid w:val="00042112"/>
    <w:rsid w:val="000422DF"/>
    <w:rsid w:val="0004242C"/>
    <w:rsid w:val="00043EC4"/>
    <w:rsid w:val="000442C4"/>
    <w:rsid w:val="00044839"/>
    <w:rsid w:val="000460A6"/>
    <w:rsid w:val="00046589"/>
    <w:rsid w:val="00050F0C"/>
    <w:rsid w:val="00051C54"/>
    <w:rsid w:val="000524A2"/>
    <w:rsid w:val="00052B4C"/>
    <w:rsid w:val="000530CC"/>
    <w:rsid w:val="00053F38"/>
    <w:rsid w:val="00054286"/>
    <w:rsid w:val="0005433D"/>
    <w:rsid w:val="0005655C"/>
    <w:rsid w:val="00057406"/>
    <w:rsid w:val="00057BAE"/>
    <w:rsid w:val="00061E52"/>
    <w:rsid w:val="0006480C"/>
    <w:rsid w:val="00065D51"/>
    <w:rsid w:val="0006796D"/>
    <w:rsid w:val="00070364"/>
    <w:rsid w:val="00071BEB"/>
    <w:rsid w:val="000758C4"/>
    <w:rsid w:val="00077144"/>
    <w:rsid w:val="00082784"/>
    <w:rsid w:val="0008305E"/>
    <w:rsid w:val="000850E5"/>
    <w:rsid w:val="00085791"/>
    <w:rsid w:val="00085ABE"/>
    <w:rsid w:val="00086036"/>
    <w:rsid w:val="0008747C"/>
    <w:rsid w:val="000904E2"/>
    <w:rsid w:val="00092A13"/>
    <w:rsid w:val="00094C6F"/>
    <w:rsid w:val="0009554B"/>
    <w:rsid w:val="00096B16"/>
    <w:rsid w:val="000A119B"/>
    <w:rsid w:val="000A30C0"/>
    <w:rsid w:val="000A31F8"/>
    <w:rsid w:val="000A4FC9"/>
    <w:rsid w:val="000A51FF"/>
    <w:rsid w:val="000A5F87"/>
    <w:rsid w:val="000A63AB"/>
    <w:rsid w:val="000A6608"/>
    <w:rsid w:val="000A7D71"/>
    <w:rsid w:val="000B32D6"/>
    <w:rsid w:val="000B34EC"/>
    <w:rsid w:val="000B3D96"/>
    <w:rsid w:val="000B47DA"/>
    <w:rsid w:val="000B4AE9"/>
    <w:rsid w:val="000B5051"/>
    <w:rsid w:val="000B62CE"/>
    <w:rsid w:val="000C06F7"/>
    <w:rsid w:val="000C1656"/>
    <w:rsid w:val="000C35B7"/>
    <w:rsid w:val="000C54E1"/>
    <w:rsid w:val="000C6709"/>
    <w:rsid w:val="000D011E"/>
    <w:rsid w:val="000D4D57"/>
    <w:rsid w:val="000D5982"/>
    <w:rsid w:val="000D69B2"/>
    <w:rsid w:val="000D778F"/>
    <w:rsid w:val="000E04FB"/>
    <w:rsid w:val="000E09FB"/>
    <w:rsid w:val="000E10C9"/>
    <w:rsid w:val="000E1BF4"/>
    <w:rsid w:val="000E2DCA"/>
    <w:rsid w:val="000E4E19"/>
    <w:rsid w:val="000E502C"/>
    <w:rsid w:val="000E551D"/>
    <w:rsid w:val="000E5DF4"/>
    <w:rsid w:val="000E7BB9"/>
    <w:rsid w:val="000E7E51"/>
    <w:rsid w:val="000F6700"/>
    <w:rsid w:val="000F7F0E"/>
    <w:rsid w:val="000F7FA3"/>
    <w:rsid w:val="00100247"/>
    <w:rsid w:val="001010B7"/>
    <w:rsid w:val="00102795"/>
    <w:rsid w:val="00103332"/>
    <w:rsid w:val="001054EA"/>
    <w:rsid w:val="00106437"/>
    <w:rsid w:val="001066B0"/>
    <w:rsid w:val="00107433"/>
    <w:rsid w:val="0011001C"/>
    <w:rsid w:val="00111311"/>
    <w:rsid w:val="00113E46"/>
    <w:rsid w:val="00115A23"/>
    <w:rsid w:val="001203D5"/>
    <w:rsid w:val="00121776"/>
    <w:rsid w:val="00122290"/>
    <w:rsid w:val="001225A7"/>
    <w:rsid w:val="00124349"/>
    <w:rsid w:val="00126ECF"/>
    <w:rsid w:val="001275F9"/>
    <w:rsid w:val="00127CB4"/>
    <w:rsid w:val="00130532"/>
    <w:rsid w:val="00132C02"/>
    <w:rsid w:val="00133A87"/>
    <w:rsid w:val="0013439E"/>
    <w:rsid w:val="00134B8C"/>
    <w:rsid w:val="00135023"/>
    <w:rsid w:val="00135522"/>
    <w:rsid w:val="00137393"/>
    <w:rsid w:val="0014158C"/>
    <w:rsid w:val="001437D4"/>
    <w:rsid w:val="00144E0E"/>
    <w:rsid w:val="00147477"/>
    <w:rsid w:val="00147C62"/>
    <w:rsid w:val="0015016B"/>
    <w:rsid w:val="001509C6"/>
    <w:rsid w:val="0015237E"/>
    <w:rsid w:val="00152E96"/>
    <w:rsid w:val="00153029"/>
    <w:rsid w:val="0015543D"/>
    <w:rsid w:val="001610F1"/>
    <w:rsid w:val="0016480A"/>
    <w:rsid w:val="00165B00"/>
    <w:rsid w:val="00166125"/>
    <w:rsid w:val="0016719C"/>
    <w:rsid w:val="00167D2B"/>
    <w:rsid w:val="00167D9C"/>
    <w:rsid w:val="0017008E"/>
    <w:rsid w:val="0017049F"/>
    <w:rsid w:val="00170EAD"/>
    <w:rsid w:val="00170FD0"/>
    <w:rsid w:val="0017225C"/>
    <w:rsid w:val="0017427C"/>
    <w:rsid w:val="001772D9"/>
    <w:rsid w:val="00177921"/>
    <w:rsid w:val="0018041A"/>
    <w:rsid w:val="00180957"/>
    <w:rsid w:val="001810C8"/>
    <w:rsid w:val="001817DA"/>
    <w:rsid w:val="00182554"/>
    <w:rsid w:val="001859B1"/>
    <w:rsid w:val="00185B9F"/>
    <w:rsid w:val="00193595"/>
    <w:rsid w:val="001944C4"/>
    <w:rsid w:val="00195236"/>
    <w:rsid w:val="00195AF5"/>
    <w:rsid w:val="00195EA4"/>
    <w:rsid w:val="00196EB3"/>
    <w:rsid w:val="00197E2D"/>
    <w:rsid w:val="001A2CC4"/>
    <w:rsid w:val="001A415D"/>
    <w:rsid w:val="001A5CD8"/>
    <w:rsid w:val="001A7BEA"/>
    <w:rsid w:val="001B1671"/>
    <w:rsid w:val="001B2601"/>
    <w:rsid w:val="001B3073"/>
    <w:rsid w:val="001B401D"/>
    <w:rsid w:val="001B459F"/>
    <w:rsid w:val="001B6B55"/>
    <w:rsid w:val="001B7222"/>
    <w:rsid w:val="001C105F"/>
    <w:rsid w:val="001C1B05"/>
    <w:rsid w:val="001C2616"/>
    <w:rsid w:val="001C302F"/>
    <w:rsid w:val="001C590B"/>
    <w:rsid w:val="001C6658"/>
    <w:rsid w:val="001D02EB"/>
    <w:rsid w:val="001D143E"/>
    <w:rsid w:val="001D29BF"/>
    <w:rsid w:val="001D2C60"/>
    <w:rsid w:val="001D316C"/>
    <w:rsid w:val="001D374C"/>
    <w:rsid w:val="001D4538"/>
    <w:rsid w:val="001D4E36"/>
    <w:rsid w:val="001D5370"/>
    <w:rsid w:val="001D6E1C"/>
    <w:rsid w:val="001E09B6"/>
    <w:rsid w:val="001E0D25"/>
    <w:rsid w:val="001E1DF9"/>
    <w:rsid w:val="001E2799"/>
    <w:rsid w:val="001E4197"/>
    <w:rsid w:val="001E46F4"/>
    <w:rsid w:val="001E5972"/>
    <w:rsid w:val="001E615F"/>
    <w:rsid w:val="001E6CE1"/>
    <w:rsid w:val="001E7A82"/>
    <w:rsid w:val="001F0423"/>
    <w:rsid w:val="001F16F0"/>
    <w:rsid w:val="001F4039"/>
    <w:rsid w:val="001F436A"/>
    <w:rsid w:val="001F52B4"/>
    <w:rsid w:val="001F5967"/>
    <w:rsid w:val="0020025A"/>
    <w:rsid w:val="00200489"/>
    <w:rsid w:val="00204FBE"/>
    <w:rsid w:val="0020502F"/>
    <w:rsid w:val="00205E17"/>
    <w:rsid w:val="00205E66"/>
    <w:rsid w:val="00207B1E"/>
    <w:rsid w:val="00213032"/>
    <w:rsid w:val="002136BC"/>
    <w:rsid w:val="002169DF"/>
    <w:rsid w:val="00222884"/>
    <w:rsid w:val="00222E58"/>
    <w:rsid w:val="002251A0"/>
    <w:rsid w:val="00226868"/>
    <w:rsid w:val="0022718B"/>
    <w:rsid w:val="002276CE"/>
    <w:rsid w:val="00231485"/>
    <w:rsid w:val="0023348F"/>
    <w:rsid w:val="002334A2"/>
    <w:rsid w:val="00233D8B"/>
    <w:rsid w:val="002356AC"/>
    <w:rsid w:val="00235FFC"/>
    <w:rsid w:val="00236FA4"/>
    <w:rsid w:val="002374FC"/>
    <w:rsid w:val="00237716"/>
    <w:rsid w:val="002433C2"/>
    <w:rsid w:val="002439BB"/>
    <w:rsid w:val="00244B6A"/>
    <w:rsid w:val="002458DB"/>
    <w:rsid w:val="00246ADD"/>
    <w:rsid w:val="0024772F"/>
    <w:rsid w:val="00250D1A"/>
    <w:rsid w:val="002528B6"/>
    <w:rsid w:val="00255A97"/>
    <w:rsid w:val="002605EC"/>
    <w:rsid w:val="002612AF"/>
    <w:rsid w:val="002623DD"/>
    <w:rsid w:val="00266A40"/>
    <w:rsid w:val="00270230"/>
    <w:rsid w:val="0027032D"/>
    <w:rsid w:val="00272548"/>
    <w:rsid w:val="00273E47"/>
    <w:rsid w:val="00274A9D"/>
    <w:rsid w:val="002764BC"/>
    <w:rsid w:val="00280C80"/>
    <w:rsid w:val="00281A3C"/>
    <w:rsid w:val="002840C1"/>
    <w:rsid w:val="0028495E"/>
    <w:rsid w:val="0028558A"/>
    <w:rsid w:val="00286270"/>
    <w:rsid w:val="00290792"/>
    <w:rsid w:val="00290D07"/>
    <w:rsid w:val="00291B18"/>
    <w:rsid w:val="002960D0"/>
    <w:rsid w:val="00296F9A"/>
    <w:rsid w:val="002A0E60"/>
    <w:rsid w:val="002A1549"/>
    <w:rsid w:val="002A186F"/>
    <w:rsid w:val="002A6ADA"/>
    <w:rsid w:val="002B0A29"/>
    <w:rsid w:val="002B487A"/>
    <w:rsid w:val="002B48D4"/>
    <w:rsid w:val="002B6AEF"/>
    <w:rsid w:val="002B7DF8"/>
    <w:rsid w:val="002C099B"/>
    <w:rsid w:val="002C3476"/>
    <w:rsid w:val="002C4465"/>
    <w:rsid w:val="002C4D71"/>
    <w:rsid w:val="002D24DA"/>
    <w:rsid w:val="002D27CB"/>
    <w:rsid w:val="002D3A6E"/>
    <w:rsid w:val="002D4B97"/>
    <w:rsid w:val="002D4DFE"/>
    <w:rsid w:val="002D5726"/>
    <w:rsid w:val="002D6736"/>
    <w:rsid w:val="002D6C8B"/>
    <w:rsid w:val="002D7EE7"/>
    <w:rsid w:val="002E11C1"/>
    <w:rsid w:val="002E126B"/>
    <w:rsid w:val="002E260E"/>
    <w:rsid w:val="002E4A5E"/>
    <w:rsid w:val="002E5160"/>
    <w:rsid w:val="002E5BD2"/>
    <w:rsid w:val="002F0245"/>
    <w:rsid w:val="002F4FD3"/>
    <w:rsid w:val="002F7E17"/>
    <w:rsid w:val="00300E7A"/>
    <w:rsid w:val="00301873"/>
    <w:rsid w:val="0030303A"/>
    <w:rsid w:val="003038E5"/>
    <w:rsid w:val="00303C48"/>
    <w:rsid w:val="0030480A"/>
    <w:rsid w:val="00304896"/>
    <w:rsid w:val="00307009"/>
    <w:rsid w:val="00310284"/>
    <w:rsid w:val="0031124E"/>
    <w:rsid w:val="00311737"/>
    <w:rsid w:val="00311A29"/>
    <w:rsid w:val="003129C8"/>
    <w:rsid w:val="00312F49"/>
    <w:rsid w:val="003132E7"/>
    <w:rsid w:val="00320609"/>
    <w:rsid w:val="003206E7"/>
    <w:rsid w:val="00320E8C"/>
    <w:rsid w:val="00321B2D"/>
    <w:rsid w:val="00322CCA"/>
    <w:rsid w:val="00323D19"/>
    <w:rsid w:val="0032505F"/>
    <w:rsid w:val="003255F2"/>
    <w:rsid w:val="00326306"/>
    <w:rsid w:val="00327541"/>
    <w:rsid w:val="003304A5"/>
    <w:rsid w:val="003308D5"/>
    <w:rsid w:val="00333374"/>
    <w:rsid w:val="0033369A"/>
    <w:rsid w:val="00333DA0"/>
    <w:rsid w:val="003364ED"/>
    <w:rsid w:val="00336FC2"/>
    <w:rsid w:val="00340FBB"/>
    <w:rsid w:val="003412B3"/>
    <w:rsid w:val="003426CA"/>
    <w:rsid w:val="00343E19"/>
    <w:rsid w:val="00344E73"/>
    <w:rsid w:val="00346FC0"/>
    <w:rsid w:val="003476E4"/>
    <w:rsid w:val="0035269D"/>
    <w:rsid w:val="00352744"/>
    <w:rsid w:val="00357349"/>
    <w:rsid w:val="003578F0"/>
    <w:rsid w:val="00360781"/>
    <w:rsid w:val="00362817"/>
    <w:rsid w:val="003638C0"/>
    <w:rsid w:val="00363EE2"/>
    <w:rsid w:val="00364657"/>
    <w:rsid w:val="00365DBE"/>
    <w:rsid w:val="00367945"/>
    <w:rsid w:val="00367C4F"/>
    <w:rsid w:val="00371E5F"/>
    <w:rsid w:val="003735A4"/>
    <w:rsid w:val="00376342"/>
    <w:rsid w:val="00377083"/>
    <w:rsid w:val="00380FDF"/>
    <w:rsid w:val="00385B52"/>
    <w:rsid w:val="003875EB"/>
    <w:rsid w:val="0039110F"/>
    <w:rsid w:val="00391FB1"/>
    <w:rsid w:val="0039276C"/>
    <w:rsid w:val="003955E9"/>
    <w:rsid w:val="0039627E"/>
    <w:rsid w:val="0039678A"/>
    <w:rsid w:val="00397605"/>
    <w:rsid w:val="003A0239"/>
    <w:rsid w:val="003A214B"/>
    <w:rsid w:val="003A22D3"/>
    <w:rsid w:val="003A25FE"/>
    <w:rsid w:val="003A2DC9"/>
    <w:rsid w:val="003A2F3A"/>
    <w:rsid w:val="003A3A8F"/>
    <w:rsid w:val="003A4514"/>
    <w:rsid w:val="003A4AFD"/>
    <w:rsid w:val="003A6794"/>
    <w:rsid w:val="003A73F8"/>
    <w:rsid w:val="003B01EE"/>
    <w:rsid w:val="003B091C"/>
    <w:rsid w:val="003B3697"/>
    <w:rsid w:val="003B4956"/>
    <w:rsid w:val="003B5100"/>
    <w:rsid w:val="003B7EAF"/>
    <w:rsid w:val="003C051E"/>
    <w:rsid w:val="003C15B2"/>
    <w:rsid w:val="003C176E"/>
    <w:rsid w:val="003C2796"/>
    <w:rsid w:val="003C27CB"/>
    <w:rsid w:val="003C4EB2"/>
    <w:rsid w:val="003C5152"/>
    <w:rsid w:val="003C7F6B"/>
    <w:rsid w:val="003D4719"/>
    <w:rsid w:val="003D4A51"/>
    <w:rsid w:val="003D4B74"/>
    <w:rsid w:val="003D4ECF"/>
    <w:rsid w:val="003D5B86"/>
    <w:rsid w:val="003D6D34"/>
    <w:rsid w:val="003E0740"/>
    <w:rsid w:val="003E58DB"/>
    <w:rsid w:val="003E5E62"/>
    <w:rsid w:val="003E6D91"/>
    <w:rsid w:val="003F0AB4"/>
    <w:rsid w:val="003F58EE"/>
    <w:rsid w:val="003F631F"/>
    <w:rsid w:val="003F7AA5"/>
    <w:rsid w:val="00401FB9"/>
    <w:rsid w:val="004035FE"/>
    <w:rsid w:val="004058BC"/>
    <w:rsid w:val="004074A1"/>
    <w:rsid w:val="00410C78"/>
    <w:rsid w:val="004117F5"/>
    <w:rsid w:val="00411B40"/>
    <w:rsid w:val="0041260A"/>
    <w:rsid w:val="00415C0C"/>
    <w:rsid w:val="0041783D"/>
    <w:rsid w:val="00420F6A"/>
    <w:rsid w:val="004245EA"/>
    <w:rsid w:val="00424CBF"/>
    <w:rsid w:val="004259F1"/>
    <w:rsid w:val="00426A16"/>
    <w:rsid w:val="00430787"/>
    <w:rsid w:val="00430926"/>
    <w:rsid w:val="00431705"/>
    <w:rsid w:val="00431A1B"/>
    <w:rsid w:val="00431FE5"/>
    <w:rsid w:val="00433BEF"/>
    <w:rsid w:val="004341D4"/>
    <w:rsid w:val="00434CBE"/>
    <w:rsid w:val="0043758B"/>
    <w:rsid w:val="00442D3A"/>
    <w:rsid w:val="004432F9"/>
    <w:rsid w:val="00445A58"/>
    <w:rsid w:val="00446B34"/>
    <w:rsid w:val="0045102A"/>
    <w:rsid w:val="004513C8"/>
    <w:rsid w:val="00452527"/>
    <w:rsid w:val="00452821"/>
    <w:rsid w:val="00452A8C"/>
    <w:rsid w:val="0045379E"/>
    <w:rsid w:val="00453C8C"/>
    <w:rsid w:val="00455108"/>
    <w:rsid w:val="00460CCA"/>
    <w:rsid w:val="00462056"/>
    <w:rsid w:val="00463A75"/>
    <w:rsid w:val="00466733"/>
    <w:rsid w:val="00466D81"/>
    <w:rsid w:val="00471887"/>
    <w:rsid w:val="00471AAB"/>
    <w:rsid w:val="00473161"/>
    <w:rsid w:val="004732F7"/>
    <w:rsid w:val="0047518D"/>
    <w:rsid w:val="004769AC"/>
    <w:rsid w:val="00477149"/>
    <w:rsid w:val="00477E8F"/>
    <w:rsid w:val="004827B5"/>
    <w:rsid w:val="004828B5"/>
    <w:rsid w:val="00482C8E"/>
    <w:rsid w:val="00484155"/>
    <w:rsid w:val="004846E1"/>
    <w:rsid w:val="00484CF8"/>
    <w:rsid w:val="004851D0"/>
    <w:rsid w:val="00485CF9"/>
    <w:rsid w:val="00490368"/>
    <w:rsid w:val="004907CC"/>
    <w:rsid w:val="004933A7"/>
    <w:rsid w:val="004935D9"/>
    <w:rsid w:val="004941BC"/>
    <w:rsid w:val="004A0A18"/>
    <w:rsid w:val="004A1724"/>
    <w:rsid w:val="004A2329"/>
    <w:rsid w:val="004A5C7D"/>
    <w:rsid w:val="004A6BE4"/>
    <w:rsid w:val="004A730D"/>
    <w:rsid w:val="004A7A91"/>
    <w:rsid w:val="004B0EF8"/>
    <w:rsid w:val="004B2371"/>
    <w:rsid w:val="004B2418"/>
    <w:rsid w:val="004B33F5"/>
    <w:rsid w:val="004B41D4"/>
    <w:rsid w:val="004B4E20"/>
    <w:rsid w:val="004B5323"/>
    <w:rsid w:val="004B5AEB"/>
    <w:rsid w:val="004B609C"/>
    <w:rsid w:val="004B6CF7"/>
    <w:rsid w:val="004B7709"/>
    <w:rsid w:val="004C0036"/>
    <w:rsid w:val="004C29AC"/>
    <w:rsid w:val="004C525C"/>
    <w:rsid w:val="004C53BA"/>
    <w:rsid w:val="004C5A93"/>
    <w:rsid w:val="004C6625"/>
    <w:rsid w:val="004C6B9D"/>
    <w:rsid w:val="004C6FB5"/>
    <w:rsid w:val="004D1178"/>
    <w:rsid w:val="004D1742"/>
    <w:rsid w:val="004D3582"/>
    <w:rsid w:val="004D4214"/>
    <w:rsid w:val="004D50FE"/>
    <w:rsid w:val="004D56E1"/>
    <w:rsid w:val="004D5EF9"/>
    <w:rsid w:val="004D6ECA"/>
    <w:rsid w:val="004E0569"/>
    <w:rsid w:val="004E1036"/>
    <w:rsid w:val="004E1615"/>
    <w:rsid w:val="004E36FF"/>
    <w:rsid w:val="004E4E22"/>
    <w:rsid w:val="004E588D"/>
    <w:rsid w:val="004E5F05"/>
    <w:rsid w:val="004E72C0"/>
    <w:rsid w:val="004E7D7A"/>
    <w:rsid w:val="004F0139"/>
    <w:rsid w:val="004F51A9"/>
    <w:rsid w:val="004F55CC"/>
    <w:rsid w:val="004F7B1C"/>
    <w:rsid w:val="004F7E47"/>
    <w:rsid w:val="005028EB"/>
    <w:rsid w:val="00503D6B"/>
    <w:rsid w:val="00503FAE"/>
    <w:rsid w:val="00505DC9"/>
    <w:rsid w:val="005064D5"/>
    <w:rsid w:val="00507800"/>
    <w:rsid w:val="00507E76"/>
    <w:rsid w:val="00507E92"/>
    <w:rsid w:val="00511E41"/>
    <w:rsid w:val="005130E2"/>
    <w:rsid w:val="005138FC"/>
    <w:rsid w:val="005147EA"/>
    <w:rsid w:val="005148CD"/>
    <w:rsid w:val="00515433"/>
    <w:rsid w:val="0051585A"/>
    <w:rsid w:val="00522B04"/>
    <w:rsid w:val="00523026"/>
    <w:rsid w:val="00523D65"/>
    <w:rsid w:val="00523FF3"/>
    <w:rsid w:val="00526FA0"/>
    <w:rsid w:val="00527F56"/>
    <w:rsid w:val="005302C8"/>
    <w:rsid w:val="005326DC"/>
    <w:rsid w:val="0053664A"/>
    <w:rsid w:val="0054383F"/>
    <w:rsid w:val="005529CD"/>
    <w:rsid w:val="005539CD"/>
    <w:rsid w:val="00553BB5"/>
    <w:rsid w:val="00553CEF"/>
    <w:rsid w:val="00555792"/>
    <w:rsid w:val="0055706C"/>
    <w:rsid w:val="00560A43"/>
    <w:rsid w:val="0056122E"/>
    <w:rsid w:val="00561C08"/>
    <w:rsid w:val="00563218"/>
    <w:rsid w:val="00563CEB"/>
    <w:rsid w:val="00564FD1"/>
    <w:rsid w:val="005652E3"/>
    <w:rsid w:val="005658AC"/>
    <w:rsid w:val="005733D6"/>
    <w:rsid w:val="00573E65"/>
    <w:rsid w:val="0057634F"/>
    <w:rsid w:val="0057643E"/>
    <w:rsid w:val="00576959"/>
    <w:rsid w:val="0057776E"/>
    <w:rsid w:val="00581503"/>
    <w:rsid w:val="00581F49"/>
    <w:rsid w:val="00582DCD"/>
    <w:rsid w:val="00583028"/>
    <w:rsid w:val="00583091"/>
    <w:rsid w:val="00583502"/>
    <w:rsid w:val="00583570"/>
    <w:rsid w:val="00586EEC"/>
    <w:rsid w:val="00587376"/>
    <w:rsid w:val="0059030A"/>
    <w:rsid w:val="005908A1"/>
    <w:rsid w:val="00591029"/>
    <w:rsid w:val="00591086"/>
    <w:rsid w:val="005917C5"/>
    <w:rsid w:val="00592BE8"/>
    <w:rsid w:val="00594D42"/>
    <w:rsid w:val="00594FEC"/>
    <w:rsid w:val="0059578A"/>
    <w:rsid w:val="00595ACC"/>
    <w:rsid w:val="0059744B"/>
    <w:rsid w:val="005A1136"/>
    <w:rsid w:val="005A1E65"/>
    <w:rsid w:val="005A4AE7"/>
    <w:rsid w:val="005A5C25"/>
    <w:rsid w:val="005A634C"/>
    <w:rsid w:val="005A7D52"/>
    <w:rsid w:val="005B0FEA"/>
    <w:rsid w:val="005B4461"/>
    <w:rsid w:val="005B4736"/>
    <w:rsid w:val="005B4976"/>
    <w:rsid w:val="005B6A35"/>
    <w:rsid w:val="005B7E39"/>
    <w:rsid w:val="005C2107"/>
    <w:rsid w:val="005C27D3"/>
    <w:rsid w:val="005C296F"/>
    <w:rsid w:val="005C48A4"/>
    <w:rsid w:val="005C7D84"/>
    <w:rsid w:val="005D02AD"/>
    <w:rsid w:val="005D0555"/>
    <w:rsid w:val="005D323F"/>
    <w:rsid w:val="005D649D"/>
    <w:rsid w:val="005D65E4"/>
    <w:rsid w:val="005D6B75"/>
    <w:rsid w:val="005E0E4A"/>
    <w:rsid w:val="005E14AD"/>
    <w:rsid w:val="005E1E3E"/>
    <w:rsid w:val="005E3523"/>
    <w:rsid w:val="005F0A9B"/>
    <w:rsid w:val="005F1162"/>
    <w:rsid w:val="005F2257"/>
    <w:rsid w:val="006021B1"/>
    <w:rsid w:val="0060222D"/>
    <w:rsid w:val="006034C9"/>
    <w:rsid w:val="0060431A"/>
    <w:rsid w:val="00605ED6"/>
    <w:rsid w:val="00606AF1"/>
    <w:rsid w:val="00606F06"/>
    <w:rsid w:val="0060753C"/>
    <w:rsid w:val="0061001D"/>
    <w:rsid w:val="00610DAE"/>
    <w:rsid w:val="00613581"/>
    <w:rsid w:val="00613AFA"/>
    <w:rsid w:val="006146CD"/>
    <w:rsid w:val="00614A57"/>
    <w:rsid w:val="00617D5D"/>
    <w:rsid w:val="0062021E"/>
    <w:rsid w:val="00620F42"/>
    <w:rsid w:val="006215E6"/>
    <w:rsid w:val="00622ED3"/>
    <w:rsid w:val="006247B2"/>
    <w:rsid w:val="00627E3C"/>
    <w:rsid w:val="00630A9D"/>
    <w:rsid w:val="00631AF1"/>
    <w:rsid w:val="00631EEF"/>
    <w:rsid w:val="00632F93"/>
    <w:rsid w:val="00634A11"/>
    <w:rsid w:val="00637895"/>
    <w:rsid w:val="00641E67"/>
    <w:rsid w:val="00643161"/>
    <w:rsid w:val="00643563"/>
    <w:rsid w:val="0064541A"/>
    <w:rsid w:val="006454DE"/>
    <w:rsid w:val="00647054"/>
    <w:rsid w:val="00647660"/>
    <w:rsid w:val="006506A8"/>
    <w:rsid w:val="00650AC0"/>
    <w:rsid w:val="0065116F"/>
    <w:rsid w:val="00652C6F"/>
    <w:rsid w:val="00652FA5"/>
    <w:rsid w:val="0065345C"/>
    <w:rsid w:val="0065434F"/>
    <w:rsid w:val="006564D7"/>
    <w:rsid w:val="006568BA"/>
    <w:rsid w:val="0065745E"/>
    <w:rsid w:val="006629F7"/>
    <w:rsid w:val="00662C8E"/>
    <w:rsid w:val="006631D3"/>
    <w:rsid w:val="00664401"/>
    <w:rsid w:val="0066446A"/>
    <w:rsid w:val="006655D5"/>
    <w:rsid w:val="0066572C"/>
    <w:rsid w:val="00665EA8"/>
    <w:rsid w:val="00666DB3"/>
    <w:rsid w:val="00674665"/>
    <w:rsid w:val="0067664D"/>
    <w:rsid w:val="0067717D"/>
    <w:rsid w:val="0067778F"/>
    <w:rsid w:val="00683343"/>
    <w:rsid w:val="00686042"/>
    <w:rsid w:val="0069001A"/>
    <w:rsid w:val="00694AC9"/>
    <w:rsid w:val="006A0CE7"/>
    <w:rsid w:val="006A155D"/>
    <w:rsid w:val="006A1EDA"/>
    <w:rsid w:val="006A20AD"/>
    <w:rsid w:val="006A2510"/>
    <w:rsid w:val="006A4487"/>
    <w:rsid w:val="006A4607"/>
    <w:rsid w:val="006A4BF7"/>
    <w:rsid w:val="006A6BF6"/>
    <w:rsid w:val="006A7657"/>
    <w:rsid w:val="006B0109"/>
    <w:rsid w:val="006B03DD"/>
    <w:rsid w:val="006B14D3"/>
    <w:rsid w:val="006B36CE"/>
    <w:rsid w:val="006B4F16"/>
    <w:rsid w:val="006B5524"/>
    <w:rsid w:val="006B5EDA"/>
    <w:rsid w:val="006B6CDE"/>
    <w:rsid w:val="006B7C55"/>
    <w:rsid w:val="006C00EC"/>
    <w:rsid w:val="006C0822"/>
    <w:rsid w:val="006C414F"/>
    <w:rsid w:val="006C620A"/>
    <w:rsid w:val="006C6279"/>
    <w:rsid w:val="006C799F"/>
    <w:rsid w:val="006D160C"/>
    <w:rsid w:val="006D232E"/>
    <w:rsid w:val="006D3702"/>
    <w:rsid w:val="006D4876"/>
    <w:rsid w:val="006D4F44"/>
    <w:rsid w:val="006D64C0"/>
    <w:rsid w:val="006E45F6"/>
    <w:rsid w:val="006E4951"/>
    <w:rsid w:val="006E574E"/>
    <w:rsid w:val="006E7185"/>
    <w:rsid w:val="006F28B5"/>
    <w:rsid w:val="006F6154"/>
    <w:rsid w:val="006F66D6"/>
    <w:rsid w:val="006F7239"/>
    <w:rsid w:val="00700D34"/>
    <w:rsid w:val="007027C0"/>
    <w:rsid w:val="0070368C"/>
    <w:rsid w:val="00706426"/>
    <w:rsid w:val="00707728"/>
    <w:rsid w:val="0071071F"/>
    <w:rsid w:val="00711553"/>
    <w:rsid w:val="00714925"/>
    <w:rsid w:val="007163B1"/>
    <w:rsid w:val="00717471"/>
    <w:rsid w:val="007175A8"/>
    <w:rsid w:val="00722745"/>
    <w:rsid w:val="00722EE0"/>
    <w:rsid w:val="00724311"/>
    <w:rsid w:val="00724613"/>
    <w:rsid w:val="00724D89"/>
    <w:rsid w:val="00726D42"/>
    <w:rsid w:val="00727307"/>
    <w:rsid w:val="00730016"/>
    <w:rsid w:val="00730DD5"/>
    <w:rsid w:val="0073160B"/>
    <w:rsid w:val="0073357A"/>
    <w:rsid w:val="0073575B"/>
    <w:rsid w:val="00741AA0"/>
    <w:rsid w:val="00742985"/>
    <w:rsid w:val="007441AA"/>
    <w:rsid w:val="00744FC0"/>
    <w:rsid w:val="00745DB6"/>
    <w:rsid w:val="00750D04"/>
    <w:rsid w:val="00750D0D"/>
    <w:rsid w:val="0075201A"/>
    <w:rsid w:val="00753D93"/>
    <w:rsid w:val="00754D9C"/>
    <w:rsid w:val="0075619F"/>
    <w:rsid w:val="007603CC"/>
    <w:rsid w:val="00762717"/>
    <w:rsid w:val="00762A00"/>
    <w:rsid w:val="00762C63"/>
    <w:rsid w:val="007637BB"/>
    <w:rsid w:val="0076624A"/>
    <w:rsid w:val="00766342"/>
    <w:rsid w:val="00766DFE"/>
    <w:rsid w:val="00771625"/>
    <w:rsid w:val="00771959"/>
    <w:rsid w:val="00772050"/>
    <w:rsid w:val="00772A65"/>
    <w:rsid w:val="00773637"/>
    <w:rsid w:val="007748AE"/>
    <w:rsid w:val="00775144"/>
    <w:rsid w:val="00775292"/>
    <w:rsid w:val="00775DA1"/>
    <w:rsid w:val="00776BC8"/>
    <w:rsid w:val="0078052C"/>
    <w:rsid w:val="007833F9"/>
    <w:rsid w:val="0078588D"/>
    <w:rsid w:val="00787493"/>
    <w:rsid w:val="00787A56"/>
    <w:rsid w:val="00790D4D"/>
    <w:rsid w:val="0079443D"/>
    <w:rsid w:val="00794964"/>
    <w:rsid w:val="007954AF"/>
    <w:rsid w:val="00795D42"/>
    <w:rsid w:val="00797ACF"/>
    <w:rsid w:val="007A0974"/>
    <w:rsid w:val="007A0C70"/>
    <w:rsid w:val="007A0D62"/>
    <w:rsid w:val="007A38F3"/>
    <w:rsid w:val="007A4687"/>
    <w:rsid w:val="007A50EE"/>
    <w:rsid w:val="007A6AEB"/>
    <w:rsid w:val="007A6B73"/>
    <w:rsid w:val="007A7531"/>
    <w:rsid w:val="007A77FC"/>
    <w:rsid w:val="007A784B"/>
    <w:rsid w:val="007B0BFA"/>
    <w:rsid w:val="007B1000"/>
    <w:rsid w:val="007B174B"/>
    <w:rsid w:val="007B36A4"/>
    <w:rsid w:val="007B377F"/>
    <w:rsid w:val="007B49A1"/>
    <w:rsid w:val="007B4B01"/>
    <w:rsid w:val="007B4F77"/>
    <w:rsid w:val="007B6886"/>
    <w:rsid w:val="007C018E"/>
    <w:rsid w:val="007C2A33"/>
    <w:rsid w:val="007C3820"/>
    <w:rsid w:val="007C3841"/>
    <w:rsid w:val="007C3954"/>
    <w:rsid w:val="007D0D80"/>
    <w:rsid w:val="007D1606"/>
    <w:rsid w:val="007D2B3C"/>
    <w:rsid w:val="007D3297"/>
    <w:rsid w:val="007D3CF3"/>
    <w:rsid w:val="007D40CC"/>
    <w:rsid w:val="007D4416"/>
    <w:rsid w:val="007D4A8F"/>
    <w:rsid w:val="007D5C08"/>
    <w:rsid w:val="007D7CAC"/>
    <w:rsid w:val="007E01DE"/>
    <w:rsid w:val="007E2258"/>
    <w:rsid w:val="007E33D1"/>
    <w:rsid w:val="007E41C2"/>
    <w:rsid w:val="007E52E9"/>
    <w:rsid w:val="007E5F4B"/>
    <w:rsid w:val="007E72C9"/>
    <w:rsid w:val="007E797D"/>
    <w:rsid w:val="007F0CFA"/>
    <w:rsid w:val="007F0ED6"/>
    <w:rsid w:val="007F1441"/>
    <w:rsid w:val="007F2182"/>
    <w:rsid w:val="007F3422"/>
    <w:rsid w:val="007F5755"/>
    <w:rsid w:val="007F630B"/>
    <w:rsid w:val="00800086"/>
    <w:rsid w:val="008013B0"/>
    <w:rsid w:val="00801BA0"/>
    <w:rsid w:val="00803E17"/>
    <w:rsid w:val="00804665"/>
    <w:rsid w:val="008063DD"/>
    <w:rsid w:val="00807600"/>
    <w:rsid w:val="00807A56"/>
    <w:rsid w:val="00810422"/>
    <w:rsid w:val="008112E0"/>
    <w:rsid w:val="00813B2F"/>
    <w:rsid w:val="00815DDD"/>
    <w:rsid w:val="00815E08"/>
    <w:rsid w:val="00817099"/>
    <w:rsid w:val="00817374"/>
    <w:rsid w:val="00820EB8"/>
    <w:rsid w:val="0082236A"/>
    <w:rsid w:val="0082339D"/>
    <w:rsid w:val="00823825"/>
    <w:rsid w:val="00823D1C"/>
    <w:rsid w:val="00825849"/>
    <w:rsid w:val="0082585B"/>
    <w:rsid w:val="00825896"/>
    <w:rsid w:val="00827E44"/>
    <w:rsid w:val="00830240"/>
    <w:rsid w:val="008321D7"/>
    <w:rsid w:val="00832F2C"/>
    <w:rsid w:val="00837ACB"/>
    <w:rsid w:val="0084075B"/>
    <w:rsid w:val="00843CF3"/>
    <w:rsid w:val="00845414"/>
    <w:rsid w:val="00845D9B"/>
    <w:rsid w:val="008479AD"/>
    <w:rsid w:val="00847E71"/>
    <w:rsid w:val="008519C8"/>
    <w:rsid w:val="0085482E"/>
    <w:rsid w:val="00854A08"/>
    <w:rsid w:val="00861FF4"/>
    <w:rsid w:val="0086308A"/>
    <w:rsid w:val="00863B79"/>
    <w:rsid w:val="0086570D"/>
    <w:rsid w:val="00866A57"/>
    <w:rsid w:val="00867082"/>
    <w:rsid w:val="00870F52"/>
    <w:rsid w:val="00871630"/>
    <w:rsid w:val="00872FD6"/>
    <w:rsid w:val="00873004"/>
    <w:rsid w:val="00873BEC"/>
    <w:rsid w:val="008750C0"/>
    <w:rsid w:val="008819E8"/>
    <w:rsid w:val="00882824"/>
    <w:rsid w:val="008846AB"/>
    <w:rsid w:val="00884F12"/>
    <w:rsid w:val="00885281"/>
    <w:rsid w:val="00885D39"/>
    <w:rsid w:val="00886787"/>
    <w:rsid w:val="00886796"/>
    <w:rsid w:val="0088751E"/>
    <w:rsid w:val="00890E88"/>
    <w:rsid w:val="00893753"/>
    <w:rsid w:val="00895520"/>
    <w:rsid w:val="00897638"/>
    <w:rsid w:val="00897BC2"/>
    <w:rsid w:val="008A12B5"/>
    <w:rsid w:val="008A2D2C"/>
    <w:rsid w:val="008A6768"/>
    <w:rsid w:val="008A7BB8"/>
    <w:rsid w:val="008B0FC7"/>
    <w:rsid w:val="008B341D"/>
    <w:rsid w:val="008B3F80"/>
    <w:rsid w:val="008B4AAC"/>
    <w:rsid w:val="008B7BDE"/>
    <w:rsid w:val="008C081E"/>
    <w:rsid w:val="008C441F"/>
    <w:rsid w:val="008C7423"/>
    <w:rsid w:val="008D0AB1"/>
    <w:rsid w:val="008D2503"/>
    <w:rsid w:val="008D2B18"/>
    <w:rsid w:val="008D3D54"/>
    <w:rsid w:val="008D48AF"/>
    <w:rsid w:val="008D59D8"/>
    <w:rsid w:val="008E3CAE"/>
    <w:rsid w:val="008E4094"/>
    <w:rsid w:val="008E4991"/>
    <w:rsid w:val="008E5F0A"/>
    <w:rsid w:val="008E6A29"/>
    <w:rsid w:val="008E6CF7"/>
    <w:rsid w:val="008F0FD8"/>
    <w:rsid w:val="00900A38"/>
    <w:rsid w:val="00903C8E"/>
    <w:rsid w:val="00904780"/>
    <w:rsid w:val="009063EE"/>
    <w:rsid w:val="0091167D"/>
    <w:rsid w:val="00912128"/>
    <w:rsid w:val="009126A5"/>
    <w:rsid w:val="00913425"/>
    <w:rsid w:val="009135EA"/>
    <w:rsid w:val="00915980"/>
    <w:rsid w:val="00917D90"/>
    <w:rsid w:val="00921A4A"/>
    <w:rsid w:val="0092209B"/>
    <w:rsid w:val="00922D5F"/>
    <w:rsid w:val="00923B84"/>
    <w:rsid w:val="009272DF"/>
    <w:rsid w:val="00931320"/>
    <w:rsid w:val="00931863"/>
    <w:rsid w:val="00935DFA"/>
    <w:rsid w:val="00936B65"/>
    <w:rsid w:val="00937451"/>
    <w:rsid w:val="0093776E"/>
    <w:rsid w:val="00942F70"/>
    <w:rsid w:val="009431DE"/>
    <w:rsid w:val="00943550"/>
    <w:rsid w:val="00943DBE"/>
    <w:rsid w:val="00946856"/>
    <w:rsid w:val="00947338"/>
    <w:rsid w:val="0095026D"/>
    <w:rsid w:val="00953036"/>
    <w:rsid w:val="009540F4"/>
    <w:rsid w:val="00956A19"/>
    <w:rsid w:val="00956CB0"/>
    <w:rsid w:val="009570C9"/>
    <w:rsid w:val="00957C13"/>
    <w:rsid w:val="00957D6E"/>
    <w:rsid w:val="00957F37"/>
    <w:rsid w:val="009601B7"/>
    <w:rsid w:val="0096067E"/>
    <w:rsid w:val="009610E2"/>
    <w:rsid w:val="009616BC"/>
    <w:rsid w:val="00963D29"/>
    <w:rsid w:val="00964489"/>
    <w:rsid w:val="0096674F"/>
    <w:rsid w:val="00973E50"/>
    <w:rsid w:val="00974952"/>
    <w:rsid w:val="00974F06"/>
    <w:rsid w:val="009755E5"/>
    <w:rsid w:val="00980CA5"/>
    <w:rsid w:val="00981201"/>
    <w:rsid w:val="0098223B"/>
    <w:rsid w:val="00982CBB"/>
    <w:rsid w:val="009833AC"/>
    <w:rsid w:val="00986298"/>
    <w:rsid w:val="0098686F"/>
    <w:rsid w:val="00990A92"/>
    <w:rsid w:val="00992FB8"/>
    <w:rsid w:val="00993201"/>
    <w:rsid w:val="00994DFB"/>
    <w:rsid w:val="00995A97"/>
    <w:rsid w:val="00996627"/>
    <w:rsid w:val="009A07C0"/>
    <w:rsid w:val="009A0A2D"/>
    <w:rsid w:val="009A2679"/>
    <w:rsid w:val="009A287F"/>
    <w:rsid w:val="009A33EE"/>
    <w:rsid w:val="009A444B"/>
    <w:rsid w:val="009A4693"/>
    <w:rsid w:val="009A46FB"/>
    <w:rsid w:val="009A4849"/>
    <w:rsid w:val="009A5005"/>
    <w:rsid w:val="009A7019"/>
    <w:rsid w:val="009A7F2A"/>
    <w:rsid w:val="009B03DD"/>
    <w:rsid w:val="009B14BD"/>
    <w:rsid w:val="009B200C"/>
    <w:rsid w:val="009B2636"/>
    <w:rsid w:val="009B4C59"/>
    <w:rsid w:val="009C0924"/>
    <w:rsid w:val="009C3027"/>
    <w:rsid w:val="009C30A2"/>
    <w:rsid w:val="009C5886"/>
    <w:rsid w:val="009C657C"/>
    <w:rsid w:val="009D04F9"/>
    <w:rsid w:val="009D11B8"/>
    <w:rsid w:val="009D12E0"/>
    <w:rsid w:val="009D13A1"/>
    <w:rsid w:val="009D1AD4"/>
    <w:rsid w:val="009D1BB5"/>
    <w:rsid w:val="009D3A4F"/>
    <w:rsid w:val="009D3D14"/>
    <w:rsid w:val="009D3F1E"/>
    <w:rsid w:val="009D4C04"/>
    <w:rsid w:val="009D6388"/>
    <w:rsid w:val="009D67FE"/>
    <w:rsid w:val="009E3992"/>
    <w:rsid w:val="009E77E2"/>
    <w:rsid w:val="009F43E9"/>
    <w:rsid w:val="009F4F85"/>
    <w:rsid w:val="009F71B5"/>
    <w:rsid w:val="00A010C1"/>
    <w:rsid w:val="00A0148D"/>
    <w:rsid w:val="00A01913"/>
    <w:rsid w:val="00A03B29"/>
    <w:rsid w:val="00A04332"/>
    <w:rsid w:val="00A056DB"/>
    <w:rsid w:val="00A07C92"/>
    <w:rsid w:val="00A10455"/>
    <w:rsid w:val="00A116C3"/>
    <w:rsid w:val="00A134EE"/>
    <w:rsid w:val="00A13DE2"/>
    <w:rsid w:val="00A14D24"/>
    <w:rsid w:val="00A15A67"/>
    <w:rsid w:val="00A15AE5"/>
    <w:rsid w:val="00A161E8"/>
    <w:rsid w:val="00A17AD4"/>
    <w:rsid w:val="00A17FB8"/>
    <w:rsid w:val="00A23BD4"/>
    <w:rsid w:val="00A245BB"/>
    <w:rsid w:val="00A26433"/>
    <w:rsid w:val="00A26E6E"/>
    <w:rsid w:val="00A3079E"/>
    <w:rsid w:val="00A318F9"/>
    <w:rsid w:val="00A32D2B"/>
    <w:rsid w:val="00A337B4"/>
    <w:rsid w:val="00A34675"/>
    <w:rsid w:val="00A36DA4"/>
    <w:rsid w:val="00A37D91"/>
    <w:rsid w:val="00A413FB"/>
    <w:rsid w:val="00A4178D"/>
    <w:rsid w:val="00A43ACE"/>
    <w:rsid w:val="00A45A63"/>
    <w:rsid w:val="00A47059"/>
    <w:rsid w:val="00A50ADD"/>
    <w:rsid w:val="00A50E2F"/>
    <w:rsid w:val="00A52688"/>
    <w:rsid w:val="00A55B63"/>
    <w:rsid w:val="00A55BD3"/>
    <w:rsid w:val="00A55DBF"/>
    <w:rsid w:val="00A55FB4"/>
    <w:rsid w:val="00A56A09"/>
    <w:rsid w:val="00A56C56"/>
    <w:rsid w:val="00A607C2"/>
    <w:rsid w:val="00A6118E"/>
    <w:rsid w:val="00A637ED"/>
    <w:rsid w:val="00A63DA8"/>
    <w:rsid w:val="00A645E6"/>
    <w:rsid w:val="00A6710E"/>
    <w:rsid w:val="00A67FCD"/>
    <w:rsid w:val="00A7086C"/>
    <w:rsid w:val="00A708C1"/>
    <w:rsid w:val="00A71298"/>
    <w:rsid w:val="00A7537B"/>
    <w:rsid w:val="00A77B6A"/>
    <w:rsid w:val="00A8083C"/>
    <w:rsid w:val="00A83CC9"/>
    <w:rsid w:val="00A870B2"/>
    <w:rsid w:val="00A9057D"/>
    <w:rsid w:val="00A90D44"/>
    <w:rsid w:val="00A91684"/>
    <w:rsid w:val="00A91DF4"/>
    <w:rsid w:val="00A937C3"/>
    <w:rsid w:val="00A95CF7"/>
    <w:rsid w:val="00A968B1"/>
    <w:rsid w:val="00A97974"/>
    <w:rsid w:val="00A97AD7"/>
    <w:rsid w:val="00AA0F02"/>
    <w:rsid w:val="00AA12EE"/>
    <w:rsid w:val="00AA1DF7"/>
    <w:rsid w:val="00AA27C3"/>
    <w:rsid w:val="00AA4CDC"/>
    <w:rsid w:val="00AA6022"/>
    <w:rsid w:val="00AA6066"/>
    <w:rsid w:val="00AA6E8D"/>
    <w:rsid w:val="00AB0FFC"/>
    <w:rsid w:val="00AB210F"/>
    <w:rsid w:val="00AB276B"/>
    <w:rsid w:val="00AB3831"/>
    <w:rsid w:val="00AB3999"/>
    <w:rsid w:val="00AB3CEF"/>
    <w:rsid w:val="00AB6781"/>
    <w:rsid w:val="00AC04FD"/>
    <w:rsid w:val="00AC0758"/>
    <w:rsid w:val="00AC2CA4"/>
    <w:rsid w:val="00AC2FC0"/>
    <w:rsid w:val="00AC393E"/>
    <w:rsid w:val="00AC4294"/>
    <w:rsid w:val="00AC5337"/>
    <w:rsid w:val="00AC5BB5"/>
    <w:rsid w:val="00AC5FDC"/>
    <w:rsid w:val="00AC7E18"/>
    <w:rsid w:val="00AD1507"/>
    <w:rsid w:val="00AD567F"/>
    <w:rsid w:val="00AD6A11"/>
    <w:rsid w:val="00AD7420"/>
    <w:rsid w:val="00AE1474"/>
    <w:rsid w:val="00AE16CA"/>
    <w:rsid w:val="00AE3E4B"/>
    <w:rsid w:val="00AE4452"/>
    <w:rsid w:val="00AE4519"/>
    <w:rsid w:val="00AE5304"/>
    <w:rsid w:val="00AE5CA2"/>
    <w:rsid w:val="00AE5FFE"/>
    <w:rsid w:val="00AE609E"/>
    <w:rsid w:val="00AE69BA"/>
    <w:rsid w:val="00AE6C63"/>
    <w:rsid w:val="00AE6CFD"/>
    <w:rsid w:val="00AF2285"/>
    <w:rsid w:val="00AF240C"/>
    <w:rsid w:val="00AF2A8F"/>
    <w:rsid w:val="00AF4AED"/>
    <w:rsid w:val="00AF52D3"/>
    <w:rsid w:val="00AF67B4"/>
    <w:rsid w:val="00B003FB"/>
    <w:rsid w:val="00B105AC"/>
    <w:rsid w:val="00B13DBD"/>
    <w:rsid w:val="00B1474E"/>
    <w:rsid w:val="00B147DF"/>
    <w:rsid w:val="00B16A6D"/>
    <w:rsid w:val="00B20BB8"/>
    <w:rsid w:val="00B230B1"/>
    <w:rsid w:val="00B24162"/>
    <w:rsid w:val="00B261A7"/>
    <w:rsid w:val="00B26D6A"/>
    <w:rsid w:val="00B27AA7"/>
    <w:rsid w:val="00B30080"/>
    <w:rsid w:val="00B31982"/>
    <w:rsid w:val="00B32ED8"/>
    <w:rsid w:val="00B340C2"/>
    <w:rsid w:val="00B3442C"/>
    <w:rsid w:val="00B37FB2"/>
    <w:rsid w:val="00B4081C"/>
    <w:rsid w:val="00B408CE"/>
    <w:rsid w:val="00B43EE2"/>
    <w:rsid w:val="00B445F7"/>
    <w:rsid w:val="00B45192"/>
    <w:rsid w:val="00B466A5"/>
    <w:rsid w:val="00B51DB0"/>
    <w:rsid w:val="00B52560"/>
    <w:rsid w:val="00B5471D"/>
    <w:rsid w:val="00B5544B"/>
    <w:rsid w:val="00B56ECA"/>
    <w:rsid w:val="00B57A10"/>
    <w:rsid w:val="00B60414"/>
    <w:rsid w:val="00B61A1A"/>
    <w:rsid w:val="00B63E9D"/>
    <w:rsid w:val="00B646AB"/>
    <w:rsid w:val="00B65DF6"/>
    <w:rsid w:val="00B71ED6"/>
    <w:rsid w:val="00B741AA"/>
    <w:rsid w:val="00B752AE"/>
    <w:rsid w:val="00B77537"/>
    <w:rsid w:val="00B776D4"/>
    <w:rsid w:val="00B77E34"/>
    <w:rsid w:val="00B82BC6"/>
    <w:rsid w:val="00B846BF"/>
    <w:rsid w:val="00B857E1"/>
    <w:rsid w:val="00B861DA"/>
    <w:rsid w:val="00B87356"/>
    <w:rsid w:val="00B877F9"/>
    <w:rsid w:val="00B87D63"/>
    <w:rsid w:val="00B9088B"/>
    <w:rsid w:val="00B95210"/>
    <w:rsid w:val="00B974BE"/>
    <w:rsid w:val="00BA12F2"/>
    <w:rsid w:val="00BA213F"/>
    <w:rsid w:val="00BA2388"/>
    <w:rsid w:val="00BA2A55"/>
    <w:rsid w:val="00BA34DF"/>
    <w:rsid w:val="00BA378B"/>
    <w:rsid w:val="00BA37FA"/>
    <w:rsid w:val="00BA3CBA"/>
    <w:rsid w:val="00BA586D"/>
    <w:rsid w:val="00BA6A91"/>
    <w:rsid w:val="00BA6F71"/>
    <w:rsid w:val="00BA7AB3"/>
    <w:rsid w:val="00BB0909"/>
    <w:rsid w:val="00BB2A16"/>
    <w:rsid w:val="00BB2A71"/>
    <w:rsid w:val="00BB59D0"/>
    <w:rsid w:val="00BB5DC1"/>
    <w:rsid w:val="00BB6157"/>
    <w:rsid w:val="00BC058F"/>
    <w:rsid w:val="00BC4E20"/>
    <w:rsid w:val="00BC561E"/>
    <w:rsid w:val="00BC6090"/>
    <w:rsid w:val="00BC63D0"/>
    <w:rsid w:val="00BC7DE1"/>
    <w:rsid w:val="00BD35A9"/>
    <w:rsid w:val="00BD547C"/>
    <w:rsid w:val="00BD6FBE"/>
    <w:rsid w:val="00BE0F59"/>
    <w:rsid w:val="00BE2C89"/>
    <w:rsid w:val="00BE5396"/>
    <w:rsid w:val="00BE5A1D"/>
    <w:rsid w:val="00BE5D3F"/>
    <w:rsid w:val="00BE68EB"/>
    <w:rsid w:val="00BE6B43"/>
    <w:rsid w:val="00BE767C"/>
    <w:rsid w:val="00BF0A73"/>
    <w:rsid w:val="00BF10F2"/>
    <w:rsid w:val="00BF341D"/>
    <w:rsid w:val="00BF44CA"/>
    <w:rsid w:val="00BF637A"/>
    <w:rsid w:val="00BF7F5E"/>
    <w:rsid w:val="00C00F68"/>
    <w:rsid w:val="00C018A0"/>
    <w:rsid w:val="00C039C3"/>
    <w:rsid w:val="00C04D54"/>
    <w:rsid w:val="00C07412"/>
    <w:rsid w:val="00C075A9"/>
    <w:rsid w:val="00C1035E"/>
    <w:rsid w:val="00C10B2B"/>
    <w:rsid w:val="00C11060"/>
    <w:rsid w:val="00C12E85"/>
    <w:rsid w:val="00C14AD2"/>
    <w:rsid w:val="00C15A44"/>
    <w:rsid w:val="00C1600A"/>
    <w:rsid w:val="00C171C6"/>
    <w:rsid w:val="00C17E95"/>
    <w:rsid w:val="00C225B0"/>
    <w:rsid w:val="00C2480E"/>
    <w:rsid w:val="00C309FC"/>
    <w:rsid w:val="00C312E2"/>
    <w:rsid w:val="00C31BE2"/>
    <w:rsid w:val="00C335EE"/>
    <w:rsid w:val="00C34CDA"/>
    <w:rsid w:val="00C378A7"/>
    <w:rsid w:val="00C40225"/>
    <w:rsid w:val="00C41DB8"/>
    <w:rsid w:val="00C42BA2"/>
    <w:rsid w:val="00C43EE1"/>
    <w:rsid w:val="00C457E9"/>
    <w:rsid w:val="00C46FDA"/>
    <w:rsid w:val="00C47BEA"/>
    <w:rsid w:val="00C50C97"/>
    <w:rsid w:val="00C5245F"/>
    <w:rsid w:val="00C527C3"/>
    <w:rsid w:val="00C5303E"/>
    <w:rsid w:val="00C53362"/>
    <w:rsid w:val="00C54807"/>
    <w:rsid w:val="00C54BC9"/>
    <w:rsid w:val="00C54FE9"/>
    <w:rsid w:val="00C5589D"/>
    <w:rsid w:val="00C55CE5"/>
    <w:rsid w:val="00C56E15"/>
    <w:rsid w:val="00C57BAF"/>
    <w:rsid w:val="00C60279"/>
    <w:rsid w:val="00C6250D"/>
    <w:rsid w:val="00C63D0B"/>
    <w:rsid w:val="00C650F8"/>
    <w:rsid w:val="00C66828"/>
    <w:rsid w:val="00C70041"/>
    <w:rsid w:val="00C739A0"/>
    <w:rsid w:val="00C77AAC"/>
    <w:rsid w:val="00C808A5"/>
    <w:rsid w:val="00C8152C"/>
    <w:rsid w:val="00C900AB"/>
    <w:rsid w:val="00C90CA3"/>
    <w:rsid w:val="00C910AA"/>
    <w:rsid w:val="00C91C09"/>
    <w:rsid w:val="00C922BB"/>
    <w:rsid w:val="00C92789"/>
    <w:rsid w:val="00C9363C"/>
    <w:rsid w:val="00C940B0"/>
    <w:rsid w:val="00C94430"/>
    <w:rsid w:val="00C96AC4"/>
    <w:rsid w:val="00C973C7"/>
    <w:rsid w:val="00CA20CF"/>
    <w:rsid w:val="00CA2525"/>
    <w:rsid w:val="00CA2CC4"/>
    <w:rsid w:val="00CA51D9"/>
    <w:rsid w:val="00CB0F81"/>
    <w:rsid w:val="00CB1479"/>
    <w:rsid w:val="00CB51A8"/>
    <w:rsid w:val="00CB5BD2"/>
    <w:rsid w:val="00CB5ECD"/>
    <w:rsid w:val="00CC0453"/>
    <w:rsid w:val="00CC119A"/>
    <w:rsid w:val="00CC27A8"/>
    <w:rsid w:val="00CC437C"/>
    <w:rsid w:val="00CC5135"/>
    <w:rsid w:val="00CC60B4"/>
    <w:rsid w:val="00CC7CAF"/>
    <w:rsid w:val="00CD1E81"/>
    <w:rsid w:val="00CD2343"/>
    <w:rsid w:val="00CD36D7"/>
    <w:rsid w:val="00CD53DA"/>
    <w:rsid w:val="00CD6882"/>
    <w:rsid w:val="00CE2A9C"/>
    <w:rsid w:val="00CE3336"/>
    <w:rsid w:val="00CE33B8"/>
    <w:rsid w:val="00CE39A6"/>
    <w:rsid w:val="00CE7518"/>
    <w:rsid w:val="00CF3183"/>
    <w:rsid w:val="00CF51D1"/>
    <w:rsid w:val="00CF5B1B"/>
    <w:rsid w:val="00CF6C88"/>
    <w:rsid w:val="00CF78EF"/>
    <w:rsid w:val="00CF7F96"/>
    <w:rsid w:val="00D0143D"/>
    <w:rsid w:val="00D07D31"/>
    <w:rsid w:val="00D11132"/>
    <w:rsid w:val="00D1149D"/>
    <w:rsid w:val="00D11D55"/>
    <w:rsid w:val="00D124B3"/>
    <w:rsid w:val="00D12E02"/>
    <w:rsid w:val="00D155E1"/>
    <w:rsid w:val="00D16512"/>
    <w:rsid w:val="00D16784"/>
    <w:rsid w:val="00D202DA"/>
    <w:rsid w:val="00D20848"/>
    <w:rsid w:val="00D20B3F"/>
    <w:rsid w:val="00D2122F"/>
    <w:rsid w:val="00D2169F"/>
    <w:rsid w:val="00D22A75"/>
    <w:rsid w:val="00D23371"/>
    <w:rsid w:val="00D252C1"/>
    <w:rsid w:val="00D27FD7"/>
    <w:rsid w:val="00D301F7"/>
    <w:rsid w:val="00D30772"/>
    <w:rsid w:val="00D31AE3"/>
    <w:rsid w:val="00D3209C"/>
    <w:rsid w:val="00D34538"/>
    <w:rsid w:val="00D35368"/>
    <w:rsid w:val="00D36513"/>
    <w:rsid w:val="00D4165A"/>
    <w:rsid w:val="00D431AD"/>
    <w:rsid w:val="00D45A73"/>
    <w:rsid w:val="00D45E73"/>
    <w:rsid w:val="00D5381B"/>
    <w:rsid w:val="00D55293"/>
    <w:rsid w:val="00D60463"/>
    <w:rsid w:val="00D60CDD"/>
    <w:rsid w:val="00D6198E"/>
    <w:rsid w:val="00D622F1"/>
    <w:rsid w:val="00D70E11"/>
    <w:rsid w:val="00D721D5"/>
    <w:rsid w:val="00D7346C"/>
    <w:rsid w:val="00D73A29"/>
    <w:rsid w:val="00D744DB"/>
    <w:rsid w:val="00D74BAC"/>
    <w:rsid w:val="00D80FD5"/>
    <w:rsid w:val="00D8164C"/>
    <w:rsid w:val="00D82EF7"/>
    <w:rsid w:val="00D84044"/>
    <w:rsid w:val="00D84950"/>
    <w:rsid w:val="00D84DFF"/>
    <w:rsid w:val="00D85306"/>
    <w:rsid w:val="00D86488"/>
    <w:rsid w:val="00D86503"/>
    <w:rsid w:val="00D870AF"/>
    <w:rsid w:val="00D90E78"/>
    <w:rsid w:val="00D92B84"/>
    <w:rsid w:val="00D92D74"/>
    <w:rsid w:val="00D94664"/>
    <w:rsid w:val="00D94B40"/>
    <w:rsid w:val="00D95465"/>
    <w:rsid w:val="00D96819"/>
    <w:rsid w:val="00D969C5"/>
    <w:rsid w:val="00D96A9B"/>
    <w:rsid w:val="00D974F4"/>
    <w:rsid w:val="00D97908"/>
    <w:rsid w:val="00DA1176"/>
    <w:rsid w:val="00DA1458"/>
    <w:rsid w:val="00DA322B"/>
    <w:rsid w:val="00DA664D"/>
    <w:rsid w:val="00DB105C"/>
    <w:rsid w:val="00DB370B"/>
    <w:rsid w:val="00DB5A8A"/>
    <w:rsid w:val="00DB5D7C"/>
    <w:rsid w:val="00DB7B84"/>
    <w:rsid w:val="00DB7EF5"/>
    <w:rsid w:val="00DC1D19"/>
    <w:rsid w:val="00DC30BD"/>
    <w:rsid w:val="00DC366C"/>
    <w:rsid w:val="00DC4DB3"/>
    <w:rsid w:val="00DC6CA4"/>
    <w:rsid w:val="00DC738C"/>
    <w:rsid w:val="00DC73ED"/>
    <w:rsid w:val="00DD023E"/>
    <w:rsid w:val="00DD202F"/>
    <w:rsid w:val="00DD5F8B"/>
    <w:rsid w:val="00DD6C58"/>
    <w:rsid w:val="00DD7061"/>
    <w:rsid w:val="00DE206D"/>
    <w:rsid w:val="00DE236C"/>
    <w:rsid w:val="00DE429B"/>
    <w:rsid w:val="00DE48FF"/>
    <w:rsid w:val="00DE51E3"/>
    <w:rsid w:val="00DE679F"/>
    <w:rsid w:val="00DE7112"/>
    <w:rsid w:val="00DE7796"/>
    <w:rsid w:val="00DE7BB4"/>
    <w:rsid w:val="00DF07D0"/>
    <w:rsid w:val="00DF0949"/>
    <w:rsid w:val="00DF1784"/>
    <w:rsid w:val="00DF1F45"/>
    <w:rsid w:val="00DF2A3D"/>
    <w:rsid w:val="00DF42F3"/>
    <w:rsid w:val="00DF458E"/>
    <w:rsid w:val="00E00FB3"/>
    <w:rsid w:val="00E01407"/>
    <w:rsid w:val="00E04BE7"/>
    <w:rsid w:val="00E06E4C"/>
    <w:rsid w:val="00E06F23"/>
    <w:rsid w:val="00E06F9B"/>
    <w:rsid w:val="00E0772F"/>
    <w:rsid w:val="00E10A18"/>
    <w:rsid w:val="00E12D1F"/>
    <w:rsid w:val="00E135C7"/>
    <w:rsid w:val="00E1501B"/>
    <w:rsid w:val="00E158F3"/>
    <w:rsid w:val="00E16CC2"/>
    <w:rsid w:val="00E235C3"/>
    <w:rsid w:val="00E268E8"/>
    <w:rsid w:val="00E3240E"/>
    <w:rsid w:val="00E32F81"/>
    <w:rsid w:val="00E33EBC"/>
    <w:rsid w:val="00E40058"/>
    <w:rsid w:val="00E42CFE"/>
    <w:rsid w:val="00E42E5E"/>
    <w:rsid w:val="00E43560"/>
    <w:rsid w:val="00E445CE"/>
    <w:rsid w:val="00E45458"/>
    <w:rsid w:val="00E463A4"/>
    <w:rsid w:val="00E473B2"/>
    <w:rsid w:val="00E50C25"/>
    <w:rsid w:val="00E5106E"/>
    <w:rsid w:val="00E510B2"/>
    <w:rsid w:val="00E51771"/>
    <w:rsid w:val="00E51B17"/>
    <w:rsid w:val="00E56939"/>
    <w:rsid w:val="00E56AC8"/>
    <w:rsid w:val="00E5762F"/>
    <w:rsid w:val="00E60033"/>
    <w:rsid w:val="00E60183"/>
    <w:rsid w:val="00E60DB8"/>
    <w:rsid w:val="00E60E3A"/>
    <w:rsid w:val="00E6172E"/>
    <w:rsid w:val="00E61779"/>
    <w:rsid w:val="00E61B05"/>
    <w:rsid w:val="00E621DC"/>
    <w:rsid w:val="00E628E8"/>
    <w:rsid w:val="00E62C6A"/>
    <w:rsid w:val="00E66439"/>
    <w:rsid w:val="00E678FA"/>
    <w:rsid w:val="00E71818"/>
    <w:rsid w:val="00E71AB1"/>
    <w:rsid w:val="00E71AC4"/>
    <w:rsid w:val="00E73267"/>
    <w:rsid w:val="00E7398C"/>
    <w:rsid w:val="00E74077"/>
    <w:rsid w:val="00E758DD"/>
    <w:rsid w:val="00E82A28"/>
    <w:rsid w:val="00E82CD0"/>
    <w:rsid w:val="00E859F1"/>
    <w:rsid w:val="00E860B3"/>
    <w:rsid w:val="00E86A48"/>
    <w:rsid w:val="00E87871"/>
    <w:rsid w:val="00E90D5D"/>
    <w:rsid w:val="00E91FFF"/>
    <w:rsid w:val="00E92C5A"/>
    <w:rsid w:val="00E95EB2"/>
    <w:rsid w:val="00E96AC6"/>
    <w:rsid w:val="00E97CE7"/>
    <w:rsid w:val="00E97E7E"/>
    <w:rsid w:val="00EA213C"/>
    <w:rsid w:val="00EA2B4D"/>
    <w:rsid w:val="00EA3CE3"/>
    <w:rsid w:val="00EA47DE"/>
    <w:rsid w:val="00EA4E88"/>
    <w:rsid w:val="00EA75C3"/>
    <w:rsid w:val="00EB0552"/>
    <w:rsid w:val="00EB3474"/>
    <w:rsid w:val="00EB3E7F"/>
    <w:rsid w:val="00EB7603"/>
    <w:rsid w:val="00EB7FB8"/>
    <w:rsid w:val="00EC0621"/>
    <w:rsid w:val="00EC1451"/>
    <w:rsid w:val="00EC1957"/>
    <w:rsid w:val="00EC1BB9"/>
    <w:rsid w:val="00EC1CF1"/>
    <w:rsid w:val="00EC2378"/>
    <w:rsid w:val="00EC51B5"/>
    <w:rsid w:val="00EC7FE2"/>
    <w:rsid w:val="00ED2286"/>
    <w:rsid w:val="00ED3DC3"/>
    <w:rsid w:val="00ED588A"/>
    <w:rsid w:val="00ED7E3C"/>
    <w:rsid w:val="00EE00D8"/>
    <w:rsid w:val="00EE361A"/>
    <w:rsid w:val="00EE391B"/>
    <w:rsid w:val="00EE580D"/>
    <w:rsid w:val="00EE5E0D"/>
    <w:rsid w:val="00EF2A86"/>
    <w:rsid w:val="00EF2D39"/>
    <w:rsid w:val="00EF31FD"/>
    <w:rsid w:val="00EF3E9B"/>
    <w:rsid w:val="00EF409E"/>
    <w:rsid w:val="00EF4C45"/>
    <w:rsid w:val="00EF53DB"/>
    <w:rsid w:val="00EF7354"/>
    <w:rsid w:val="00F00DD6"/>
    <w:rsid w:val="00F02072"/>
    <w:rsid w:val="00F04A66"/>
    <w:rsid w:val="00F05EF0"/>
    <w:rsid w:val="00F061C1"/>
    <w:rsid w:val="00F07FD9"/>
    <w:rsid w:val="00F105E7"/>
    <w:rsid w:val="00F113EB"/>
    <w:rsid w:val="00F1235F"/>
    <w:rsid w:val="00F15471"/>
    <w:rsid w:val="00F168A9"/>
    <w:rsid w:val="00F17D09"/>
    <w:rsid w:val="00F17FB9"/>
    <w:rsid w:val="00F226FA"/>
    <w:rsid w:val="00F237BC"/>
    <w:rsid w:val="00F25B08"/>
    <w:rsid w:val="00F2645E"/>
    <w:rsid w:val="00F2655A"/>
    <w:rsid w:val="00F265D8"/>
    <w:rsid w:val="00F274C0"/>
    <w:rsid w:val="00F30C7C"/>
    <w:rsid w:val="00F31078"/>
    <w:rsid w:val="00F31E2A"/>
    <w:rsid w:val="00F338AD"/>
    <w:rsid w:val="00F361C9"/>
    <w:rsid w:val="00F36CA7"/>
    <w:rsid w:val="00F37F43"/>
    <w:rsid w:val="00F40F58"/>
    <w:rsid w:val="00F4305B"/>
    <w:rsid w:val="00F4472D"/>
    <w:rsid w:val="00F448B5"/>
    <w:rsid w:val="00F45A73"/>
    <w:rsid w:val="00F45E84"/>
    <w:rsid w:val="00F46592"/>
    <w:rsid w:val="00F46B55"/>
    <w:rsid w:val="00F51141"/>
    <w:rsid w:val="00F513B3"/>
    <w:rsid w:val="00F5174E"/>
    <w:rsid w:val="00F53971"/>
    <w:rsid w:val="00F5439F"/>
    <w:rsid w:val="00F555A4"/>
    <w:rsid w:val="00F575DD"/>
    <w:rsid w:val="00F64C7E"/>
    <w:rsid w:val="00F66DCD"/>
    <w:rsid w:val="00F673F7"/>
    <w:rsid w:val="00F67B0C"/>
    <w:rsid w:val="00F71B3D"/>
    <w:rsid w:val="00F73A4C"/>
    <w:rsid w:val="00F80B89"/>
    <w:rsid w:val="00F81307"/>
    <w:rsid w:val="00F817BC"/>
    <w:rsid w:val="00F83349"/>
    <w:rsid w:val="00F8740D"/>
    <w:rsid w:val="00F87670"/>
    <w:rsid w:val="00F87AEA"/>
    <w:rsid w:val="00F90372"/>
    <w:rsid w:val="00F922E7"/>
    <w:rsid w:val="00F92F82"/>
    <w:rsid w:val="00F93C7C"/>
    <w:rsid w:val="00F952DD"/>
    <w:rsid w:val="00F965B7"/>
    <w:rsid w:val="00FA0B37"/>
    <w:rsid w:val="00FA3A05"/>
    <w:rsid w:val="00FA3E01"/>
    <w:rsid w:val="00FA4534"/>
    <w:rsid w:val="00FA6AB0"/>
    <w:rsid w:val="00FB0FFB"/>
    <w:rsid w:val="00FB2229"/>
    <w:rsid w:val="00FB46E7"/>
    <w:rsid w:val="00FB4DD5"/>
    <w:rsid w:val="00FB7E07"/>
    <w:rsid w:val="00FB7ED5"/>
    <w:rsid w:val="00FC180E"/>
    <w:rsid w:val="00FC1D66"/>
    <w:rsid w:val="00FC2E03"/>
    <w:rsid w:val="00FC3F66"/>
    <w:rsid w:val="00FC6574"/>
    <w:rsid w:val="00FC7F4E"/>
    <w:rsid w:val="00FD1797"/>
    <w:rsid w:val="00FD2373"/>
    <w:rsid w:val="00FD3FE9"/>
    <w:rsid w:val="00FD5825"/>
    <w:rsid w:val="00FD6D6A"/>
    <w:rsid w:val="00FD7B80"/>
    <w:rsid w:val="00FD7BC8"/>
    <w:rsid w:val="00FD7C41"/>
    <w:rsid w:val="00FE08F4"/>
    <w:rsid w:val="00FE09C5"/>
    <w:rsid w:val="00FE15D0"/>
    <w:rsid w:val="00FE1DC2"/>
    <w:rsid w:val="00FE31E7"/>
    <w:rsid w:val="00FE3A74"/>
    <w:rsid w:val="00FE47DC"/>
    <w:rsid w:val="00FE50B4"/>
    <w:rsid w:val="00FE6153"/>
    <w:rsid w:val="00FE640C"/>
    <w:rsid w:val="00FE766C"/>
    <w:rsid w:val="00FF034C"/>
    <w:rsid w:val="00FF103A"/>
    <w:rsid w:val="00FF15BB"/>
    <w:rsid w:val="00FF2346"/>
    <w:rsid w:val="00FF2D3A"/>
    <w:rsid w:val="00FF31B4"/>
    <w:rsid w:val="00FF4263"/>
    <w:rsid w:val="00FF68FD"/>
    <w:rsid w:val="00FF6D69"/>
    <w:rsid w:val="00FF7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0031CDC0"/>
  <w15:docId w15:val="{2B9582D0-8092-4DD9-92CE-E0FC49AE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52FA5"/>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cap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 w:val="left" w:pos="4536"/>
      </w:tabs>
      <w:ind w:left="908" w:hanging="454"/>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broodtekst-bold-italic">
    <w:name w:val="broodtekst-bold-italic"/>
    <w:basedOn w:val="broodtekst"/>
    <w:next w:val="broodtekst"/>
    <w:rPr>
      <w:b/>
      <w:i/>
    </w:rPr>
  </w:style>
  <w:style w:type="paragraph" w:customStyle="1" w:styleId="opsomming-lettersjustitie">
    <w:name w:val="opsomming-lett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customStyle="1" w:styleId="opsommingsvinkAan">
    <w:name w:val="opsommingsvink_Aan"/>
    <w:basedOn w:val="broodtekst"/>
    <w:pPr>
      <w:widowControl w:val="0"/>
      <w:numPr>
        <w:numId w:val="28"/>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styleId="Voetnoottekst">
    <w:name w:val="footnote text"/>
    <w:basedOn w:val="Standaard"/>
    <w:link w:val="VoetnoottekstChar"/>
    <w:semiHidden/>
    <w:rPr>
      <w:sz w:val="16"/>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rPr>
      <w:vertAlign w:val="superscript"/>
    </w:rPr>
  </w:style>
  <w:style w:type="paragraph" w:styleId="Plattetekstinspringen">
    <w:name w:val="Body Text Indent"/>
    <w:basedOn w:val="Standaard"/>
    <w:link w:val="PlattetekstinspringenChar"/>
    <w:rsid w:val="00832F2C"/>
    <w:pPr>
      <w:overflowPunct w:val="0"/>
      <w:autoSpaceDE w:val="0"/>
      <w:spacing w:line="260" w:lineRule="exact"/>
      <w:ind w:firstLine="170"/>
      <w:textAlignment w:val="baseline"/>
    </w:pPr>
    <w:rPr>
      <w:rFonts w:ascii="V&amp;W Syntax (Adobe)" w:hAnsi="V&amp;W Syntax (Adobe)"/>
      <w:sz w:val="20"/>
      <w:szCs w:val="20"/>
      <w:lang w:val="nl" w:eastAsia="ar-SA"/>
    </w:rPr>
  </w:style>
  <w:style w:type="character" w:customStyle="1" w:styleId="PlattetekstinspringenChar">
    <w:name w:val="Platte tekst inspringen Char"/>
    <w:basedOn w:val="Standaardalinea-lettertype"/>
    <w:link w:val="Plattetekstinspringen"/>
    <w:rsid w:val="00832F2C"/>
    <w:rPr>
      <w:rFonts w:ascii="V&amp;W Syntax (Adobe)" w:hAnsi="V&amp;W Syntax (Adobe)"/>
      <w:lang w:val="nl" w:eastAsia="ar-SA"/>
    </w:rPr>
  </w:style>
  <w:style w:type="character" w:styleId="Verwijzingopmerking">
    <w:name w:val="annotation reference"/>
    <w:basedOn w:val="Standaardalinea-lettertype"/>
    <w:semiHidden/>
    <w:unhideWhenUsed/>
    <w:rsid w:val="00D86503"/>
    <w:rPr>
      <w:sz w:val="16"/>
      <w:szCs w:val="16"/>
    </w:rPr>
  </w:style>
  <w:style w:type="paragraph" w:styleId="Tekstopmerking">
    <w:name w:val="annotation text"/>
    <w:basedOn w:val="Standaard"/>
    <w:link w:val="TekstopmerkingChar"/>
    <w:unhideWhenUsed/>
    <w:rsid w:val="00D86503"/>
    <w:pPr>
      <w:spacing w:line="240" w:lineRule="auto"/>
    </w:pPr>
    <w:rPr>
      <w:sz w:val="20"/>
      <w:szCs w:val="20"/>
    </w:rPr>
  </w:style>
  <w:style w:type="character" w:customStyle="1" w:styleId="TekstopmerkingChar">
    <w:name w:val="Tekst opmerking Char"/>
    <w:basedOn w:val="Standaardalinea-lettertype"/>
    <w:link w:val="Tekstopmerking"/>
    <w:rsid w:val="00D86503"/>
    <w:rPr>
      <w:rFonts w:ascii="Verdana" w:hAnsi="Verdana"/>
    </w:rPr>
  </w:style>
  <w:style w:type="paragraph" w:styleId="Onderwerpvanopmerking">
    <w:name w:val="annotation subject"/>
    <w:basedOn w:val="Tekstopmerking"/>
    <w:next w:val="Tekstopmerking"/>
    <w:link w:val="OnderwerpvanopmerkingChar"/>
    <w:semiHidden/>
    <w:unhideWhenUsed/>
    <w:rsid w:val="00D86503"/>
    <w:rPr>
      <w:b/>
      <w:bCs/>
    </w:rPr>
  </w:style>
  <w:style w:type="character" w:customStyle="1" w:styleId="OnderwerpvanopmerkingChar">
    <w:name w:val="Onderwerp van opmerking Char"/>
    <w:basedOn w:val="TekstopmerkingChar"/>
    <w:link w:val="Onderwerpvanopmerking"/>
    <w:semiHidden/>
    <w:rsid w:val="00D86503"/>
    <w:rPr>
      <w:rFonts w:ascii="Verdana" w:hAnsi="Verdana"/>
      <w:b/>
      <w:bCs/>
    </w:rPr>
  </w:style>
  <w:style w:type="paragraph" w:customStyle="1" w:styleId="Default">
    <w:name w:val="Default"/>
    <w:rsid w:val="00FF6D69"/>
    <w:pPr>
      <w:autoSpaceDE w:val="0"/>
      <w:autoSpaceDN w:val="0"/>
      <w:adjustRightInd w:val="0"/>
    </w:pPr>
    <w:rPr>
      <w:rFonts w:ascii="EUAlbertina" w:hAnsi="EUAlbertina" w:cs="EUAlbertina"/>
      <w:color w:val="000000"/>
      <w:sz w:val="24"/>
      <w:szCs w:val="24"/>
    </w:rPr>
  </w:style>
  <w:style w:type="paragraph" w:customStyle="1" w:styleId="Char1CharCharCarCarCarCarCarCarCarCarCarCar">
    <w:name w:val="Char1 Char Char Car Car Car Car Car Car Car Car Car Car"/>
    <w:basedOn w:val="Standaard"/>
    <w:next w:val="Standaard"/>
    <w:link w:val="Voetnootmarkering"/>
    <w:uiPriority w:val="99"/>
    <w:rsid w:val="00FF6D69"/>
    <w:pPr>
      <w:spacing w:after="160" w:line="240" w:lineRule="exact"/>
    </w:pPr>
    <w:rPr>
      <w:rFonts w:ascii="Times New Roman" w:hAnsi="Times New Roman"/>
      <w:sz w:val="20"/>
      <w:szCs w:val="20"/>
      <w:vertAlign w:val="superscript"/>
    </w:rPr>
  </w:style>
  <w:style w:type="paragraph" w:styleId="Lijstalinea">
    <w:name w:val="List Paragraph"/>
    <w:basedOn w:val="Standaard"/>
    <w:uiPriority w:val="34"/>
    <w:qFormat/>
    <w:rsid w:val="000A5F87"/>
    <w:pPr>
      <w:spacing w:after="200" w:line="276" w:lineRule="auto"/>
      <w:ind w:left="720"/>
      <w:contextualSpacing/>
    </w:pPr>
    <w:rPr>
      <w:rFonts w:eastAsia="Calibri"/>
      <w:szCs w:val="22"/>
      <w:lang w:eastAsia="en-US"/>
    </w:rPr>
  </w:style>
  <w:style w:type="paragraph" w:styleId="Geenafstand">
    <w:name w:val="No Spacing"/>
    <w:uiPriority w:val="1"/>
    <w:qFormat/>
    <w:rsid w:val="0060222D"/>
    <w:rPr>
      <w:rFonts w:ascii="Verdana" w:eastAsia="Calibri" w:hAnsi="Verdana"/>
      <w:sz w:val="18"/>
      <w:szCs w:val="22"/>
      <w:lang w:eastAsia="en-US"/>
    </w:rPr>
  </w:style>
  <w:style w:type="paragraph" w:styleId="Revisie">
    <w:name w:val="Revision"/>
    <w:hidden/>
    <w:uiPriority w:val="99"/>
    <w:semiHidden/>
    <w:rsid w:val="00DD6C58"/>
    <w:rPr>
      <w:rFonts w:ascii="Verdana" w:hAnsi="Verdana"/>
      <w:sz w:val="18"/>
      <w:szCs w:val="24"/>
    </w:rPr>
  </w:style>
  <w:style w:type="character" w:styleId="Onopgelostemelding">
    <w:name w:val="Unresolved Mention"/>
    <w:basedOn w:val="Standaardalinea-lettertype"/>
    <w:uiPriority w:val="99"/>
    <w:semiHidden/>
    <w:unhideWhenUsed/>
    <w:rsid w:val="00A10455"/>
    <w:rPr>
      <w:color w:val="605E5C"/>
      <w:shd w:val="clear" w:color="auto" w:fill="E1DFDD"/>
    </w:rPr>
  </w:style>
  <w:style w:type="character" w:customStyle="1" w:styleId="VoetnoottekstChar">
    <w:name w:val="Voetnoottekst Char"/>
    <w:basedOn w:val="Standaardalinea-lettertype"/>
    <w:link w:val="Voetnoottekst"/>
    <w:semiHidden/>
    <w:rsid w:val="0065434F"/>
    <w:rPr>
      <w:rFonts w:ascii="Verdana" w:hAnsi="Verdana"/>
      <w:sz w:val="16"/>
    </w:rPr>
  </w:style>
  <w:style w:type="paragraph" w:styleId="Normaalweb">
    <w:name w:val="Normal (Web)"/>
    <w:basedOn w:val="Standaard"/>
    <w:uiPriority w:val="99"/>
    <w:unhideWhenUsed/>
    <w:rsid w:val="001E46F4"/>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D870AF"/>
  </w:style>
  <w:style w:type="paragraph" w:customStyle="1" w:styleId="pf1">
    <w:name w:val="pf1"/>
    <w:basedOn w:val="Standaard"/>
    <w:rsid w:val="000B3D96"/>
    <w:pPr>
      <w:spacing w:before="100" w:beforeAutospacing="1" w:after="100" w:afterAutospacing="1" w:line="240" w:lineRule="auto"/>
      <w:ind w:left="300"/>
    </w:pPr>
    <w:rPr>
      <w:rFonts w:ascii="Times New Roman" w:hAnsi="Times New Roman"/>
      <w:sz w:val="24"/>
    </w:rPr>
  </w:style>
  <w:style w:type="paragraph" w:customStyle="1" w:styleId="pf0">
    <w:name w:val="pf0"/>
    <w:basedOn w:val="Standaard"/>
    <w:rsid w:val="000B3D96"/>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0B3D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304">
      <w:bodyDiv w:val="1"/>
      <w:marLeft w:val="0"/>
      <w:marRight w:val="0"/>
      <w:marTop w:val="0"/>
      <w:marBottom w:val="0"/>
      <w:divBdr>
        <w:top w:val="none" w:sz="0" w:space="0" w:color="auto"/>
        <w:left w:val="none" w:sz="0" w:space="0" w:color="auto"/>
        <w:bottom w:val="none" w:sz="0" w:space="0" w:color="auto"/>
        <w:right w:val="none" w:sz="0" w:space="0" w:color="auto"/>
      </w:divBdr>
    </w:div>
    <w:div w:id="92744867">
      <w:bodyDiv w:val="1"/>
      <w:marLeft w:val="0"/>
      <w:marRight w:val="0"/>
      <w:marTop w:val="0"/>
      <w:marBottom w:val="0"/>
      <w:divBdr>
        <w:top w:val="none" w:sz="0" w:space="0" w:color="auto"/>
        <w:left w:val="none" w:sz="0" w:space="0" w:color="auto"/>
        <w:bottom w:val="none" w:sz="0" w:space="0" w:color="auto"/>
        <w:right w:val="none" w:sz="0" w:space="0" w:color="auto"/>
      </w:divBdr>
    </w:div>
    <w:div w:id="99490407">
      <w:bodyDiv w:val="1"/>
      <w:marLeft w:val="0"/>
      <w:marRight w:val="0"/>
      <w:marTop w:val="0"/>
      <w:marBottom w:val="0"/>
      <w:divBdr>
        <w:top w:val="none" w:sz="0" w:space="0" w:color="auto"/>
        <w:left w:val="none" w:sz="0" w:space="0" w:color="auto"/>
        <w:bottom w:val="none" w:sz="0" w:space="0" w:color="auto"/>
        <w:right w:val="none" w:sz="0" w:space="0" w:color="auto"/>
      </w:divBdr>
    </w:div>
    <w:div w:id="132597846">
      <w:bodyDiv w:val="1"/>
      <w:marLeft w:val="0"/>
      <w:marRight w:val="0"/>
      <w:marTop w:val="0"/>
      <w:marBottom w:val="0"/>
      <w:divBdr>
        <w:top w:val="none" w:sz="0" w:space="0" w:color="auto"/>
        <w:left w:val="none" w:sz="0" w:space="0" w:color="auto"/>
        <w:bottom w:val="none" w:sz="0" w:space="0" w:color="auto"/>
        <w:right w:val="none" w:sz="0" w:space="0" w:color="auto"/>
      </w:divBdr>
    </w:div>
    <w:div w:id="155850413">
      <w:bodyDiv w:val="1"/>
      <w:marLeft w:val="0"/>
      <w:marRight w:val="0"/>
      <w:marTop w:val="0"/>
      <w:marBottom w:val="0"/>
      <w:divBdr>
        <w:top w:val="none" w:sz="0" w:space="0" w:color="auto"/>
        <w:left w:val="none" w:sz="0" w:space="0" w:color="auto"/>
        <w:bottom w:val="none" w:sz="0" w:space="0" w:color="auto"/>
        <w:right w:val="none" w:sz="0" w:space="0" w:color="auto"/>
      </w:divBdr>
    </w:div>
    <w:div w:id="190605358">
      <w:bodyDiv w:val="1"/>
      <w:marLeft w:val="0"/>
      <w:marRight w:val="0"/>
      <w:marTop w:val="0"/>
      <w:marBottom w:val="0"/>
      <w:divBdr>
        <w:top w:val="none" w:sz="0" w:space="0" w:color="auto"/>
        <w:left w:val="none" w:sz="0" w:space="0" w:color="auto"/>
        <w:bottom w:val="none" w:sz="0" w:space="0" w:color="auto"/>
        <w:right w:val="none" w:sz="0" w:space="0" w:color="auto"/>
      </w:divBdr>
    </w:div>
    <w:div w:id="219561809">
      <w:bodyDiv w:val="1"/>
      <w:marLeft w:val="0"/>
      <w:marRight w:val="0"/>
      <w:marTop w:val="0"/>
      <w:marBottom w:val="0"/>
      <w:divBdr>
        <w:top w:val="none" w:sz="0" w:space="0" w:color="auto"/>
        <w:left w:val="none" w:sz="0" w:space="0" w:color="auto"/>
        <w:bottom w:val="none" w:sz="0" w:space="0" w:color="auto"/>
        <w:right w:val="none" w:sz="0" w:space="0" w:color="auto"/>
      </w:divBdr>
    </w:div>
    <w:div w:id="241453603">
      <w:bodyDiv w:val="1"/>
      <w:marLeft w:val="0"/>
      <w:marRight w:val="0"/>
      <w:marTop w:val="0"/>
      <w:marBottom w:val="0"/>
      <w:divBdr>
        <w:top w:val="none" w:sz="0" w:space="0" w:color="auto"/>
        <w:left w:val="none" w:sz="0" w:space="0" w:color="auto"/>
        <w:bottom w:val="none" w:sz="0" w:space="0" w:color="auto"/>
        <w:right w:val="none" w:sz="0" w:space="0" w:color="auto"/>
      </w:divBdr>
    </w:div>
    <w:div w:id="256180845">
      <w:bodyDiv w:val="1"/>
      <w:marLeft w:val="0"/>
      <w:marRight w:val="0"/>
      <w:marTop w:val="0"/>
      <w:marBottom w:val="0"/>
      <w:divBdr>
        <w:top w:val="none" w:sz="0" w:space="0" w:color="auto"/>
        <w:left w:val="none" w:sz="0" w:space="0" w:color="auto"/>
        <w:bottom w:val="none" w:sz="0" w:space="0" w:color="auto"/>
        <w:right w:val="none" w:sz="0" w:space="0" w:color="auto"/>
      </w:divBdr>
    </w:div>
    <w:div w:id="257370894">
      <w:bodyDiv w:val="1"/>
      <w:marLeft w:val="0"/>
      <w:marRight w:val="0"/>
      <w:marTop w:val="0"/>
      <w:marBottom w:val="0"/>
      <w:divBdr>
        <w:top w:val="none" w:sz="0" w:space="0" w:color="auto"/>
        <w:left w:val="none" w:sz="0" w:space="0" w:color="auto"/>
        <w:bottom w:val="none" w:sz="0" w:space="0" w:color="auto"/>
        <w:right w:val="none" w:sz="0" w:space="0" w:color="auto"/>
      </w:divBdr>
    </w:div>
    <w:div w:id="263223936">
      <w:bodyDiv w:val="1"/>
      <w:marLeft w:val="0"/>
      <w:marRight w:val="0"/>
      <w:marTop w:val="0"/>
      <w:marBottom w:val="0"/>
      <w:divBdr>
        <w:top w:val="none" w:sz="0" w:space="0" w:color="auto"/>
        <w:left w:val="none" w:sz="0" w:space="0" w:color="auto"/>
        <w:bottom w:val="none" w:sz="0" w:space="0" w:color="auto"/>
        <w:right w:val="none" w:sz="0" w:space="0" w:color="auto"/>
      </w:divBdr>
    </w:div>
    <w:div w:id="295990909">
      <w:bodyDiv w:val="1"/>
      <w:marLeft w:val="0"/>
      <w:marRight w:val="0"/>
      <w:marTop w:val="0"/>
      <w:marBottom w:val="0"/>
      <w:divBdr>
        <w:top w:val="none" w:sz="0" w:space="0" w:color="auto"/>
        <w:left w:val="none" w:sz="0" w:space="0" w:color="auto"/>
        <w:bottom w:val="none" w:sz="0" w:space="0" w:color="auto"/>
        <w:right w:val="none" w:sz="0" w:space="0" w:color="auto"/>
      </w:divBdr>
    </w:div>
    <w:div w:id="324092925">
      <w:bodyDiv w:val="1"/>
      <w:marLeft w:val="0"/>
      <w:marRight w:val="0"/>
      <w:marTop w:val="0"/>
      <w:marBottom w:val="0"/>
      <w:divBdr>
        <w:top w:val="none" w:sz="0" w:space="0" w:color="auto"/>
        <w:left w:val="none" w:sz="0" w:space="0" w:color="auto"/>
        <w:bottom w:val="none" w:sz="0" w:space="0" w:color="auto"/>
        <w:right w:val="none" w:sz="0" w:space="0" w:color="auto"/>
      </w:divBdr>
    </w:div>
    <w:div w:id="373651852">
      <w:bodyDiv w:val="1"/>
      <w:marLeft w:val="0"/>
      <w:marRight w:val="0"/>
      <w:marTop w:val="0"/>
      <w:marBottom w:val="0"/>
      <w:divBdr>
        <w:top w:val="none" w:sz="0" w:space="0" w:color="auto"/>
        <w:left w:val="none" w:sz="0" w:space="0" w:color="auto"/>
        <w:bottom w:val="none" w:sz="0" w:space="0" w:color="auto"/>
        <w:right w:val="none" w:sz="0" w:space="0" w:color="auto"/>
      </w:divBdr>
    </w:div>
    <w:div w:id="396166315">
      <w:bodyDiv w:val="1"/>
      <w:marLeft w:val="0"/>
      <w:marRight w:val="0"/>
      <w:marTop w:val="0"/>
      <w:marBottom w:val="0"/>
      <w:divBdr>
        <w:top w:val="none" w:sz="0" w:space="0" w:color="auto"/>
        <w:left w:val="none" w:sz="0" w:space="0" w:color="auto"/>
        <w:bottom w:val="none" w:sz="0" w:space="0" w:color="auto"/>
        <w:right w:val="none" w:sz="0" w:space="0" w:color="auto"/>
      </w:divBdr>
    </w:div>
    <w:div w:id="397172081">
      <w:bodyDiv w:val="1"/>
      <w:marLeft w:val="0"/>
      <w:marRight w:val="0"/>
      <w:marTop w:val="0"/>
      <w:marBottom w:val="0"/>
      <w:divBdr>
        <w:top w:val="none" w:sz="0" w:space="0" w:color="auto"/>
        <w:left w:val="none" w:sz="0" w:space="0" w:color="auto"/>
        <w:bottom w:val="none" w:sz="0" w:space="0" w:color="auto"/>
        <w:right w:val="none" w:sz="0" w:space="0" w:color="auto"/>
      </w:divBdr>
    </w:div>
    <w:div w:id="470289381">
      <w:bodyDiv w:val="1"/>
      <w:marLeft w:val="0"/>
      <w:marRight w:val="0"/>
      <w:marTop w:val="0"/>
      <w:marBottom w:val="0"/>
      <w:divBdr>
        <w:top w:val="none" w:sz="0" w:space="0" w:color="auto"/>
        <w:left w:val="none" w:sz="0" w:space="0" w:color="auto"/>
        <w:bottom w:val="none" w:sz="0" w:space="0" w:color="auto"/>
        <w:right w:val="none" w:sz="0" w:space="0" w:color="auto"/>
      </w:divBdr>
    </w:div>
    <w:div w:id="523834912">
      <w:bodyDiv w:val="1"/>
      <w:marLeft w:val="0"/>
      <w:marRight w:val="0"/>
      <w:marTop w:val="0"/>
      <w:marBottom w:val="0"/>
      <w:divBdr>
        <w:top w:val="none" w:sz="0" w:space="0" w:color="auto"/>
        <w:left w:val="none" w:sz="0" w:space="0" w:color="auto"/>
        <w:bottom w:val="none" w:sz="0" w:space="0" w:color="auto"/>
        <w:right w:val="none" w:sz="0" w:space="0" w:color="auto"/>
      </w:divBdr>
    </w:div>
    <w:div w:id="527791887">
      <w:bodyDiv w:val="1"/>
      <w:marLeft w:val="0"/>
      <w:marRight w:val="0"/>
      <w:marTop w:val="0"/>
      <w:marBottom w:val="0"/>
      <w:divBdr>
        <w:top w:val="none" w:sz="0" w:space="0" w:color="auto"/>
        <w:left w:val="none" w:sz="0" w:space="0" w:color="auto"/>
        <w:bottom w:val="none" w:sz="0" w:space="0" w:color="auto"/>
        <w:right w:val="none" w:sz="0" w:space="0" w:color="auto"/>
      </w:divBdr>
    </w:div>
    <w:div w:id="533418998">
      <w:bodyDiv w:val="1"/>
      <w:marLeft w:val="0"/>
      <w:marRight w:val="0"/>
      <w:marTop w:val="0"/>
      <w:marBottom w:val="0"/>
      <w:divBdr>
        <w:top w:val="none" w:sz="0" w:space="0" w:color="auto"/>
        <w:left w:val="none" w:sz="0" w:space="0" w:color="auto"/>
        <w:bottom w:val="none" w:sz="0" w:space="0" w:color="auto"/>
        <w:right w:val="none" w:sz="0" w:space="0" w:color="auto"/>
      </w:divBdr>
    </w:div>
    <w:div w:id="537812697">
      <w:bodyDiv w:val="1"/>
      <w:marLeft w:val="0"/>
      <w:marRight w:val="0"/>
      <w:marTop w:val="0"/>
      <w:marBottom w:val="0"/>
      <w:divBdr>
        <w:top w:val="none" w:sz="0" w:space="0" w:color="auto"/>
        <w:left w:val="none" w:sz="0" w:space="0" w:color="auto"/>
        <w:bottom w:val="none" w:sz="0" w:space="0" w:color="auto"/>
        <w:right w:val="none" w:sz="0" w:space="0" w:color="auto"/>
      </w:divBdr>
    </w:div>
    <w:div w:id="562567839">
      <w:bodyDiv w:val="1"/>
      <w:marLeft w:val="0"/>
      <w:marRight w:val="0"/>
      <w:marTop w:val="0"/>
      <w:marBottom w:val="0"/>
      <w:divBdr>
        <w:top w:val="none" w:sz="0" w:space="0" w:color="auto"/>
        <w:left w:val="none" w:sz="0" w:space="0" w:color="auto"/>
        <w:bottom w:val="none" w:sz="0" w:space="0" w:color="auto"/>
        <w:right w:val="none" w:sz="0" w:space="0" w:color="auto"/>
      </w:divBdr>
    </w:div>
    <w:div w:id="573247595">
      <w:bodyDiv w:val="1"/>
      <w:marLeft w:val="0"/>
      <w:marRight w:val="0"/>
      <w:marTop w:val="0"/>
      <w:marBottom w:val="0"/>
      <w:divBdr>
        <w:top w:val="none" w:sz="0" w:space="0" w:color="auto"/>
        <w:left w:val="none" w:sz="0" w:space="0" w:color="auto"/>
        <w:bottom w:val="none" w:sz="0" w:space="0" w:color="auto"/>
        <w:right w:val="none" w:sz="0" w:space="0" w:color="auto"/>
      </w:divBdr>
    </w:div>
    <w:div w:id="600916694">
      <w:bodyDiv w:val="1"/>
      <w:marLeft w:val="0"/>
      <w:marRight w:val="0"/>
      <w:marTop w:val="0"/>
      <w:marBottom w:val="0"/>
      <w:divBdr>
        <w:top w:val="none" w:sz="0" w:space="0" w:color="auto"/>
        <w:left w:val="none" w:sz="0" w:space="0" w:color="auto"/>
        <w:bottom w:val="none" w:sz="0" w:space="0" w:color="auto"/>
        <w:right w:val="none" w:sz="0" w:space="0" w:color="auto"/>
      </w:divBdr>
    </w:div>
    <w:div w:id="657659500">
      <w:bodyDiv w:val="1"/>
      <w:marLeft w:val="0"/>
      <w:marRight w:val="0"/>
      <w:marTop w:val="0"/>
      <w:marBottom w:val="0"/>
      <w:divBdr>
        <w:top w:val="none" w:sz="0" w:space="0" w:color="auto"/>
        <w:left w:val="none" w:sz="0" w:space="0" w:color="auto"/>
        <w:bottom w:val="none" w:sz="0" w:space="0" w:color="auto"/>
        <w:right w:val="none" w:sz="0" w:space="0" w:color="auto"/>
      </w:divBdr>
    </w:div>
    <w:div w:id="711080174">
      <w:bodyDiv w:val="1"/>
      <w:marLeft w:val="0"/>
      <w:marRight w:val="0"/>
      <w:marTop w:val="0"/>
      <w:marBottom w:val="0"/>
      <w:divBdr>
        <w:top w:val="none" w:sz="0" w:space="0" w:color="auto"/>
        <w:left w:val="none" w:sz="0" w:space="0" w:color="auto"/>
        <w:bottom w:val="none" w:sz="0" w:space="0" w:color="auto"/>
        <w:right w:val="none" w:sz="0" w:space="0" w:color="auto"/>
      </w:divBdr>
    </w:div>
    <w:div w:id="714351610">
      <w:bodyDiv w:val="1"/>
      <w:marLeft w:val="0"/>
      <w:marRight w:val="0"/>
      <w:marTop w:val="0"/>
      <w:marBottom w:val="0"/>
      <w:divBdr>
        <w:top w:val="none" w:sz="0" w:space="0" w:color="auto"/>
        <w:left w:val="none" w:sz="0" w:space="0" w:color="auto"/>
        <w:bottom w:val="none" w:sz="0" w:space="0" w:color="auto"/>
        <w:right w:val="none" w:sz="0" w:space="0" w:color="auto"/>
      </w:divBdr>
    </w:div>
    <w:div w:id="718355989">
      <w:bodyDiv w:val="1"/>
      <w:marLeft w:val="0"/>
      <w:marRight w:val="0"/>
      <w:marTop w:val="0"/>
      <w:marBottom w:val="0"/>
      <w:divBdr>
        <w:top w:val="none" w:sz="0" w:space="0" w:color="auto"/>
        <w:left w:val="none" w:sz="0" w:space="0" w:color="auto"/>
        <w:bottom w:val="none" w:sz="0" w:space="0" w:color="auto"/>
        <w:right w:val="none" w:sz="0" w:space="0" w:color="auto"/>
      </w:divBdr>
    </w:div>
    <w:div w:id="749035312">
      <w:bodyDiv w:val="1"/>
      <w:marLeft w:val="0"/>
      <w:marRight w:val="0"/>
      <w:marTop w:val="0"/>
      <w:marBottom w:val="0"/>
      <w:divBdr>
        <w:top w:val="none" w:sz="0" w:space="0" w:color="auto"/>
        <w:left w:val="none" w:sz="0" w:space="0" w:color="auto"/>
        <w:bottom w:val="none" w:sz="0" w:space="0" w:color="auto"/>
        <w:right w:val="none" w:sz="0" w:space="0" w:color="auto"/>
      </w:divBdr>
    </w:div>
    <w:div w:id="751774791">
      <w:bodyDiv w:val="1"/>
      <w:marLeft w:val="0"/>
      <w:marRight w:val="0"/>
      <w:marTop w:val="0"/>
      <w:marBottom w:val="0"/>
      <w:divBdr>
        <w:top w:val="none" w:sz="0" w:space="0" w:color="auto"/>
        <w:left w:val="none" w:sz="0" w:space="0" w:color="auto"/>
        <w:bottom w:val="none" w:sz="0" w:space="0" w:color="auto"/>
        <w:right w:val="none" w:sz="0" w:space="0" w:color="auto"/>
      </w:divBdr>
    </w:div>
    <w:div w:id="754017757">
      <w:bodyDiv w:val="1"/>
      <w:marLeft w:val="0"/>
      <w:marRight w:val="0"/>
      <w:marTop w:val="0"/>
      <w:marBottom w:val="0"/>
      <w:divBdr>
        <w:top w:val="none" w:sz="0" w:space="0" w:color="auto"/>
        <w:left w:val="none" w:sz="0" w:space="0" w:color="auto"/>
        <w:bottom w:val="none" w:sz="0" w:space="0" w:color="auto"/>
        <w:right w:val="none" w:sz="0" w:space="0" w:color="auto"/>
      </w:divBdr>
    </w:div>
    <w:div w:id="781923206">
      <w:bodyDiv w:val="1"/>
      <w:marLeft w:val="0"/>
      <w:marRight w:val="0"/>
      <w:marTop w:val="0"/>
      <w:marBottom w:val="0"/>
      <w:divBdr>
        <w:top w:val="none" w:sz="0" w:space="0" w:color="auto"/>
        <w:left w:val="none" w:sz="0" w:space="0" w:color="auto"/>
        <w:bottom w:val="none" w:sz="0" w:space="0" w:color="auto"/>
        <w:right w:val="none" w:sz="0" w:space="0" w:color="auto"/>
      </w:divBdr>
    </w:div>
    <w:div w:id="796023100">
      <w:bodyDiv w:val="1"/>
      <w:marLeft w:val="0"/>
      <w:marRight w:val="0"/>
      <w:marTop w:val="0"/>
      <w:marBottom w:val="0"/>
      <w:divBdr>
        <w:top w:val="none" w:sz="0" w:space="0" w:color="auto"/>
        <w:left w:val="none" w:sz="0" w:space="0" w:color="auto"/>
        <w:bottom w:val="none" w:sz="0" w:space="0" w:color="auto"/>
        <w:right w:val="none" w:sz="0" w:space="0" w:color="auto"/>
      </w:divBdr>
    </w:div>
    <w:div w:id="875195521">
      <w:bodyDiv w:val="1"/>
      <w:marLeft w:val="0"/>
      <w:marRight w:val="0"/>
      <w:marTop w:val="0"/>
      <w:marBottom w:val="0"/>
      <w:divBdr>
        <w:top w:val="none" w:sz="0" w:space="0" w:color="auto"/>
        <w:left w:val="none" w:sz="0" w:space="0" w:color="auto"/>
        <w:bottom w:val="none" w:sz="0" w:space="0" w:color="auto"/>
        <w:right w:val="none" w:sz="0" w:space="0" w:color="auto"/>
      </w:divBdr>
    </w:div>
    <w:div w:id="876627334">
      <w:bodyDiv w:val="1"/>
      <w:marLeft w:val="0"/>
      <w:marRight w:val="0"/>
      <w:marTop w:val="0"/>
      <w:marBottom w:val="0"/>
      <w:divBdr>
        <w:top w:val="none" w:sz="0" w:space="0" w:color="auto"/>
        <w:left w:val="none" w:sz="0" w:space="0" w:color="auto"/>
        <w:bottom w:val="none" w:sz="0" w:space="0" w:color="auto"/>
        <w:right w:val="none" w:sz="0" w:space="0" w:color="auto"/>
      </w:divBdr>
    </w:div>
    <w:div w:id="909735405">
      <w:bodyDiv w:val="1"/>
      <w:marLeft w:val="0"/>
      <w:marRight w:val="0"/>
      <w:marTop w:val="0"/>
      <w:marBottom w:val="0"/>
      <w:divBdr>
        <w:top w:val="none" w:sz="0" w:space="0" w:color="auto"/>
        <w:left w:val="none" w:sz="0" w:space="0" w:color="auto"/>
        <w:bottom w:val="none" w:sz="0" w:space="0" w:color="auto"/>
        <w:right w:val="none" w:sz="0" w:space="0" w:color="auto"/>
      </w:divBdr>
    </w:div>
    <w:div w:id="911820064">
      <w:bodyDiv w:val="1"/>
      <w:marLeft w:val="0"/>
      <w:marRight w:val="0"/>
      <w:marTop w:val="0"/>
      <w:marBottom w:val="0"/>
      <w:divBdr>
        <w:top w:val="none" w:sz="0" w:space="0" w:color="auto"/>
        <w:left w:val="none" w:sz="0" w:space="0" w:color="auto"/>
        <w:bottom w:val="none" w:sz="0" w:space="0" w:color="auto"/>
        <w:right w:val="none" w:sz="0" w:space="0" w:color="auto"/>
      </w:divBdr>
    </w:div>
    <w:div w:id="921064439">
      <w:bodyDiv w:val="1"/>
      <w:marLeft w:val="0"/>
      <w:marRight w:val="0"/>
      <w:marTop w:val="0"/>
      <w:marBottom w:val="0"/>
      <w:divBdr>
        <w:top w:val="none" w:sz="0" w:space="0" w:color="auto"/>
        <w:left w:val="none" w:sz="0" w:space="0" w:color="auto"/>
        <w:bottom w:val="none" w:sz="0" w:space="0" w:color="auto"/>
        <w:right w:val="none" w:sz="0" w:space="0" w:color="auto"/>
      </w:divBdr>
    </w:div>
    <w:div w:id="961032267">
      <w:bodyDiv w:val="1"/>
      <w:marLeft w:val="0"/>
      <w:marRight w:val="0"/>
      <w:marTop w:val="0"/>
      <w:marBottom w:val="0"/>
      <w:divBdr>
        <w:top w:val="none" w:sz="0" w:space="0" w:color="auto"/>
        <w:left w:val="none" w:sz="0" w:space="0" w:color="auto"/>
        <w:bottom w:val="none" w:sz="0" w:space="0" w:color="auto"/>
        <w:right w:val="none" w:sz="0" w:space="0" w:color="auto"/>
      </w:divBdr>
    </w:div>
    <w:div w:id="964502799">
      <w:bodyDiv w:val="1"/>
      <w:marLeft w:val="0"/>
      <w:marRight w:val="0"/>
      <w:marTop w:val="0"/>
      <w:marBottom w:val="0"/>
      <w:divBdr>
        <w:top w:val="none" w:sz="0" w:space="0" w:color="auto"/>
        <w:left w:val="none" w:sz="0" w:space="0" w:color="auto"/>
        <w:bottom w:val="none" w:sz="0" w:space="0" w:color="auto"/>
        <w:right w:val="none" w:sz="0" w:space="0" w:color="auto"/>
      </w:divBdr>
    </w:div>
    <w:div w:id="1023628113">
      <w:bodyDiv w:val="1"/>
      <w:marLeft w:val="0"/>
      <w:marRight w:val="0"/>
      <w:marTop w:val="0"/>
      <w:marBottom w:val="0"/>
      <w:divBdr>
        <w:top w:val="none" w:sz="0" w:space="0" w:color="auto"/>
        <w:left w:val="none" w:sz="0" w:space="0" w:color="auto"/>
        <w:bottom w:val="none" w:sz="0" w:space="0" w:color="auto"/>
        <w:right w:val="none" w:sz="0" w:space="0" w:color="auto"/>
      </w:divBdr>
    </w:div>
    <w:div w:id="1055155238">
      <w:bodyDiv w:val="1"/>
      <w:marLeft w:val="0"/>
      <w:marRight w:val="0"/>
      <w:marTop w:val="0"/>
      <w:marBottom w:val="0"/>
      <w:divBdr>
        <w:top w:val="none" w:sz="0" w:space="0" w:color="auto"/>
        <w:left w:val="none" w:sz="0" w:space="0" w:color="auto"/>
        <w:bottom w:val="none" w:sz="0" w:space="0" w:color="auto"/>
        <w:right w:val="none" w:sz="0" w:space="0" w:color="auto"/>
      </w:divBdr>
    </w:div>
    <w:div w:id="1066150509">
      <w:bodyDiv w:val="1"/>
      <w:marLeft w:val="0"/>
      <w:marRight w:val="0"/>
      <w:marTop w:val="0"/>
      <w:marBottom w:val="0"/>
      <w:divBdr>
        <w:top w:val="none" w:sz="0" w:space="0" w:color="auto"/>
        <w:left w:val="none" w:sz="0" w:space="0" w:color="auto"/>
        <w:bottom w:val="none" w:sz="0" w:space="0" w:color="auto"/>
        <w:right w:val="none" w:sz="0" w:space="0" w:color="auto"/>
      </w:divBdr>
    </w:div>
    <w:div w:id="1081950770">
      <w:bodyDiv w:val="1"/>
      <w:marLeft w:val="0"/>
      <w:marRight w:val="0"/>
      <w:marTop w:val="0"/>
      <w:marBottom w:val="0"/>
      <w:divBdr>
        <w:top w:val="none" w:sz="0" w:space="0" w:color="auto"/>
        <w:left w:val="none" w:sz="0" w:space="0" w:color="auto"/>
        <w:bottom w:val="none" w:sz="0" w:space="0" w:color="auto"/>
        <w:right w:val="none" w:sz="0" w:space="0" w:color="auto"/>
      </w:divBdr>
    </w:div>
    <w:div w:id="1095517144">
      <w:bodyDiv w:val="1"/>
      <w:marLeft w:val="0"/>
      <w:marRight w:val="0"/>
      <w:marTop w:val="0"/>
      <w:marBottom w:val="0"/>
      <w:divBdr>
        <w:top w:val="none" w:sz="0" w:space="0" w:color="auto"/>
        <w:left w:val="none" w:sz="0" w:space="0" w:color="auto"/>
        <w:bottom w:val="none" w:sz="0" w:space="0" w:color="auto"/>
        <w:right w:val="none" w:sz="0" w:space="0" w:color="auto"/>
      </w:divBdr>
    </w:div>
    <w:div w:id="1124225759">
      <w:bodyDiv w:val="1"/>
      <w:marLeft w:val="0"/>
      <w:marRight w:val="0"/>
      <w:marTop w:val="0"/>
      <w:marBottom w:val="0"/>
      <w:divBdr>
        <w:top w:val="none" w:sz="0" w:space="0" w:color="auto"/>
        <w:left w:val="none" w:sz="0" w:space="0" w:color="auto"/>
        <w:bottom w:val="none" w:sz="0" w:space="0" w:color="auto"/>
        <w:right w:val="none" w:sz="0" w:space="0" w:color="auto"/>
      </w:divBdr>
    </w:div>
    <w:div w:id="1150713132">
      <w:bodyDiv w:val="1"/>
      <w:marLeft w:val="0"/>
      <w:marRight w:val="0"/>
      <w:marTop w:val="0"/>
      <w:marBottom w:val="0"/>
      <w:divBdr>
        <w:top w:val="none" w:sz="0" w:space="0" w:color="auto"/>
        <w:left w:val="none" w:sz="0" w:space="0" w:color="auto"/>
        <w:bottom w:val="none" w:sz="0" w:space="0" w:color="auto"/>
        <w:right w:val="none" w:sz="0" w:space="0" w:color="auto"/>
      </w:divBdr>
    </w:div>
    <w:div w:id="1211722858">
      <w:bodyDiv w:val="1"/>
      <w:marLeft w:val="0"/>
      <w:marRight w:val="0"/>
      <w:marTop w:val="0"/>
      <w:marBottom w:val="0"/>
      <w:divBdr>
        <w:top w:val="none" w:sz="0" w:space="0" w:color="auto"/>
        <w:left w:val="none" w:sz="0" w:space="0" w:color="auto"/>
        <w:bottom w:val="none" w:sz="0" w:space="0" w:color="auto"/>
        <w:right w:val="none" w:sz="0" w:space="0" w:color="auto"/>
      </w:divBdr>
    </w:div>
    <w:div w:id="1278373563">
      <w:bodyDiv w:val="1"/>
      <w:marLeft w:val="0"/>
      <w:marRight w:val="0"/>
      <w:marTop w:val="0"/>
      <w:marBottom w:val="0"/>
      <w:divBdr>
        <w:top w:val="none" w:sz="0" w:space="0" w:color="auto"/>
        <w:left w:val="none" w:sz="0" w:space="0" w:color="auto"/>
        <w:bottom w:val="none" w:sz="0" w:space="0" w:color="auto"/>
        <w:right w:val="none" w:sz="0" w:space="0" w:color="auto"/>
      </w:divBdr>
    </w:div>
    <w:div w:id="1328436174">
      <w:bodyDiv w:val="1"/>
      <w:marLeft w:val="0"/>
      <w:marRight w:val="0"/>
      <w:marTop w:val="0"/>
      <w:marBottom w:val="0"/>
      <w:divBdr>
        <w:top w:val="none" w:sz="0" w:space="0" w:color="auto"/>
        <w:left w:val="none" w:sz="0" w:space="0" w:color="auto"/>
        <w:bottom w:val="none" w:sz="0" w:space="0" w:color="auto"/>
        <w:right w:val="none" w:sz="0" w:space="0" w:color="auto"/>
      </w:divBdr>
    </w:div>
    <w:div w:id="1358963376">
      <w:bodyDiv w:val="1"/>
      <w:marLeft w:val="0"/>
      <w:marRight w:val="0"/>
      <w:marTop w:val="0"/>
      <w:marBottom w:val="0"/>
      <w:divBdr>
        <w:top w:val="none" w:sz="0" w:space="0" w:color="auto"/>
        <w:left w:val="none" w:sz="0" w:space="0" w:color="auto"/>
        <w:bottom w:val="none" w:sz="0" w:space="0" w:color="auto"/>
        <w:right w:val="none" w:sz="0" w:space="0" w:color="auto"/>
      </w:divBdr>
    </w:div>
    <w:div w:id="1364208460">
      <w:bodyDiv w:val="1"/>
      <w:marLeft w:val="0"/>
      <w:marRight w:val="0"/>
      <w:marTop w:val="0"/>
      <w:marBottom w:val="0"/>
      <w:divBdr>
        <w:top w:val="none" w:sz="0" w:space="0" w:color="auto"/>
        <w:left w:val="none" w:sz="0" w:space="0" w:color="auto"/>
        <w:bottom w:val="none" w:sz="0" w:space="0" w:color="auto"/>
        <w:right w:val="none" w:sz="0" w:space="0" w:color="auto"/>
      </w:divBdr>
    </w:div>
    <w:div w:id="1371803829">
      <w:bodyDiv w:val="1"/>
      <w:marLeft w:val="0"/>
      <w:marRight w:val="0"/>
      <w:marTop w:val="0"/>
      <w:marBottom w:val="0"/>
      <w:divBdr>
        <w:top w:val="none" w:sz="0" w:space="0" w:color="auto"/>
        <w:left w:val="none" w:sz="0" w:space="0" w:color="auto"/>
        <w:bottom w:val="none" w:sz="0" w:space="0" w:color="auto"/>
        <w:right w:val="none" w:sz="0" w:space="0" w:color="auto"/>
      </w:divBdr>
    </w:div>
    <w:div w:id="1373576881">
      <w:bodyDiv w:val="1"/>
      <w:marLeft w:val="0"/>
      <w:marRight w:val="0"/>
      <w:marTop w:val="0"/>
      <w:marBottom w:val="0"/>
      <w:divBdr>
        <w:top w:val="none" w:sz="0" w:space="0" w:color="auto"/>
        <w:left w:val="none" w:sz="0" w:space="0" w:color="auto"/>
        <w:bottom w:val="none" w:sz="0" w:space="0" w:color="auto"/>
        <w:right w:val="none" w:sz="0" w:space="0" w:color="auto"/>
      </w:divBdr>
    </w:div>
    <w:div w:id="1382365694">
      <w:bodyDiv w:val="1"/>
      <w:marLeft w:val="0"/>
      <w:marRight w:val="0"/>
      <w:marTop w:val="0"/>
      <w:marBottom w:val="0"/>
      <w:divBdr>
        <w:top w:val="none" w:sz="0" w:space="0" w:color="auto"/>
        <w:left w:val="none" w:sz="0" w:space="0" w:color="auto"/>
        <w:bottom w:val="none" w:sz="0" w:space="0" w:color="auto"/>
        <w:right w:val="none" w:sz="0" w:space="0" w:color="auto"/>
      </w:divBdr>
    </w:div>
    <w:div w:id="1384137486">
      <w:bodyDiv w:val="1"/>
      <w:marLeft w:val="0"/>
      <w:marRight w:val="0"/>
      <w:marTop w:val="0"/>
      <w:marBottom w:val="0"/>
      <w:divBdr>
        <w:top w:val="none" w:sz="0" w:space="0" w:color="auto"/>
        <w:left w:val="none" w:sz="0" w:space="0" w:color="auto"/>
        <w:bottom w:val="none" w:sz="0" w:space="0" w:color="auto"/>
        <w:right w:val="none" w:sz="0" w:space="0" w:color="auto"/>
      </w:divBdr>
    </w:div>
    <w:div w:id="1432386845">
      <w:bodyDiv w:val="1"/>
      <w:marLeft w:val="0"/>
      <w:marRight w:val="0"/>
      <w:marTop w:val="0"/>
      <w:marBottom w:val="0"/>
      <w:divBdr>
        <w:top w:val="none" w:sz="0" w:space="0" w:color="auto"/>
        <w:left w:val="none" w:sz="0" w:space="0" w:color="auto"/>
        <w:bottom w:val="none" w:sz="0" w:space="0" w:color="auto"/>
        <w:right w:val="none" w:sz="0" w:space="0" w:color="auto"/>
      </w:divBdr>
    </w:div>
    <w:div w:id="1438986270">
      <w:bodyDiv w:val="1"/>
      <w:marLeft w:val="0"/>
      <w:marRight w:val="0"/>
      <w:marTop w:val="0"/>
      <w:marBottom w:val="0"/>
      <w:divBdr>
        <w:top w:val="none" w:sz="0" w:space="0" w:color="auto"/>
        <w:left w:val="none" w:sz="0" w:space="0" w:color="auto"/>
        <w:bottom w:val="none" w:sz="0" w:space="0" w:color="auto"/>
        <w:right w:val="none" w:sz="0" w:space="0" w:color="auto"/>
      </w:divBdr>
    </w:div>
    <w:div w:id="1484811631">
      <w:bodyDiv w:val="1"/>
      <w:marLeft w:val="0"/>
      <w:marRight w:val="0"/>
      <w:marTop w:val="0"/>
      <w:marBottom w:val="0"/>
      <w:divBdr>
        <w:top w:val="none" w:sz="0" w:space="0" w:color="auto"/>
        <w:left w:val="none" w:sz="0" w:space="0" w:color="auto"/>
        <w:bottom w:val="none" w:sz="0" w:space="0" w:color="auto"/>
        <w:right w:val="none" w:sz="0" w:space="0" w:color="auto"/>
      </w:divBdr>
    </w:div>
    <w:div w:id="1500383351">
      <w:bodyDiv w:val="1"/>
      <w:marLeft w:val="0"/>
      <w:marRight w:val="0"/>
      <w:marTop w:val="0"/>
      <w:marBottom w:val="0"/>
      <w:divBdr>
        <w:top w:val="none" w:sz="0" w:space="0" w:color="auto"/>
        <w:left w:val="none" w:sz="0" w:space="0" w:color="auto"/>
        <w:bottom w:val="none" w:sz="0" w:space="0" w:color="auto"/>
        <w:right w:val="none" w:sz="0" w:space="0" w:color="auto"/>
      </w:divBdr>
    </w:div>
    <w:div w:id="1542551370">
      <w:bodyDiv w:val="1"/>
      <w:marLeft w:val="0"/>
      <w:marRight w:val="0"/>
      <w:marTop w:val="0"/>
      <w:marBottom w:val="0"/>
      <w:divBdr>
        <w:top w:val="none" w:sz="0" w:space="0" w:color="auto"/>
        <w:left w:val="none" w:sz="0" w:space="0" w:color="auto"/>
        <w:bottom w:val="none" w:sz="0" w:space="0" w:color="auto"/>
        <w:right w:val="none" w:sz="0" w:space="0" w:color="auto"/>
      </w:divBdr>
    </w:div>
    <w:div w:id="1547790763">
      <w:bodyDiv w:val="1"/>
      <w:marLeft w:val="0"/>
      <w:marRight w:val="0"/>
      <w:marTop w:val="0"/>
      <w:marBottom w:val="0"/>
      <w:divBdr>
        <w:top w:val="none" w:sz="0" w:space="0" w:color="auto"/>
        <w:left w:val="none" w:sz="0" w:space="0" w:color="auto"/>
        <w:bottom w:val="none" w:sz="0" w:space="0" w:color="auto"/>
        <w:right w:val="none" w:sz="0" w:space="0" w:color="auto"/>
      </w:divBdr>
    </w:div>
    <w:div w:id="1572159713">
      <w:bodyDiv w:val="1"/>
      <w:marLeft w:val="0"/>
      <w:marRight w:val="0"/>
      <w:marTop w:val="0"/>
      <w:marBottom w:val="0"/>
      <w:divBdr>
        <w:top w:val="none" w:sz="0" w:space="0" w:color="auto"/>
        <w:left w:val="none" w:sz="0" w:space="0" w:color="auto"/>
        <w:bottom w:val="none" w:sz="0" w:space="0" w:color="auto"/>
        <w:right w:val="none" w:sz="0" w:space="0" w:color="auto"/>
      </w:divBdr>
    </w:div>
    <w:div w:id="1587642291">
      <w:bodyDiv w:val="1"/>
      <w:marLeft w:val="0"/>
      <w:marRight w:val="0"/>
      <w:marTop w:val="0"/>
      <w:marBottom w:val="0"/>
      <w:divBdr>
        <w:top w:val="none" w:sz="0" w:space="0" w:color="auto"/>
        <w:left w:val="none" w:sz="0" w:space="0" w:color="auto"/>
        <w:bottom w:val="none" w:sz="0" w:space="0" w:color="auto"/>
        <w:right w:val="none" w:sz="0" w:space="0" w:color="auto"/>
      </w:divBdr>
    </w:div>
    <w:div w:id="1590121099">
      <w:bodyDiv w:val="1"/>
      <w:marLeft w:val="0"/>
      <w:marRight w:val="0"/>
      <w:marTop w:val="0"/>
      <w:marBottom w:val="0"/>
      <w:divBdr>
        <w:top w:val="none" w:sz="0" w:space="0" w:color="auto"/>
        <w:left w:val="none" w:sz="0" w:space="0" w:color="auto"/>
        <w:bottom w:val="none" w:sz="0" w:space="0" w:color="auto"/>
        <w:right w:val="none" w:sz="0" w:space="0" w:color="auto"/>
      </w:divBdr>
    </w:div>
    <w:div w:id="1606883048">
      <w:bodyDiv w:val="1"/>
      <w:marLeft w:val="0"/>
      <w:marRight w:val="0"/>
      <w:marTop w:val="0"/>
      <w:marBottom w:val="0"/>
      <w:divBdr>
        <w:top w:val="none" w:sz="0" w:space="0" w:color="auto"/>
        <w:left w:val="none" w:sz="0" w:space="0" w:color="auto"/>
        <w:bottom w:val="none" w:sz="0" w:space="0" w:color="auto"/>
        <w:right w:val="none" w:sz="0" w:space="0" w:color="auto"/>
      </w:divBdr>
    </w:div>
    <w:div w:id="1702854440">
      <w:bodyDiv w:val="1"/>
      <w:marLeft w:val="0"/>
      <w:marRight w:val="0"/>
      <w:marTop w:val="0"/>
      <w:marBottom w:val="0"/>
      <w:divBdr>
        <w:top w:val="none" w:sz="0" w:space="0" w:color="auto"/>
        <w:left w:val="none" w:sz="0" w:space="0" w:color="auto"/>
        <w:bottom w:val="none" w:sz="0" w:space="0" w:color="auto"/>
        <w:right w:val="none" w:sz="0" w:space="0" w:color="auto"/>
      </w:divBdr>
    </w:div>
    <w:div w:id="1720586125">
      <w:bodyDiv w:val="1"/>
      <w:marLeft w:val="0"/>
      <w:marRight w:val="0"/>
      <w:marTop w:val="0"/>
      <w:marBottom w:val="0"/>
      <w:divBdr>
        <w:top w:val="none" w:sz="0" w:space="0" w:color="auto"/>
        <w:left w:val="none" w:sz="0" w:space="0" w:color="auto"/>
        <w:bottom w:val="none" w:sz="0" w:space="0" w:color="auto"/>
        <w:right w:val="none" w:sz="0" w:space="0" w:color="auto"/>
      </w:divBdr>
    </w:div>
    <w:div w:id="1736664286">
      <w:bodyDiv w:val="1"/>
      <w:marLeft w:val="0"/>
      <w:marRight w:val="0"/>
      <w:marTop w:val="0"/>
      <w:marBottom w:val="0"/>
      <w:divBdr>
        <w:top w:val="none" w:sz="0" w:space="0" w:color="auto"/>
        <w:left w:val="none" w:sz="0" w:space="0" w:color="auto"/>
        <w:bottom w:val="none" w:sz="0" w:space="0" w:color="auto"/>
        <w:right w:val="none" w:sz="0" w:space="0" w:color="auto"/>
      </w:divBdr>
    </w:div>
    <w:div w:id="1764254096">
      <w:bodyDiv w:val="1"/>
      <w:marLeft w:val="0"/>
      <w:marRight w:val="0"/>
      <w:marTop w:val="0"/>
      <w:marBottom w:val="0"/>
      <w:divBdr>
        <w:top w:val="none" w:sz="0" w:space="0" w:color="auto"/>
        <w:left w:val="none" w:sz="0" w:space="0" w:color="auto"/>
        <w:bottom w:val="none" w:sz="0" w:space="0" w:color="auto"/>
        <w:right w:val="none" w:sz="0" w:space="0" w:color="auto"/>
      </w:divBdr>
    </w:div>
    <w:div w:id="1858423645">
      <w:bodyDiv w:val="1"/>
      <w:marLeft w:val="0"/>
      <w:marRight w:val="0"/>
      <w:marTop w:val="0"/>
      <w:marBottom w:val="0"/>
      <w:divBdr>
        <w:top w:val="none" w:sz="0" w:space="0" w:color="auto"/>
        <w:left w:val="none" w:sz="0" w:space="0" w:color="auto"/>
        <w:bottom w:val="none" w:sz="0" w:space="0" w:color="auto"/>
        <w:right w:val="none" w:sz="0" w:space="0" w:color="auto"/>
      </w:divBdr>
    </w:div>
    <w:div w:id="1913614232">
      <w:bodyDiv w:val="1"/>
      <w:marLeft w:val="0"/>
      <w:marRight w:val="0"/>
      <w:marTop w:val="0"/>
      <w:marBottom w:val="0"/>
      <w:divBdr>
        <w:top w:val="none" w:sz="0" w:space="0" w:color="auto"/>
        <w:left w:val="none" w:sz="0" w:space="0" w:color="auto"/>
        <w:bottom w:val="none" w:sz="0" w:space="0" w:color="auto"/>
        <w:right w:val="none" w:sz="0" w:space="0" w:color="auto"/>
      </w:divBdr>
    </w:div>
    <w:div w:id="1961371660">
      <w:bodyDiv w:val="1"/>
      <w:marLeft w:val="0"/>
      <w:marRight w:val="0"/>
      <w:marTop w:val="0"/>
      <w:marBottom w:val="0"/>
      <w:divBdr>
        <w:top w:val="none" w:sz="0" w:space="0" w:color="auto"/>
        <w:left w:val="none" w:sz="0" w:space="0" w:color="auto"/>
        <w:bottom w:val="none" w:sz="0" w:space="0" w:color="auto"/>
        <w:right w:val="none" w:sz="0" w:space="0" w:color="auto"/>
      </w:divBdr>
    </w:div>
    <w:div w:id="2024359887">
      <w:bodyDiv w:val="1"/>
      <w:marLeft w:val="0"/>
      <w:marRight w:val="0"/>
      <w:marTop w:val="0"/>
      <w:marBottom w:val="0"/>
      <w:divBdr>
        <w:top w:val="none" w:sz="0" w:space="0" w:color="auto"/>
        <w:left w:val="none" w:sz="0" w:space="0" w:color="auto"/>
        <w:bottom w:val="none" w:sz="0" w:space="0" w:color="auto"/>
        <w:right w:val="none" w:sz="0" w:space="0" w:color="auto"/>
      </w:divBdr>
    </w:div>
    <w:div w:id="2027052223">
      <w:bodyDiv w:val="1"/>
      <w:marLeft w:val="0"/>
      <w:marRight w:val="0"/>
      <w:marTop w:val="0"/>
      <w:marBottom w:val="0"/>
      <w:divBdr>
        <w:top w:val="none" w:sz="0" w:space="0" w:color="auto"/>
        <w:left w:val="none" w:sz="0" w:space="0" w:color="auto"/>
        <w:bottom w:val="none" w:sz="0" w:space="0" w:color="auto"/>
        <w:right w:val="none" w:sz="0" w:space="0" w:color="auto"/>
      </w:divBdr>
    </w:div>
    <w:div w:id="2028364819">
      <w:bodyDiv w:val="1"/>
      <w:marLeft w:val="0"/>
      <w:marRight w:val="0"/>
      <w:marTop w:val="0"/>
      <w:marBottom w:val="0"/>
      <w:divBdr>
        <w:top w:val="none" w:sz="0" w:space="0" w:color="auto"/>
        <w:left w:val="none" w:sz="0" w:space="0" w:color="auto"/>
        <w:bottom w:val="none" w:sz="0" w:space="0" w:color="auto"/>
        <w:right w:val="none" w:sz="0" w:space="0" w:color="auto"/>
      </w:divBdr>
    </w:div>
    <w:div w:id="21359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ester\AppData\Roaming\B-ware\DocSys.Web\profiles\minjus\client\folders\wij_willem-alexand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14146</ap:Words>
  <ap:Characters>77808</ap:Characters>
  <ap:DocSecurity>0</ap:DocSecurity>
  <ap:Lines>648</ap:Lines>
  <ap:Paragraphs>183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91771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2024-08-06T08:31:00.0000000Z</lastPrinted>
  <dcterms:created xsi:type="dcterms:W3CDTF">2026-03-13T14:49:00.0000000Z</dcterms:created>
  <dcterms:modified xsi:type="dcterms:W3CDTF">2026-03-13T14:49:00.0000000Z</dcterms:modified>
  <category/>
  <dc:description>------------------------</dc:description>
  <dc:subject/>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doc">
    <vt:lpwstr>companydoc</vt:lpwstr>
  </property>
  <property fmtid="{D5CDD505-2E9C-101B-9397-08002B2CF9AE}" pid="3" name="LogoDenyAt_logogroot">
    <vt:lpwstr>2-</vt:lpwstr>
  </property>
  <property fmtid="{D5CDD505-2E9C-101B-9397-08002B2CF9AE}" pid="4" name="LogoDenyAt_logoklein">
    <vt:lpwstr>0-</vt:lpwstr>
  </property>
  <property fmtid="{D5CDD505-2E9C-101B-9397-08002B2CF9AE}" pid="5" name="taal">
    <vt:lpwstr>taal</vt:lpwstr>
  </property>
  <property fmtid="{D5CDD505-2E9C-101B-9397-08002B2CF9AE}" pid="6" name="savename">
    <vt:lpwstr>savename</vt:lpwstr>
  </property>
  <property fmtid="{D5CDD505-2E9C-101B-9397-08002B2CF9AE}" pid="7" name="afdelingraised">
    <vt:lpwstr> </vt:lpwstr>
  </property>
  <property fmtid="{D5CDD505-2E9C-101B-9397-08002B2CF9AE}" pid="8" name="onskenmerk">
    <vt:lpwstr>onskenmerk</vt:lpwstr>
  </property>
  <property fmtid="{D5CDD505-2E9C-101B-9397-08002B2CF9AE}" pid="9" name="MSIP_Label_6800fede-0e59-47ad-af95-4e63bbdb932d_Enabled">
    <vt:lpwstr>true</vt:lpwstr>
  </property>
  <property fmtid="{D5CDD505-2E9C-101B-9397-08002B2CF9AE}" pid="10" name="MSIP_Label_6800fede-0e59-47ad-af95-4e63bbdb932d_SetDate">
    <vt:lpwstr>2023-11-21T14:04:35Z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58067bc7-3186-4eda-b1e1-746e5aef1780</vt:lpwstr>
  </property>
  <property fmtid="{D5CDD505-2E9C-101B-9397-08002B2CF9AE}" pid="15" name="MSIP_Label_6800fede-0e59-47ad-af95-4e63bbdb932d_ContentBits">
    <vt:lpwstr>0</vt:lpwstr>
  </property>
</Properties>
</file>