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1B70" w:rsidR="00D60A90" w:rsidP="005826DA" w:rsidRDefault="00D60A90" w14:paraId="12A7FF5A" w14:textId="77777777">
      <w:r w:rsidRPr="00BB1B70">
        <w:t>Geachte Voorzitter,  </w:t>
      </w:r>
    </w:p>
    <w:p w:rsidRPr="00BB1B70" w:rsidR="00D60A90" w:rsidP="005826DA" w:rsidRDefault="00D60A90" w14:paraId="51FBE275" w14:textId="77777777">
      <w:r w:rsidRPr="00BB1B70">
        <w:t> </w:t>
      </w:r>
    </w:p>
    <w:p w:rsidRPr="00BB1B70" w:rsidR="00D60A90" w:rsidP="005826DA" w:rsidRDefault="00D60A90" w14:paraId="472B8D47" w14:textId="77777777">
      <w:r w:rsidRPr="00BB1B70">
        <w:t>Het Nationaal Groeifonds (NGF) investeert in 50 grootschalige projecten die bijdragen aan het duurzaam verdienvermogen van Nederland. Het betreft onder meer projecten op het gebied van groene waterstof, de verduurzaming van de landbouw, het bestrijden van laaggeletterdheid en sleuteltechnologieën als quantum en kunstmatige intelligentie. Daarmee is een bedrag van € 11 miljard gemoeid.  </w:t>
      </w:r>
    </w:p>
    <w:p w:rsidRPr="00BB1B70" w:rsidR="00D60A90" w:rsidP="005826DA" w:rsidRDefault="00D60A90" w14:paraId="6CD7B069" w14:textId="77777777">
      <w:r w:rsidRPr="00BB1B70">
        <w:t> </w:t>
      </w:r>
    </w:p>
    <w:p w:rsidRPr="00BB1B70" w:rsidR="00D60A90" w:rsidP="005826DA" w:rsidRDefault="00D60A90" w14:paraId="2997A142" w14:textId="77777777">
      <w:r w:rsidRPr="00BB1B70">
        <w:t>In 2022 en 2023 bent u over de uitslagen van de tweede en derde ronde van het Nationaal Groeifonds geïnformeerd.</w:t>
      </w:r>
      <w:r w:rsidRPr="00BB1B70">
        <w:rPr>
          <w:vertAlign w:val="superscript"/>
        </w:rPr>
        <w:t>1</w:t>
      </w:r>
      <w:r w:rsidRPr="00BB1B70">
        <w:t> Over twee projecten uit deze rondes heeft aanvullende besluitvorming plaatsgevonden op basis van een advies van de Adviescommissie Nationaal Groeifonds (hierna: de adviescommissie). Het betreft de NGF-projecten </w:t>
      </w:r>
      <w:r w:rsidRPr="00BB1B70">
        <w:rPr>
          <w:i/>
          <w:iCs/>
        </w:rPr>
        <w:t>Opschaling PPS in het Beroepsonderwijs</w:t>
      </w:r>
      <w:r w:rsidRPr="00BB1B70">
        <w:t> en </w:t>
      </w:r>
      <w:r w:rsidRPr="00BB1B70">
        <w:rPr>
          <w:i/>
          <w:iCs/>
        </w:rPr>
        <w:t>6G Future Network Services</w:t>
      </w:r>
      <w:r w:rsidRPr="00BB1B70">
        <w:t>. </w:t>
      </w:r>
    </w:p>
    <w:p w:rsidRPr="00BB1B70" w:rsidR="00D60A90" w:rsidP="005826DA" w:rsidRDefault="00D60A90" w14:paraId="39123738" w14:textId="77777777">
      <w:r w:rsidRPr="00BB1B70">
        <w:t> </w:t>
      </w:r>
    </w:p>
    <w:p w:rsidRPr="00BB1B70" w:rsidR="00D60A90" w:rsidP="005826DA" w:rsidRDefault="00D60A90" w14:paraId="0ADD3BCF" w14:textId="77777777">
      <w:r w:rsidRPr="00BB1B70">
        <w:t>In deze brief licht ik, mede namens de minister van Financiën, het advies, de projecten en het besluit van het kabinet toe. </w:t>
      </w:r>
    </w:p>
    <w:p w:rsidRPr="00BB1B70" w:rsidR="00D60A90" w:rsidP="005826DA" w:rsidRDefault="00D60A90" w14:paraId="644C2D38" w14:textId="77777777">
      <w:r w:rsidRPr="00BB1B70">
        <w:t> </w:t>
      </w:r>
    </w:p>
    <w:p w:rsidRPr="00BB1B70" w:rsidR="00D60A90" w:rsidP="005826DA" w:rsidRDefault="00D60A90" w14:paraId="596F9FF3" w14:textId="77777777">
      <w:r w:rsidRPr="00BB1B70">
        <w:rPr>
          <w:b/>
          <w:bCs/>
        </w:rPr>
        <w:t>Achtergrond aanvullend advies </w:t>
      </w:r>
      <w:r w:rsidRPr="00BB1B70">
        <w:t> </w:t>
      </w:r>
    </w:p>
    <w:p w:rsidRPr="00BB1B70" w:rsidR="00D60A90" w:rsidP="005826DA" w:rsidRDefault="00D60A90" w14:paraId="2A58089E" w14:textId="77777777">
      <w:bookmarkStart w:name="_Hlk222823656" w:id="0"/>
      <w:r w:rsidRPr="00BB1B70">
        <w:t>Een aantal projecten uit ronde twee en drie heeft gefaseerde financiering gekregen zoals een (gedeeltelijk) voorwaardelijke toekenning of een (gedeeltelijke) reservering. Bij een voorwaardelijke toekenning moet een project aan nadere voorwaarden voldoen om middelen definitief toegekend te krijgen. Bij een reservering moet (een deel van) een project beter uitgewerkt of aangepast worden of is sprake van een nieuwe fase van het project, waarna het opnieuw beoordeeld wordt. Hiervoor worden omzettingsverzoeken gedaan. De adviescommissie adviseert het kabinet hierover. </w:t>
      </w:r>
    </w:p>
    <w:bookmarkEnd w:id="0"/>
    <w:p w:rsidRPr="00BB1B70" w:rsidR="00D60A90" w:rsidP="005826DA" w:rsidRDefault="00D60A90" w14:paraId="0E4F58FD" w14:textId="77777777">
      <w:r w:rsidRPr="00BB1B70">
        <w:t> </w:t>
      </w:r>
    </w:p>
    <w:p w:rsidRPr="00BB1B70" w:rsidR="00D60A90" w:rsidP="005826DA" w:rsidRDefault="00D60A90" w14:paraId="15158F3F" w14:textId="77777777">
      <w:r w:rsidRPr="00BB1B70">
        <w:rPr>
          <w:b/>
          <w:bCs/>
        </w:rPr>
        <w:t>Samenvatting advies adviescommissie </w:t>
      </w:r>
      <w:r w:rsidRPr="00BB1B70">
        <w:t> </w:t>
      </w:r>
    </w:p>
    <w:p w:rsidRPr="00BB1B70" w:rsidR="00D60A90" w:rsidP="005826DA" w:rsidRDefault="00D60A90" w14:paraId="7725133D" w14:textId="77777777">
      <w:r w:rsidRPr="00BB1B70">
        <w:t xml:space="preserve">De adviescommissie heeft positief geadviseerd over de omzettingsverzoeken voor de NGF-projecten Opschaling Publiek Private Samenwerking in het Beroepsonderwijs en 6G Future Network Services. Het advies heeft betrekking op een bedrag van in totaal € 199,4 miljoen. In bijlage 1 worden de projecten </w:t>
      </w:r>
      <w:r w:rsidRPr="00BB1B70">
        <w:lastRenderedPageBreak/>
        <w:t xml:space="preserve">en het advies verder toegelicht. </w:t>
      </w:r>
      <w:r>
        <w:t>De aanbiedingsbrief en h</w:t>
      </w:r>
      <w:r w:rsidRPr="00BB1B70">
        <w:t xml:space="preserve">et volledige advies van de adviescommissie </w:t>
      </w:r>
      <w:r>
        <w:t xml:space="preserve">zijn </w:t>
      </w:r>
      <w:r w:rsidRPr="00BB1B70">
        <w:t xml:space="preserve">bijgevoegd in bijlage </w:t>
      </w:r>
      <w:r>
        <w:t>2 en 3</w:t>
      </w:r>
      <w:r w:rsidRPr="00BB1B70">
        <w:t>. </w:t>
      </w:r>
    </w:p>
    <w:p w:rsidRPr="00BB1B70" w:rsidR="00D60A90" w:rsidP="005826DA" w:rsidRDefault="00D60A90" w14:paraId="64600391" w14:textId="77777777">
      <w:r w:rsidRPr="00BB1B70">
        <w:t> </w:t>
      </w:r>
    </w:p>
    <w:p w:rsidRPr="00BB1B70" w:rsidR="00D60A90" w:rsidP="005826DA" w:rsidRDefault="00D60A90" w14:paraId="5275CDFB" w14:textId="77777777">
      <w:r w:rsidRPr="00BB1B70">
        <w:rPr>
          <w:b/>
          <w:bCs/>
        </w:rPr>
        <w:t>Reactie kabinet en vervolg </w:t>
      </w:r>
      <w:r w:rsidRPr="00BB1B70">
        <w:t> </w:t>
      </w:r>
    </w:p>
    <w:p w:rsidRPr="00BB1B70" w:rsidR="00D60A90" w:rsidP="005826DA" w:rsidRDefault="00D60A90" w14:paraId="0C6BFD23" w14:textId="77777777">
      <w:r w:rsidRPr="00BB1B70">
        <w:t>Het kabinet neemt het advies van de adviescommissie over de twee projecten over. Hierdoor wordt in totaal € 199,4 miljoen uit het Nationaal Groeifonds definitief toegekend.  </w:t>
      </w:r>
    </w:p>
    <w:p w:rsidRPr="00BB1B70" w:rsidR="00D60A90" w:rsidP="005826DA" w:rsidRDefault="00D60A90" w14:paraId="25DAF139" w14:textId="77777777">
      <w:r w:rsidRPr="00BB1B70">
        <w:t> </w:t>
      </w:r>
    </w:p>
    <w:p w:rsidRPr="00BB1B70" w:rsidR="00D60A90" w:rsidP="005826DA" w:rsidRDefault="00D60A90" w14:paraId="5B64D273" w14:textId="77777777">
      <w:r w:rsidRPr="00BB1B70">
        <w:t>De tabel hieronder geeft een financieel overzicht van de voorgestelde toekenningen en het besluit van het kabinet (bedragen x € 1 mln.). </w:t>
      </w:r>
    </w:p>
    <w:p w:rsidRPr="00BB1B70" w:rsidR="00D60A90" w:rsidP="005826DA" w:rsidRDefault="00D60A90" w14:paraId="45EA6F34" w14:textId="77777777">
      <w:r w:rsidRPr="00BB1B7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41"/>
        <w:gridCol w:w="751"/>
        <w:gridCol w:w="1326"/>
        <w:gridCol w:w="1771"/>
        <w:gridCol w:w="1610"/>
      </w:tblGrid>
      <w:tr w:rsidRPr="00BB1B70" w:rsidR="00D60A90" w:rsidTr="00D432D5" w14:paraId="2408DED2" w14:textId="77777777">
        <w:trPr>
          <w:trHeight w:val="300"/>
        </w:trPr>
        <w:tc>
          <w:tcPr>
            <w:tcW w:w="3390" w:type="dxa"/>
            <w:vMerge w:val="restart"/>
            <w:tcBorders>
              <w:top w:val="single" w:color="auto" w:sz="12" w:space="0"/>
              <w:left w:val="single" w:color="auto" w:sz="12" w:space="0"/>
              <w:bottom w:val="single" w:color="auto" w:sz="6" w:space="0"/>
              <w:right w:val="single" w:color="auto" w:sz="12" w:space="0"/>
            </w:tcBorders>
            <w:hideMark/>
          </w:tcPr>
          <w:p w:rsidRPr="00BB1B70" w:rsidR="00D60A90" w:rsidP="005826DA" w:rsidRDefault="00D60A90" w14:paraId="4DB8E72C" w14:textId="77777777">
            <w:r w:rsidRPr="00BB1B70">
              <w:rPr>
                <w:b/>
                <w:bCs/>
                <w:lang w:val="en-US"/>
              </w:rPr>
              <w:t>NGF-project</w:t>
            </w:r>
            <w:r w:rsidRPr="00BB1B70">
              <w:t> </w:t>
            </w:r>
          </w:p>
        </w:tc>
        <w:tc>
          <w:tcPr>
            <w:tcW w:w="840" w:type="dxa"/>
            <w:vMerge w:val="restart"/>
            <w:tcBorders>
              <w:top w:val="single" w:color="auto" w:sz="12" w:space="0"/>
              <w:left w:val="nil"/>
              <w:bottom w:val="single" w:color="auto" w:sz="6" w:space="0"/>
              <w:right w:val="single" w:color="auto" w:sz="12" w:space="0"/>
            </w:tcBorders>
            <w:hideMark/>
          </w:tcPr>
          <w:p w:rsidRPr="00BB1B70" w:rsidR="00D60A90" w:rsidP="005826DA" w:rsidRDefault="00D60A90" w14:paraId="49894F30" w14:textId="77777777">
            <w:r w:rsidRPr="00BB1B70">
              <w:rPr>
                <w:b/>
                <w:bCs/>
                <w:lang w:val="en-US"/>
              </w:rPr>
              <w:t>Ronde</w:t>
            </w:r>
            <w:r w:rsidRPr="00BB1B70">
              <w:t> </w:t>
            </w:r>
          </w:p>
        </w:tc>
        <w:tc>
          <w:tcPr>
            <w:tcW w:w="3300" w:type="dxa"/>
            <w:gridSpan w:val="2"/>
            <w:tcBorders>
              <w:top w:val="single" w:color="auto" w:sz="12" w:space="0"/>
              <w:left w:val="nil"/>
              <w:bottom w:val="single" w:color="auto" w:sz="6" w:space="0"/>
              <w:right w:val="single" w:color="auto" w:sz="12" w:space="0"/>
            </w:tcBorders>
            <w:hideMark/>
          </w:tcPr>
          <w:p w:rsidRPr="00BB1B70" w:rsidR="00D60A90" w:rsidP="005826DA" w:rsidRDefault="00D60A90" w14:paraId="33AFB3DD" w14:textId="77777777">
            <w:r w:rsidRPr="00BB1B70">
              <w:rPr>
                <w:b/>
                <w:bCs/>
                <w:lang w:val="en-US"/>
              </w:rPr>
              <w:t>Omzettingsverzoek</w:t>
            </w:r>
            <w:r w:rsidRPr="00BB1B70">
              <w:t> </w:t>
            </w:r>
          </w:p>
        </w:tc>
        <w:tc>
          <w:tcPr>
            <w:tcW w:w="1470" w:type="dxa"/>
            <w:tcBorders>
              <w:top w:val="single" w:color="auto" w:sz="12" w:space="0"/>
              <w:left w:val="nil"/>
              <w:bottom w:val="single" w:color="auto" w:sz="6" w:space="0"/>
              <w:right w:val="single" w:color="auto" w:sz="12" w:space="0"/>
            </w:tcBorders>
            <w:hideMark/>
          </w:tcPr>
          <w:p w:rsidRPr="00BB1B70" w:rsidR="00D60A90" w:rsidP="005826DA" w:rsidRDefault="00D60A90" w14:paraId="7693ED70" w14:textId="77777777">
            <w:r w:rsidRPr="00BB1B70">
              <w:rPr>
                <w:b/>
                <w:bCs/>
                <w:lang w:val="en-US"/>
              </w:rPr>
              <w:t>Besluit kabinet</w:t>
            </w:r>
            <w:r w:rsidRPr="00BB1B70">
              <w:t> </w:t>
            </w:r>
          </w:p>
        </w:tc>
      </w:tr>
      <w:tr w:rsidRPr="00BB1B70" w:rsidR="00D60A90" w:rsidTr="00D432D5" w14:paraId="7306DF91" w14:textId="77777777">
        <w:trPr>
          <w:trHeight w:val="300"/>
        </w:trPr>
        <w:tc>
          <w:tcPr>
            <w:tcW w:w="0" w:type="auto"/>
            <w:vMerge/>
            <w:tcBorders>
              <w:top w:val="single" w:color="auto" w:sz="12" w:space="0"/>
              <w:left w:val="single" w:color="auto" w:sz="12" w:space="0"/>
              <w:bottom w:val="single" w:color="auto" w:sz="6" w:space="0"/>
              <w:right w:val="single" w:color="auto" w:sz="12" w:space="0"/>
            </w:tcBorders>
            <w:vAlign w:val="center"/>
            <w:hideMark/>
          </w:tcPr>
          <w:p w:rsidRPr="00BB1B70" w:rsidR="00D60A90" w:rsidP="005826DA" w:rsidRDefault="00D60A90" w14:paraId="0358DEF5" w14:textId="77777777"/>
        </w:tc>
        <w:tc>
          <w:tcPr>
            <w:tcW w:w="0" w:type="auto"/>
            <w:vMerge/>
            <w:tcBorders>
              <w:top w:val="single" w:color="auto" w:sz="12" w:space="0"/>
              <w:left w:val="nil"/>
              <w:bottom w:val="single" w:color="auto" w:sz="6" w:space="0"/>
              <w:right w:val="single" w:color="auto" w:sz="12" w:space="0"/>
            </w:tcBorders>
            <w:vAlign w:val="center"/>
            <w:hideMark/>
          </w:tcPr>
          <w:p w:rsidRPr="00BB1B70" w:rsidR="00D60A90" w:rsidP="005826DA" w:rsidRDefault="00D60A90" w14:paraId="036E071E" w14:textId="77777777"/>
        </w:tc>
        <w:tc>
          <w:tcPr>
            <w:tcW w:w="1425" w:type="dxa"/>
            <w:tcBorders>
              <w:top w:val="nil"/>
              <w:left w:val="nil"/>
              <w:bottom w:val="single" w:color="auto" w:sz="6" w:space="0"/>
              <w:right w:val="single" w:color="auto" w:sz="6" w:space="0"/>
            </w:tcBorders>
            <w:hideMark/>
          </w:tcPr>
          <w:p w:rsidRPr="00BB1B70" w:rsidR="00D60A90" w:rsidP="005826DA" w:rsidRDefault="00D60A90" w14:paraId="2F13C086" w14:textId="77777777">
            <w:r w:rsidRPr="00BB1B70">
              <w:rPr>
                <w:b/>
                <w:bCs/>
                <w:lang w:val="en-US"/>
              </w:rPr>
              <w:t>Reservering</w:t>
            </w:r>
            <w:r w:rsidRPr="00BB1B70">
              <w:t> </w:t>
            </w:r>
          </w:p>
        </w:tc>
        <w:tc>
          <w:tcPr>
            <w:tcW w:w="1875" w:type="dxa"/>
            <w:tcBorders>
              <w:top w:val="nil"/>
              <w:left w:val="nil"/>
              <w:bottom w:val="single" w:color="auto" w:sz="6" w:space="0"/>
              <w:right w:val="single" w:color="auto" w:sz="12" w:space="0"/>
            </w:tcBorders>
            <w:hideMark/>
          </w:tcPr>
          <w:p w:rsidRPr="00BB1B70" w:rsidR="00D60A90" w:rsidP="005826DA" w:rsidRDefault="00D60A90" w14:paraId="23CD981E" w14:textId="77777777">
            <w:r w:rsidRPr="00BB1B70">
              <w:rPr>
                <w:b/>
                <w:bCs/>
                <w:lang w:val="en-US"/>
              </w:rPr>
              <w:t>Voorwaardelijke</w:t>
            </w:r>
            <w:r w:rsidRPr="00BB1B70">
              <w:t> </w:t>
            </w:r>
          </w:p>
          <w:p w:rsidRPr="00BB1B70" w:rsidR="00D60A90" w:rsidP="005826DA" w:rsidRDefault="00D60A90" w14:paraId="21517CA9" w14:textId="77777777">
            <w:r w:rsidRPr="00BB1B70">
              <w:rPr>
                <w:b/>
                <w:bCs/>
                <w:lang w:val="en-US"/>
              </w:rPr>
              <w:t>Toekenning</w:t>
            </w:r>
            <w:r w:rsidRPr="00BB1B70">
              <w:t> </w:t>
            </w:r>
          </w:p>
        </w:tc>
        <w:tc>
          <w:tcPr>
            <w:tcW w:w="1470" w:type="dxa"/>
            <w:tcBorders>
              <w:top w:val="nil"/>
              <w:left w:val="nil"/>
              <w:bottom w:val="single" w:color="auto" w:sz="6" w:space="0"/>
              <w:right w:val="single" w:color="auto" w:sz="12" w:space="0"/>
            </w:tcBorders>
            <w:hideMark/>
          </w:tcPr>
          <w:p w:rsidRPr="00BB1B70" w:rsidR="00D60A90" w:rsidP="005826DA" w:rsidRDefault="00D60A90" w14:paraId="4E2816FE" w14:textId="77777777">
            <w:r w:rsidRPr="00BB1B70">
              <w:rPr>
                <w:b/>
                <w:bCs/>
                <w:lang w:val="en-US"/>
              </w:rPr>
              <w:t>Toekenning</w:t>
            </w:r>
            <w:r w:rsidRPr="00BB1B70">
              <w:t> </w:t>
            </w:r>
          </w:p>
        </w:tc>
      </w:tr>
      <w:tr w:rsidRPr="00BB1B70" w:rsidR="00D60A90" w:rsidTr="00D432D5" w14:paraId="67EAB178" w14:textId="77777777">
        <w:trPr>
          <w:trHeight w:val="300"/>
        </w:trPr>
        <w:tc>
          <w:tcPr>
            <w:tcW w:w="3390" w:type="dxa"/>
            <w:tcBorders>
              <w:top w:val="nil"/>
              <w:left w:val="single" w:color="auto" w:sz="12" w:space="0"/>
              <w:bottom w:val="single" w:color="auto" w:sz="6" w:space="0"/>
              <w:right w:val="single" w:color="auto" w:sz="12" w:space="0"/>
            </w:tcBorders>
            <w:hideMark/>
          </w:tcPr>
          <w:p w:rsidRPr="00BB1B70" w:rsidR="00D60A90" w:rsidP="005826DA" w:rsidRDefault="00D60A90" w14:paraId="69BBC0F3" w14:textId="77777777">
            <w:r w:rsidRPr="00BB1B70">
              <w:t>Opschaling PPS in het beroepsonderwijs </w:t>
            </w:r>
          </w:p>
        </w:tc>
        <w:tc>
          <w:tcPr>
            <w:tcW w:w="840" w:type="dxa"/>
            <w:tcBorders>
              <w:top w:val="nil"/>
              <w:left w:val="nil"/>
              <w:bottom w:val="single" w:color="auto" w:sz="6" w:space="0"/>
              <w:right w:val="single" w:color="auto" w:sz="12" w:space="0"/>
            </w:tcBorders>
            <w:hideMark/>
          </w:tcPr>
          <w:p w:rsidRPr="00BB1B70" w:rsidR="00D60A90" w:rsidP="005826DA" w:rsidRDefault="00D60A90" w14:paraId="62E60D1B" w14:textId="77777777">
            <w:r w:rsidRPr="00BB1B70">
              <w:t>2 </w:t>
            </w:r>
          </w:p>
        </w:tc>
        <w:tc>
          <w:tcPr>
            <w:tcW w:w="1425" w:type="dxa"/>
            <w:tcBorders>
              <w:top w:val="nil"/>
              <w:left w:val="nil"/>
              <w:bottom w:val="single" w:color="auto" w:sz="6" w:space="0"/>
              <w:right w:val="single" w:color="auto" w:sz="6" w:space="0"/>
            </w:tcBorders>
            <w:hideMark/>
          </w:tcPr>
          <w:p w:rsidRPr="00BB1B70" w:rsidR="00D60A90" w:rsidP="005826DA" w:rsidRDefault="00D60A90" w14:paraId="2E91B50D" w14:textId="77777777">
            <w:r w:rsidRPr="00BB1B70">
              <w:t> </w:t>
            </w:r>
          </w:p>
        </w:tc>
        <w:tc>
          <w:tcPr>
            <w:tcW w:w="1875" w:type="dxa"/>
            <w:tcBorders>
              <w:top w:val="nil"/>
              <w:left w:val="nil"/>
              <w:bottom w:val="single" w:color="auto" w:sz="6" w:space="0"/>
              <w:right w:val="single" w:color="auto" w:sz="12" w:space="0"/>
            </w:tcBorders>
            <w:hideMark/>
          </w:tcPr>
          <w:p w:rsidRPr="00BB1B70" w:rsidR="00D60A90" w:rsidP="005826DA" w:rsidRDefault="00D60A90" w14:paraId="26DB914F" w14:textId="77777777">
            <w:r w:rsidRPr="00BB1B70">
              <w:t>57,4 </w:t>
            </w:r>
          </w:p>
        </w:tc>
        <w:tc>
          <w:tcPr>
            <w:tcW w:w="1470" w:type="dxa"/>
            <w:tcBorders>
              <w:top w:val="nil"/>
              <w:left w:val="nil"/>
              <w:bottom w:val="single" w:color="auto" w:sz="6" w:space="0"/>
              <w:right w:val="single" w:color="auto" w:sz="12" w:space="0"/>
            </w:tcBorders>
            <w:hideMark/>
          </w:tcPr>
          <w:p w:rsidRPr="00BB1B70" w:rsidR="00D60A90" w:rsidP="005826DA" w:rsidRDefault="00D60A90" w14:paraId="50625884" w14:textId="77777777">
            <w:r w:rsidRPr="00BB1B70">
              <w:t>57,4 </w:t>
            </w:r>
          </w:p>
        </w:tc>
      </w:tr>
      <w:tr w:rsidRPr="00BB1B70" w:rsidR="00D60A90" w:rsidTr="00D432D5" w14:paraId="06C80DC1" w14:textId="77777777">
        <w:trPr>
          <w:trHeight w:val="300"/>
        </w:trPr>
        <w:tc>
          <w:tcPr>
            <w:tcW w:w="3390" w:type="dxa"/>
            <w:tcBorders>
              <w:top w:val="nil"/>
              <w:left w:val="single" w:color="auto" w:sz="12" w:space="0"/>
              <w:bottom w:val="single" w:color="auto" w:sz="6" w:space="0"/>
              <w:right w:val="single" w:color="auto" w:sz="12" w:space="0"/>
            </w:tcBorders>
            <w:hideMark/>
          </w:tcPr>
          <w:p w:rsidRPr="00BB1B70" w:rsidR="00D60A90" w:rsidP="005826DA" w:rsidRDefault="00D60A90" w14:paraId="31A7298D" w14:textId="77777777">
            <w:r w:rsidRPr="00BB1B70">
              <w:t>6G Future Network Services </w:t>
            </w:r>
          </w:p>
        </w:tc>
        <w:tc>
          <w:tcPr>
            <w:tcW w:w="840" w:type="dxa"/>
            <w:tcBorders>
              <w:top w:val="nil"/>
              <w:left w:val="nil"/>
              <w:bottom w:val="single" w:color="auto" w:sz="6" w:space="0"/>
              <w:right w:val="single" w:color="auto" w:sz="12" w:space="0"/>
            </w:tcBorders>
            <w:hideMark/>
          </w:tcPr>
          <w:p w:rsidRPr="00BB1B70" w:rsidR="00D60A90" w:rsidP="005826DA" w:rsidRDefault="00D60A90" w14:paraId="74F1E1B5" w14:textId="77777777">
            <w:r w:rsidRPr="00BB1B70">
              <w:t>3 </w:t>
            </w:r>
          </w:p>
        </w:tc>
        <w:tc>
          <w:tcPr>
            <w:tcW w:w="1425" w:type="dxa"/>
            <w:tcBorders>
              <w:top w:val="nil"/>
              <w:left w:val="nil"/>
              <w:bottom w:val="single" w:color="auto" w:sz="6" w:space="0"/>
              <w:right w:val="single" w:color="auto" w:sz="6" w:space="0"/>
            </w:tcBorders>
            <w:hideMark/>
          </w:tcPr>
          <w:p w:rsidRPr="00BB1B70" w:rsidR="00D60A90" w:rsidP="005826DA" w:rsidRDefault="00D60A90" w14:paraId="7E6CD4A3" w14:textId="77777777">
            <w:r w:rsidRPr="00BB1B70">
              <w:t>142 </w:t>
            </w:r>
          </w:p>
        </w:tc>
        <w:tc>
          <w:tcPr>
            <w:tcW w:w="1875" w:type="dxa"/>
            <w:tcBorders>
              <w:top w:val="nil"/>
              <w:left w:val="nil"/>
              <w:bottom w:val="single" w:color="auto" w:sz="6" w:space="0"/>
              <w:right w:val="single" w:color="auto" w:sz="12" w:space="0"/>
            </w:tcBorders>
            <w:hideMark/>
          </w:tcPr>
          <w:p w:rsidRPr="00BB1B70" w:rsidR="00D60A90" w:rsidP="005826DA" w:rsidRDefault="00D60A90" w14:paraId="30266308" w14:textId="77777777">
            <w:r w:rsidRPr="00BB1B70">
              <w:t> </w:t>
            </w:r>
          </w:p>
        </w:tc>
        <w:tc>
          <w:tcPr>
            <w:tcW w:w="1470" w:type="dxa"/>
            <w:tcBorders>
              <w:top w:val="nil"/>
              <w:left w:val="nil"/>
              <w:bottom w:val="single" w:color="auto" w:sz="6" w:space="0"/>
              <w:right w:val="single" w:color="auto" w:sz="12" w:space="0"/>
            </w:tcBorders>
            <w:hideMark/>
          </w:tcPr>
          <w:p w:rsidRPr="00BB1B70" w:rsidR="00D60A90" w:rsidP="005826DA" w:rsidRDefault="00D60A90" w14:paraId="4BB20073" w14:textId="77777777">
            <w:r w:rsidRPr="00BB1B70">
              <w:t>142 </w:t>
            </w:r>
          </w:p>
        </w:tc>
      </w:tr>
      <w:tr w:rsidRPr="00BB1B70" w:rsidR="00D60A90" w:rsidTr="00D432D5" w14:paraId="0E80B476" w14:textId="77777777">
        <w:trPr>
          <w:trHeight w:val="300"/>
        </w:trPr>
        <w:tc>
          <w:tcPr>
            <w:tcW w:w="3390" w:type="dxa"/>
            <w:tcBorders>
              <w:top w:val="nil"/>
              <w:left w:val="single" w:color="auto" w:sz="12" w:space="0"/>
              <w:bottom w:val="single" w:color="auto" w:sz="12" w:space="0"/>
              <w:right w:val="single" w:color="auto" w:sz="12" w:space="0"/>
            </w:tcBorders>
            <w:hideMark/>
          </w:tcPr>
          <w:p w:rsidRPr="00BB1B70" w:rsidR="00D60A90" w:rsidP="005826DA" w:rsidRDefault="00D60A90" w14:paraId="43C44DA6" w14:textId="77777777">
            <w:r w:rsidRPr="00BB1B70">
              <w:rPr>
                <w:b/>
                <w:bCs/>
                <w:lang w:val="en-US"/>
              </w:rPr>
              <w:t>Totaal</w:t>
            </w:r>
            <w:r w:rsidRPr="00BB1B70">
              <w:t> </w:t>
            </w:r>
          </w:p>
        </w:tc>
        <w:tc>
          <w:tcPr>
            <w:tcW w:w="840" w:type="dxa"/>
            <w:tcBorders>
              <w:top w:val="nil"/>
              <w:left w:val="nil"/>
              <w:bottom w:val="single" w:color="auto" w:sz="12" w:space="0"/>
              <w:right w:val="single" w:color="auto" w:sz="12" w:space="0"/>
            </w:tcBorders>
            <w:hideMark/>
          </w:tcPr>
          <w:p w:rsidRPr="00BB1B70" w:rsidR="00D60A90" w:rsidP="005826DA" w:rsidRDefault="00D60A90" w14:paraId="5CE3BD68" w14:textId="77777777">
            <w:r w:rsidRPr="00BB1B70">
              <w:t> </w:t>
            </w:r>
          </w:p>
        </w:tc>
        <w:tc>
          <w:tcPr>
            <w:tcW w:w="1425" w:type="dxa"/>
            <w:tcBorders>
              <w:top w:val="nil"/>
              <w:left w:val="nil"/>
              <w:bottom w:val="single" w:color="auto" w:sz="12" w:space="0"/>
              <w:right w:val="single" w:color="auto" w:sz="6" w:space="0"/>
            </w:tcBorders>
            <w:hideMark/>
          </w:tcPr>
          <w:p w:rsidRPr="00BB1B70" w:rsidR="00D60A90" w:rsidP="005826DA" w:rsidRDefault="00D60A90" w14:paraId="27E63266" w14:textId="77777777">
            <w:r w:rsidRPr="00BB1B70">
              <w:rPr>
                <w:b/>
                <w:bCs/>
                <w:lang w:val="en-US"/>
              </w:rPr>
              <w:t>142</w:t>
            </w:r>
            <w:r w:rsidRPr="00BB1B70">
              <w:t> </w:t>
            </w:r>
          </w:p>
        </w:tc>
        <w:tc>
          <w:tcPr>
            <w:tcW w:w="1875" w:type="dxa"/>
            <w:tcBorders>
              <w:top w:val="nil"/>
              <w:left w:val="nil"/>
              <w:bottom w:val="single" w:color="auto" w:sz="12" w:space="0"/>
              <w:right w:val="single" w:color="auto" w:sz="12" w:space="0"/>
            </w:tcBorders>
            <w:hideMark/>
          </w:tcPr>
          <w:p w:rsidRPr="00BB1B70" w:rsidR="00D60A90" w:rsidP="005826DA" w:rsidRDefault="00D60A90" w14:paraId="452830F2" w14:textId="77777777">
            <w:r w:rsidRPr="00BB1B70">
              <w:rPr>
                <w:b/>
                <w:bCs/>
                <w:lang w:val="en-US"/>
              </w:rPr>
              <w:t>57,4</w:t>
            </w:r>
            <w:r w:rsidRPr="00BB1B70">
              <w:t> </w:t>
            </w:r>
          </w:p>
        </w:tc>
        <w:tc>
          <w:tcPr>
            <w:tcW w:w="1470" w:type="dxa"/>
            <w:tcBorders>
              <w:top w:val="nil"/>
              <w:left w:val="nil"/>
              <w:bottom w:val="single" w:color="auto" w:sz="12" w:space="0"/>
              <w:right w:val="single" w:color="auto" w:sz="12" w:space="0"/>
            </w:tcBorders>
            <w:hideMark/>
          </w:tcPr>
          <w:p w:rsidRPr="00BB1B70" w:rsidR="00D60A90" w:rsidP="005826DA" w:rsidRDefault="00D60A90" w14:paraId="31EA8F1A" w14:textId="77777777">
            <w:r w:rsidRPr="00BB1B70">
              <w:rPr>
                <w:b/>
                <w:bCs/>
                <w:lang w:val="en-US"/>
              </w:rPr>
              <w:t>199,4</w:t>
            </w:r>
            <w:r w:rsidRPr="00BB1B70">
              <w:t> </w:t>
            </w:r>
          </w:p>
        </w:tc>
      </w:tr>
    </w:tbl>
    <w:p w:rsidRPr="00BB1B70" w:rsidR="00D60A90" w:rsidP="005826DA" w:rsidRDefault="00D60A90" w14:paraId="7A97C870" w14:textId="77777777">
      <w:r w:rsidRPr="00BB1B70">
        <w:t> </w:t>
      </w:r>
    </w:p>
    <w:p w:rsidRPr="00BB1B70" w:rsidR="00D60A90" w:rsidP="005826DA" w:rsidRDefault="00D60A90" w14:paraId="2BF16C05" w14:textId="77777777">
      <w:r w:rsidRPr="00BB1B70">
        <w:t>De budgettaire verwerking vindt plaats bij eerste suppletoire begrotingen 2026 van het NGF en het ministerie van Economische Zaken. De besluitvorming is definitief na autorisatie van deze begrotingsstukken door beide Kamers. Daarna kunnen de definitief toegekende NGF-middelen aan de projecten worden besteed en de volgende fases van deze projecten worden uitgevoerd.  </w:t>
      </w:r>
    </w:p>
    <w:p w:rsidRPr="00BB1B70" w:rsidR="00D60A90" w:rsidP="005826DA" w:rsidRDefault="00D60A90" w14:paraId="67C9D50E" w14:textId="77777777">
      <w:r w:rsidRPr="00BB1B70">
        <w:t> </w:t>
      </w:r>
    </w:p>
    <w:p w:rsidRPr="00BB1B70" w:rsidR="00D60A90" w:rsidP="005826DA" w:rsidRDefault="00D60A90" w14:paraId="44FF60BD" w14:textId="77777777">
      <w:r w:rsidRPr="00BB1B70">
        <w:t> </w:t>
      </w:r>
    </w:p>
    <w:p w:rsidR="00D60A90" w:rsidP="005826DA" w:rsidRDefault="00D60A90" w14:paraId="142F06A8" w14:textId="77777777">
      <w:r w:rsidRPr="00BB1B70">
        <w:t> </w:t>
      </w:r>
    </w:p>
    <w:p w:rsidRPr="00BB1B70" w:rsidR="00D60A90" w:rsidP="005826DA" w:rsidRDefault="00D60A90" w14:paraId="6B1F2642" w14:textId="77777777"/>
    <w:p w:rsidRPr="00BB1B70" w:rsidR="00D60A90" w:rsidP="005826DA" w:rsidRDefault="00D60A90" w14:paraId="250B99E7" w14:textId="77777777">
      <w:r w:rsidRPr="00BB1B70">
        <w:t>Heleen Herbert </w:t>
      </w:r>
    </w:p>
    <w:p w:rsidRPr="00BB1B70" w:rsidR="00D60A90" w:rsidP="005826DA" w:rsidRDefault="00D60A90" w14:paraId="491C0A5C" w14:textId="77777777">
      <w:r w:rsidRPr="00BB1B70">
        <w:t>Minister van Economische Zaken en Klimaat  </w:t>
      </w:r>
    </w:p>
    <w:p w:rsidRPr="00BB1B70" w:rsidR="00D60A90" w:rsidP="005826DA" w:rsidRDefault="00D60A90" w14:paraId="53C64449" w14:textId="77777777">
      <w:r w:rsidRPr="00BB1B70">
        <w:t> </w:t>
      </w:r>
    </w:p>
    <w:p w:rsidR="00D60A90" w:rsidP="005826DA" w:rsidRDefault="00D60A90" w14:paraId="78368EB1" w14:textId="77777777">
      <w:pPr>
        <w:rPr>
          <w:b/>
          <w:bCs/>
        </w:rPr>
      </w:pPr>
      <w:r>
        <w:rPr>
          <w:b/>
          <w:bCs/>
        </w:rPr>
        <w:br w:type="page"/>
      </w:r>
    </w:p>
    <w:p w:rsidRPr="00BB1B70" w:rsidR="00D60A90" w:rsidP="005826DA" w:rsidRDefault="00D60A90" w14:paraId="600D04E6" w14:textId="77777777">
      <w:r w:rsidRPr="00BB1B70">
        <w:rPr>
          <w:b/>
          <w:bCs/>
        </w:rPr>
        <w:lastRenderedPageBreak/>
        <w:t>Bijlage 1</w:t>
      </w:r>
      <w:r w:rsidRPr="00BB1B70">
        <w:t> </w:t>
      </w:r>
    </w:p>
    <w:p w:rsidRPr="00BB1B70" w:rsidR="00D60A90" w:rsidP="005826DA" w:rsidRDefault="00D60A90" w14:paraId="6E81DB45" w14:textId="77777777">
      <w:r w:rsidRPr="00BB1B70">
        <w:t> </w:t>
      </w:r>
    </w:p>
    <w:p w:rsidRPr="00BB1B70" w:rsidR="00D60A90" w:rsidP="005826DA" w:rsidRDefault="00D60A90" w14:paraId="06C5DF9B" w14:textId="77777777">
      <w:r w:rsidRPr="00BB1B70">
        <w:rPr>
          <w:b/>
          <w:bCs/>
        </w:rPr>
        <w:t>Opschaling PPS in het beroepsonderwijs</w:t>
      </w:r>
      <w:r w:rsidRPr="00BB1B70">
        <w:t> </w:t>
      </w:r>
    </w:p>
    <w:p w:rsidRPr="00BB1B70" w:rsidR="00D60A90" w:rsidP="005826DA" w:rsidRDefault="00D60A90" w14:paraId="701FE265" w14:textId="77777777">
      <w:r w:rsidRPr="00BB1B70">
        <w:t>Het NGF-project Opschaling Publiek Private Samenwerking in het beroepsonderwijs beoogt de samenwerking tussen het bedrijfsleven en het beroepsonderwijs (mbo en hbo) te versterken om zo beter geschoold personeel te krijgen en daarmee de productiviteit te stimuleren. Dit project wordt uitgevoerd onder verantwoordelijkheid van het ministerie van Economische Zaken en Klimaat. Aan het project is in de tweede ronde € 152,6 miljoen toegekend om 15 publiek-private samenwerkingsverbanden door heel Nederland op te schalen en € 57,4 miljoen voorwaardelijk toegekend voor de volgende fase.  </w:t>
      </w:r>
    </w:p>
    <w:p w:rsidRPr="00BB1B70" w:rsidR="00D60A90" w:rsidP="005826DA" w:rsidRDefault="00D60A90" w14:paraId="123D3986" w14:textId="77777777">
      <w:r w:rsidRPr="00BB1B70">
        <w:t> </w:t>
      </w:r>
    </w:p>
    <w:p w:rsidRPr="00BB1B70" w:rsidR="00D60A90" w:rsidP="005826DA" w:rsidRDefault="00D60A90" w14:paraId="51D494D5" w14:textId="77777777">
      <w:r w:rsidRPr="00BB1B70">
        <w:t>De publiek-private samenwerkingsverbanden zijn door het project sterk in omvang gegroeid: het aantal partners uit het bedrijfsleven is met bijna achtduizend toegenomen, meer dan achtduizend werknemers hebben deelgenomen aan scholingsactiviteiten en ruim tienduizend extra studenten met ervaring in het bedrijfsleven stromen jaarlijks de arbeidsmarkt op. Hoewel de private cofinanciering iets achterloopt op de streefwaarde die voor de uitvoering van dit NGF-project wordt gehanteerd, is deze substantieel en groeiende. Gezien de voortgang ziet de adviescommissie voldoende reden om te adviseren om de € 57,4 miljoen voor de volgende fase definitief toe te kennen, waarmee de totale bijdrage van het NGF aan het project uitkomt op € 210 miljoen. Met deze bijdrage</w:t>
      </w:r>
      <w:r>
        <w:t xml:space="preserve"> </w:t>
      </w:r>
      <w:r w:rsidRPr="00BB1B70">
        <w:t>kunnen de 15 bestaande publiek-private samenwerkingen verder worden opgeschaald en kan het netwerk met een viertal extra samenwerkingsverbanden worden uitgebreid. Deze volgende fase zal zich daarnaast richten op de structurele borging en duurzame impact van de samenwerkingen. </w:t>
      </w:r>
    </w:p>
    <w:p w:rsidRPr="00BB1B70" w:rsidR="00D60A90" w:rsidP="005826DA" w:rsidRDefault="00D60A90" w14:paraId="635E9056" w14:textId="77777777">
      <w:r w:rsidRPr="00BB1B70">
        <w:t> </w:t>
      </w:r>
    </w:p>
    <w:p w:rsidRPr="00BB1B70" w:rsidR="00D60A90" w:rsidP="005826DA" w:rsidRDefault="00D60A90" w14:paraId="3DD40EBB" w14:textId="77777777">
      <w:r w:rsidRPr="00BB1B70">
        <w:t>De adviescommissie adviseert om twee zaken te waarborgen om de impact van het NGF-project te optimaliseren. Ten eerste adviseert de adviescommissie om in te zetten op nog betere impactmeting. Ten tweede adviseert de adviescommissie om de private cofinanciering vanuit het mkb apart inzichtelijk te maken zodat het project hierop kan sturen. Daarnaast moedigt de adviescommissie het kabinet aan om blijvende aandacht te houden voor het bevorderen van Leven Lang Ontwikkelen.  </w:t>
      </w:r>
    </w:p>
    <w:p w:rsidRPr="00BB1B70" w:rsidR="00D60A90" w:rsidP="005826DA" w:rsidRDefault="00D60A90" w14:paraId="0B45ED76" w14:textId="77777777">
      <w:r w:rsidRPr="00BB1B70">
        <w:t> </w:t>
      </w:r>
    </w:p>
    <w:p w:rsidRPr="00BB1B70" w:rsidR="00D60A90" w:rsidP="005826DA" w:rsidRDefault="00D60A90" w14:paraId="14B36CF6" w14:textId="77777777">
      <w:r w:rsidRPr="00BB1B70">
        <w:rPr>
          <w:b/>
          <w:bCs/>
        </w:rPr>
        <w:t>6G Future Network Services</w:t>
      </w:r>
      <w:r w:rsidRPr="00BB1B70">
        <w:t> </w:t>
      </w:r>
    </w:p>
    <w:p w:rsidRPr="00BB1B70" w:rsidR="00D60A90" w:rsidP="005826DA" w:rsidRDefault="00D60A90" w14:paraId="4267C979" w14:textId="77777777">
      <w:r w:rsidRPr="00BB1B70">
        <w:t xml:space="preserve">6G Future Network Services (6G FNS) is een NGF-programma dat werkt aan de ontwikkeling van de volgende generatie mobiele communicatienetwerken die naar verwachting vanaf circa 2030 op de markt komen. Dit programma wordt uitgevoerd onder verantwoordelijkheid van het ministerie van Economische Zaken en Klimaat. Het programma 6G FNS legt de basis voor een sterke Nederlandse positie in 6G door te bouwen aan een ecosysteem van bedrijven en kennisinstellingen, en door technologieën door te ontwikkelen en internationaal te standaardiseren. Tientallen partners met verschillende achtergronden (kennisinstellingen, telecomoperators, mkb en chipfabrikanten) werken in het programma samen aan verschillende technologieën en </w:t>
      </w:r>
      <w:r>
        <w:t>t</w:t>
      </w:r>
      <w:r w:rsidRPr="00BB1B70">
        <w:t xml:space="preserve">oepassingsgebieden. Het 6G FNS-programma heeft in 2023 in de derde ronde van het NGF een gefaseerde financiering toegekend gekregen: een definitieve </w:t>
      </w:r>
      <w:r w:rsidRPr="00BB1B70">
        <w:lastRenderedPageBreak/>
        <w:t>toekenning van € 61 miljoen voor de eerste fase van het NGF-project en een reservering van € 142 miljoen voor het vervolg.  </w:t>
      </w:r>
    </w:p>
    <w:p w:rsidRPr="00BB1B70" w:rsidR="00D60A90" w:rsidP="005826DA" w:rsidRDefault="00D60A90" w14:paraId="22A8F1F6" w14:textId="77777777">
      <w:r w:rsidRPr="00BB1B70">
        <w:t> </w:t>
      </w:r>
    </w:p>
    <w:p w:rsidRPr="00BB1B70" w:rsidR="00D60A90" w:rsidP="005826DA" w:rsidRDefault="00D60A90" w14:paraId="46573D63" w14:textId="77777777">
      <w:r w:rsidRPr="00BB1B70">
        <w:t>Het 6G FNS-programma is begin 2024 van start gegaan en heeft al betekenisvolle resultaten behaald op het gebied van technologieontwikkeling en het bevorderen van samenwerking in de sector. Zo zijn er 20 patenten gerealiseerd en 14 hardware prototypes ontwikkeld. Ook zijn er mede dankzij een subsidieregeling voor innovatievouchers (financiële steun om veelbelovende ideeën op het terrein van 6G te stimuleren) al zes spin-outs (nieuwe bedrijven) gerealiseerd. De adviescommissie is positief over de uitvoering en resultaten van de eerste fase van het 6G FNS-programma. Op basis van het aanvullende plan voor fase 2 adviseert adviescommissie de reservering geheel toe te kennen. Daarmee komt de totale bijdrage van het NGF aan 6G FNS op € 203 miljoen.  </w:t>
      </w:r>
    </w:p>
    <w:p w:rsidRPr="00BB1B70" w:rsidR="00D60A90" w:rsidP="005826DA" w:rsidRDefault="00D60A90" w14:paraId="1BDAE2B2" w14:textId="77777777">
      <w:r w:rsidRPr="00BB1B70">
        <w:t> </w:t>
      </w:r>
    </w:p>
    <w:p w:rsidRPr="00BB1B70" w:rsidR="00D60A90" w:rsidP="005826DA" w:rsidRDefault="00D60A90" w14:paraId="37379770" w14:textId="77777777">
      <w:r w:rsidRPr="00BB1B70">
        <w:t>De adviescommissie heeft er vertrouwen in dat het NGF-project 6G Future Network Services een goede bijdrage levert aan de doorontwikkeling van (onderdelen van) 6G en partijen in het ecosysteem beter in staat stelt om de positie van Nederland in de mondiale 6G-waardeketen te versterken. </w:t>
      </w:r>
    </w:p>
    <w:p w:rsidRPr="00BB1B70" w:rsidR="00D60A90" w:rsidP="005826DA" w:rsidRDefault="00D60A90" w14:paraId="6AB9762E" w14:textId="77777777">
      <w:r w:rsidRPr="00BB1B70">
        <w:t> </w:t>
      </w:r>
    </w:p>
    <w:p w:rsidRPr="002822CA" w:rsidR="00D60A90" w:rsidP="005826DA" w:rsidRDefault="00D60A90" w14:paraId="67F7C263" w14:textId="77777777"/>
    <w:p w:rsidR="00D60A90" w:rsidP="005826DA" w:rsidRDefault="00D60A90" w14:paraId="26E93D96" w14:textId="77777777">
      <w:r>
        <w:br/>
      </w:r>
    </w:p>
    <w:p w:rsidR="00D60A90" w:rsidP="005826DA" w:rsidRDefault="00D60A90" w14:paraId="5CEC735D" w14:textId="77777777"/>
    <w:p w:rsidR="00D60A90" w:rsidP="005826DA" w:rsidRDefault="00D60A90" w14:paraId="7F63F003" w14:textId="77777777"/>
    <w:p w:rsidR="00D60A90" w:rsidP="005826DA" w:rsidRDefault="00D60A90" w14:paraId="37FBA64A" w14:textId="77777777"/>
    <w:p w:rsidR="00D60A90" w:rsidP="005826DA" w:rsidRDefault="00D60A90" w14:paraId="4C2740D2" w14:textId="77777777">
      <w:pPr>
        <w:pStyle w:val="Voetnoottekst"/>
        <w:spacing w:line="240" w:lineRule="atLeast"/>
      </w:pPr>
    </w:p>
    <w:p w:rsidR="00D60A90" w:rsidP="005826DA" w:rsidRDefault="00D60A90" w14:paraId="18EE8D43" w14:textId="77777777"/>
    <w:p w:rsidR="00D60A90" w:rsidP="005826DA" w:rsidRDefault="00D60A90" w14:paraId="12ADF612" w14:textId="77777777"/>
    <w:p w:rsidR="00D60A90" w:rsidP="005826DA" w:rsidRDefault="00D60A90" w14:paraId="36C5C2E4" w14:textId="77777777"/>
    <w:p w:rsidR="00D60A90" w:rsidP="005826DA" w:rsidRDefault="00D60A90" w14:paraId="5BD28110" w14:textId="77777777"/>
    <w:p w:rsidR="00D60A90" w:rsidP="005826DA" w:rsidRDefault="00D60A90" w14:paraId="35AE33A8" w14:textId="77777777"/>
    <w:p w:rsidR="00D60A90" w:rsidP="005826DA" w:rsidRDefault="00D60A90" w14:paraId="77007CA2" w14:textId="77777777"/>
    <w:p w:rsidR="00D60A90" w:rsidP="005826DA" w:rsidRDefault="00D60A90" w14:paraId="68BA536D" w14:textId="77777777"/>
    <w:p w:rsidR="00D60A90" w:rsidP="005826DA" w:rsidRDefault="00D60A90" w14:paraId="4F1F711C" w14:textId="77777777"/>
    <w:p w:rsidRPr="005C65B5" w:rsidR="00D60A90" w:rsidP="005826DA" w:rsidRDefault="00D60A90" w14:paraId="04432A53" w14:textId="77777777"/>
    <w:p w:rsidR="00D60A90" w:rsidP="005826DA" w:rsidRDefault="00D60A90" w14:paraId="1FBB5BE4" w14:textId="77777777"/>
    <w:p w:rsidR="00D60A90" w:rsidP="005826DA" w:rsidRDefault="00D60A90" w14:paraId="71C0F3F8" w14:textId="77777777"/>
    <w:p w:rsidR="00D60A90" w:rsidP="005826DA" w:rsidRDefault="00D60A90" w14:paraId="125C6F80" w14:textId="77777777"/>
    <w:p w:rsidR="00D60A90" w:rsidP="005826DA" w:rsidRDefault="00D60A90" w14:paraId="7F2E4575" w14:textId="77777777"/>
    <w:p w:rsidR="00D60A90" w:rsidP="005826DA" w:rsidRDefault="00D60A90" w14:paraId="2D2B900B" w14:textId="77777777"/>
    <w:p w:rsidRPr="002822CA" w:rsidR="00340ECA" w:rsidP="005826DA" w:rsidRDefault="00340ECA" w14:paraId="6BAEE8AA" w14:textId="77777777"/>
    <w:p w:rsidR="007F439C" w:rsidP="005826DA" w:rsidRDefault="00DA4EB9" w14:paraId="3020A38A" w14:textId="77777777">
      <w:r>
        <w:br/>
      </w:r>
    </w:p>
    <w:p w:rsidR="006B3C17" w:rsidP="005826DA" w:rsidRDefault="006B3C17" w14:paraId="29A9916A" w14:textId="77777777"/>
    <w:p w:rsidR="006B3C17" w:rsidP="005826DA" w:rsidRDefault="006B3C17" w14:paraId="693C6479" w14:textId="77777777"/>
    <w:p w:rsidR="00E758FD" w:rsidP="005826DA" w:rsidRDefault="00E758FD" w14:paraId="4CE77569" w14:textId="77777777"/>
    <w:p w:rsidR="000639A7" w:rsidP="005826DA" w:rsidRDefault="000639A7" w14:paraId="669015DC" w14:textId="77777777"/>
    <w:p w:rsidR="00BD2D73" w:rsidP="005826DA" w:rsidRDefault="00BD2D73" w14:paraId="40A37529"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08DC" w14:textId="77777777" w:rsidR="00E935DF" w:rsidRDefault="00E935DF">
      <w:r>
        <w:separator/>
      </w:r>
    </w:p>
    <w:p w14:paraId="3FBFBC89" w14:textId="77777777" w:rsidR="00E935DF" w:rsidRDefault="00E935DF"/>
  </w:endnote>
  <w:endnote w:type="continuationSeparator" w:id="0">
    <w:p w14:paraId="472CABEF" w14:textId="77777777" w:rsidR="00E935DF" w:rsidRDefault="00E935DF">
      <w:r>
        <w:continuationSeparator/>
      </w:r>
    </w:p>
    <w:p w14:paraId="17CCCBEA" w14:textId="77777777" w:rsidR="00E935DF" w:rsidRDefault="00E93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0D0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B3E00" w14:paraId="28E7049C" w14:textId="77777777" w:rsidTr="00CA6A25">
      <w:trPr>
        <w:trHeight w:hRule="exact" w:val="240"/>
      </w:trPr>
      <w:tc>
        <w:tcPr>
          <w:tcW w:w="7601" w:type="dxa"/>
        </w:tcPr>
        <w:p w14:paraId="79432E1E" w14:textId="77777777" w:rsidR="00527BD4" w:rsidRDefault="00527BD4" w:rsidP="003F1F6B">
          <w:pPr>
            <w:pStyle w:val="Huisstijl-Rubricering"/>
          </w:pPr>
        </w:p>
      </w:tc>
      <w:tc>
        <w:tcPr>
          <w:tcW w:w="2156" w:type="dxa"/>
        </w:tcPr>
        <w:p w14:paraId="214D2DE9" w14:textId="45A9FAFC" w:rsidR="00527BD4" w:rsidRPr="00645414" w:rsidRDefault="00DA4EB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1B5D41">
            <w:t>4</w:t>
          </w:r>
          <w:r w:rsidR="004425CC">
            <w:fldChar w:fldCharType="end"/>
          </w:r>
        </w:p>
      </w:tc>
    </w:tr>
  </w:tbl>
  <w:p w14:paraId="41A89AA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B3E00" w14:paraId="186DAE1F" w14:textId="77777777" w:rsidTr="00CA6A25">
      <w:trPr>
        <w:trHeight w:hRule="exact" w:val="240"/>
      </w:trPr>
      <w:tc>
        <w:tcPr>
          <w:tcW w:w="7601" w:type="dxa"/>
        </w:tcPr>
        <w:p w14:paraId="0909D3DF" w14:textId="77777777" w:rsidR="00527BD4" w:rsidRDefault="00527BD4" w:rsidP="008C356D">
          <w:pPr>
            <w:pStyle w:val="Huisstijl-Rubricering"/>
          </w:pPr>
        </w:p>
      </w:tc>
      <w:tc>
        <w:tcPr>
          <w:tcW w:w="2170" w:type="dxa"/>
        </w:tcPr>
        <w:p w14:paraId="5911BC32" w14:textId="5384B0A0" w:rsidR="00527BD4" w:rsidRPr="00ED539E" w:rsidRDefault="00DA4EB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1B5D41">
            <w:t>4</w:t>
          </w:r>
          <w:r w:rsidR="006A013B">
            <w:fldChar w:fldCharType="end"/>
          </w:r>
        </w:p>
      </w:tc>
    </w:tr>
  </w:tbl>
  <w:p w14:paraId="42BD9A94" w14:textId="77777777" w:rsidR="00527BD4" w:rsidRPr="00BC3B53" w:rsidRDefault="00527BD4" w:rsidP="008C356D">
    <w:pPr>
      <w:pStyle w:val="Voettekst"/>
      <w:spacing w:line="240" w:lineRule="auto"/>
      <w:rPr>
        <w:sz w:val="2"/>
        <w:szCs w:val="2"/>
      </w:rPr>
    </w:pPr>
  </w:p>
  <w:p w14:paraId="7EDFE5E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39C6" w14:textId="77777777" w:rsidR="00E935DF" w:rsidRDefault="00E935DF">
      <w:r>
        <w:separator/>
      </w:r>
    </w:p>
    <w:p w14:paraId="57F04C4D" w14:textId="77777777" w:rsidR="00E935DF" w:rsidRDefault="00E935DF"/>
  </w:footnote>
  <w:footnote w:type="continuationSeparator" w:id="0">
    <w:p w14:paraId="3B30CCD6" w14:textId="77777777" w:rsidR="00E935DF" w:rsidRDefault="00E935DF">
      <w:r>
        <w:continuationSeparator/>
      </w:r>
    </w:p>
    <w:p w14:paraId="5A2F02C9" w14:textId="77777777" w:rsidR="00E935DF" w:rsidRDefault="00E93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B3E00" w14:paraId="552E009A" w14:textId="77777777" w:rsidTr="00A50CF6">
      <w:tc>
        <w:tcPr>
          <w:tcW w:w="2156" w:type="dxa"/>
        </w:tcPr>
        <w:p w14:paraId="6FD18D7E" w14:textId="77777777" w:rsidR="00527BD4" w:rsidRPr="005819CE" w:rsidRDefault="00DA4EB9" w:rsidP="00A50CF6">
          <w:pPr>
            <w:pStyle w:val="Huisstijl-Adres"/>
            <w:rPr>
              <w:b/>
            </w:rPr>
          </w:pPr>
          <w:r>
            <w:rPr>
              <w:b/>
            </w:rPr>
            <w:t>Directoraat-generaal Economie en Digitalisering</w:t>
          </w:r>
          <w:r w:rsidRPr="005819CE">
            <w:rPr>
              <w:b/>
            </w:rPr>
            <w:br/>
          </w:r>
        </w:p>
      </w:tc>
    </w:tr>
    <w:tr w:rsidR="000B3E00" w14:paraId="22A99386" w14:textId="77777777" w:rsidTr="00A50CF6">
      <w:trPr>
        <w:trHeight w:hRule="exact" w:val="200"/>
      </w:trPr>
      <w:tc>
        <w:tcPr>
          <w:tcW w:w="2156" w:type="dxa"/>
        </w:tcPr>
        <w:p w14:paraId="60D9E817" w14:textId="77777777" w:rsidR="00527BD4" w:rsidRPr="005819CE" w:rsidRDefault="00527BD4" w:rsidP="00A50CF6"/>
      </w:tc>
    </w:tr>
    <w:tr w:rsidR="000B3E00" w14:paraId="5ECB5EC0" w14:textId="77777777" w:rsidTr="00502512">
      <w:trPr>
        <w:trHeight w:hRule="exact" w:val="774"/>
      </w:trPr>
      <w:tc>
        <w:tcPr>
          <w:tcW w:w="2156" w:type="dxa"/>
        </w:tcPr>
        <w:p w14:paraId="5E8D3500" w14:textId="77777777" w:rsidR="00527BD4" w:rsidRDefault="00DA4EB9" w:rsidP="003A5290">
          <w:pPr>
            <w:pStyle w:val="Huisstijl-Kopje"/>
          </w:pPr>
          <w:r>
            <w:t>Ons kenmerk</w:t>
          </w:r>
        </w:p>
        <w:p w14:paraId="6A37191D" w14:textId="0F625618" w:rsidR="00527BD4" w:rsidRPr="005819CE" w:rsidRDefault="00DA4EB9" w:rsidP="004425CC">
          <w:pPr>
            <w:pStyle w:val="Huisstijl-Kopje"/>
          </w:pPr>
          <w:r>
            <w:rPr>
              <w:b w:val="0"/>
            </w:rPr>
            <w:t>DGED</w:t>
          </w:r>
          <w:r w:rsidRPr="00502512">
            <w:rPr>
              <w:b w:val="0"/>
            </w:rPr>
            <w:t xml:space="preserve"> / </w:t>
          </w:r>
          <w:r w:rsidR="005826DA" w:rsidRPr="005826DA">
            <w:rPr>
              <w:b w:val="0"/>
            </w:rPr>
            <w:t>104331331</w:t>
          </w:r>
        </w:p>
      </w:tc>
    </w:tr>
  </w:tbl>
  <w:p w14:paraId="3AFED733" w14:textId="77777777" w:rsidR="00527BD4" w:rsidRDefault="00527BD4" w:rsidP="008C356D">
    <w:pPr>
      <w:pStyle w:val="Koptekst"/>
      <w:rPr>
        <w:rFonts w:cs="Verdana-Bold"/>
        <w:b/>
        <w:bCs/>
        <w:smallCaps/>
        <w:szCs w:val="18"/>
      </w:rPr>
    </w:pPr>
  </w:p>
  <w:p w14:paraId="5D928522" w14:textId="77777777" w:rsidR="00527BD4" w:rsidRDefault="00527BD4" w:rsidP="008C356D"/>
  <w:p w14:paraId="590A5FBD" w14:textId="77777777" w:rsidR="00527BD4" w:rsidRPr="00740712" w:rsidRDefault="00527BD4" w:rsidP="008C356D"/>
  <w:p w14:paraId="7E07AF32" w14:textId="77777777" w:rsidR="00527BD4" w:rsidRPr="00217880" w:rsidRDefault="00527BD4" w:rsidP="008C356D">
    <w:pPr>
      <w:spacing w:line="0" w:lineRule="atLeast"/>
      <w:rPr>
        <w:sz w:val="2"/>
        <w:szCs w:val="2"/>
      </w:rPr>
    </w:pPr>
  </w:p>
  <w:p w14:paraId="07D913B1" w14:textId="77777777" w:rsidR="00527BD4" w:rsidRDefault="00527BD4" w:rsidP="004F44C2">
    <w:pPr>
      <w:pStyle w:val="Koptekst"/>
      <w:rPr>
        <w:rFonts w:cs="Verdana-Bold"/>
        <w:b/>
        <w:bCs/>
        <w:smallCaps/>
        <w:szCs w:val="18"/>
      </w:rPr>
    </w:pPr>
  </w:p>
  <w:p w14:paraId="2DD530F6" w14:textId="77777777" w:rsidR="00527BD4" w:rsidRDefault="00527BD4" w:rsidP="004F44C2"/>
  <w:p w14:paraId="66C42807" w14:textId="77777777" w:rsidR="00527BD4" w:rsidRPr="00740712" w:rsidRDefault="00527BD4" w:rsidP="004F44C2"/>
  <w:p w14:paraId="0E408C8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B3E00" w14:paraId="74DC7639" w14:textId="77777777" w:rsidTr="00751A6A">
      <w:trPr>
        <w:trHeight w:val="2636"/>
      </w:trPr>
      <w:tc>
        <w:tcPr>
          <w:tcW w:w="737" w:type="dxa"/>
        </w:tcPr>
        <w:p w14:paraId="07F5ABB5" w14:textId="77777777" w:rsidR="00527BD4" w:rsidRDefault="00527BD4" w:rsidP="00D0609E">
          <w:pPr>
            <w:framePr w:w="6340" w:h="2750" w:hRule="exact" w:hSpace="180" w:wrap="around" w:vAnchor="page" w:hAnchor="text" w:x="3873" w:y="-140"/>
            <w:spacing w:line="240" w:lineRule="auto"/>
          </w:pPr>
        </w:p>
      </w:tc>
      <w:tc>
        <w:tcPr>
          <w:tcW w:w="5156" w:type="dxa"/>
        </w:tcPr>
        <w:p w14:paraId="76C8F66C" w14:textId="77777777" w:rsidR="00527BD4" w:rsidRDefault="00DA4EB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6EBAE3E" wp14:editId="7A887AF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6A28BDE" w14:textId="77777777" w:rsidR="007269E3" w:rsidRDefault="007269E3" w:rsidP="00651CEE">
          <w:pPr>
            <w:framePr w:w="6340" w:h="2750" w:hRule="exact" w:hSpace="180" w:wrap="around" w:vAnchor="page" w:hAnchor="text" w:x="3873" w:y="-140"/>
            <w:spacing w:line="240" w:lineRule="auto"/>
          </w:pPr>
        </w:p>
      </w:tc>
    </w:tr>
  </w:tbl>
  <w:p w14:paraId="48B059D9" w14:textId="77777777" w:rsidR="00527BD4" w:rsidRDefault="00527BD4" w:rsidP="00D0609E">
    <w:pPr>
      <w:framePr w:w="6340" w:h="2750" w:hRule="exact" w:hSpace="180" w:wrap="around" w:vAnchor="page" w:hAnchor="text" w:x="3873" w:y="-140"/>
    </w:pPr>
  </w:p>
  <w:p w14:paraId="3073BE7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B3E00" w:rsidRPr="005826DA" w14:paraId="0575267D" w14:textId="77777777" w:rsidTr="00A50CF6">
      <w:tc>
        <w:tcPr>
          <w:tcW w:w="2160" w:type="dxa"/>
        </w:tcPr>
        <w:p w14:paraId="635E8C88" w14:textId="77777777" w:rsidR="00527BD4" w:rsidRPr="005819CE" w:rsidRDefault="00DA4EB9" w:rsidP="00A50CF6">
          <w:pPr>
            <w:pStyle w:val="Huisstijl-Adres"/>
            <w:rPr>
              <w:b/>
            </w:rPr>
          </w:pPr>
          <w:r>
            <w:rPr>
              <w:b/>
            </w:rPr>
            <w:t>Directoraat-generaal Economie en Digitalisering</w:t>
          </w:r>
          <w:r w:rsidRPr="005819CE">
            <w:rPr>
              <w:b/>
            </w:rPr>
            <w:br/>
          </w:r>
        </w:p>
        <w:p w14:paraId="3D422B2D" w14:textId="77777777" w:rsidR="00527BD4" w:rsidRPr="00BE5ED9" w:rsidRDefault="00DA4EB9" w:rsidP="00A50CF6">
          <w:pPr>
            <w:pStyle w:val="Huisstijl-Adres"/>
          </w:pPr>
          <w:r>
            <w:rPr>
              <w:b/>
            </w:rPr>
            <w:t>Bezoekadres</w:t>
          </w:r>
          <w:r>
            <w:rPr>
              <w:b/>
            </w:rPr>
            <w:br/>
          </w:r>
          <w:r>
            <w:t>Bezuidenhoutseweg 73</w:t>
          </w:r>
          <w:r w:rsidRPr="005819CE">
            <w:br/>
          </w:r>
          <w:r>
            <w:t>2594 AC Den Haag</w:t>
          </w:r>
        </w:p>
        <w:p w14:paraId="2E7F3B29" w14:textId="77777777" w:rsidR="00EF495B" w:rsidRDefault="00DA4EB9" w:rsidP="0098788A">
          <w:pPr>
            <w:pStyle w:val="Huisstijl-Adres"/>
          </w:pPr>
          <w:r>
            <w:rPr>
              <w:b/>
            </w:rPr>
            <w:t>Postadres</w:t>
          </w:r>
          <w:r>
            <w:rPr>
              <w:b/>
            </w:rPr>
            <w:br/>
          </w:r>
          <w:r>
            <w:t>Postbus 20401</w:t>
          </w:r>
          <w:r w:rsidRPr="005819CE">
            <w:br/>
            <w:t>2500 E</w:t>
          </w:r>
          <w:r>
            <w:t>K</w:t>
          </w:r>
          <w:r w:rsidRPr="005819CE">
            <w:t xml:space="preserve"> Den Haag</w:t>
          </w:r>
        </w:p>
        <w:p w14:paraId="620D5741" w14:textId="77777777" w:rsidR="00EF495B" w:rsidRPr="005B3814" w:rsidRDefault="00DA4EB9" w:rsidP="0098788A">
          <w:pPr>
            <w:pStyle w:val="Huisstijl-Adres"/>
          </w:pPr>
          <w:r>
            <w:rPr>
              <w:b/>
            </w:rPr>
            <w:t>Overheidsidentificatienr</w:t>
          </w:r>
          <w:r>
            <w:rPr>
              <w:b/>
            </w:rPr>
            <w:br/>
          </w:r>
          <w:r w:rsidRPr="005B3814">
            <w:t>00000001003214369000</w:t>
          </w:r>
        </w:p>
        <w:p w14:paraId="22B14372" w14:textId="1BA4ADD2" w:rsidR="00527BD4" w:rsidRPr="005826DA" w:rsidRDefault="00DA4EB9" w:rsidP="00A50CF6">
          <w:pPr>
            <w:pStyle w:val="Huisstijl-Adres"/>
          </w:pPr>
          <w:r>
            <w:t>T</w:t>
          </w:r>
          <w:r>
            <w:tab/>
            <w:t>070 379 8911 (algemeen)</w:t>
          </w:r>
          <w:r w:rsidRPr="005819CE">
            <w:br/>
          </w:r>
          <w:r w:rsidR="006F751F">
            <w:t>F</w:t>
          </w:r>
          <w:r w:rsidR="006F751F">
            <w:tab/>
            <w:t>0</w:t>
          </w:r>
          <w:r>
            <w:t>70 378 6011</w:t>
          </w:r>
          <w:r w:rsidR="006F751F">
            <w:t xml:space="preserve"> (algemeen)</w:t>
          </w:r>
          <w:r w:rsidR="006F751F" w:rsidRPr="005819CE">
            <w:br/>
          </w:r>
          <w:hyperlink r:id="rId3" w:history="1">
            <w:r w:rsidR="005826DA" w:rsidRPr="002A7699">
              <w:rPr>
                <w:rStyle w:val="Hyperlink"/>
              </w:rPr>
              <w:t>www.rijksoverheid.nl/ezk</w:t>
            </w:r>
          </w:hyperlink>
        </w:p>
      </w:tc>
    </w:tr>
    <w:tr w:rsidR="000B3E00" w:rsidRPr="005826DA" w14:paraId="3EA65145" w14:textId="77777777" w:rsidTr="00A50CF6">
      <w:trPr>
        <w:trHeight w:hRule="exact" w:val="200"/>
      </w:trPr>
      <w:tc>
        <w:tcPr>
          <w:tcW w:w="2160" w:type="dxa"/>
        </w:tcPr>
        <w:p w14:paraId="7A52341E" w14:textId="77777777" w:rsidR="00527BD4" w:rsidRPr="005826DA" w:rsidRDefault="00527BD4" w:rsidP="00A50CF6"/>
      </w:tc>
    </w:tr>
    <w:tr w:rsidR="000B3E00" w14:paraId="3FB030DE" w14:textId="77777777" w:rsidTr="00A50CF6">
      <w:tc>
        <w:tcPr>
          <w:tcW w:w="2160" w:type="dxa"/>
        </w:tcPr>
        <w:p w14:paraId="0D888CFA" w14:textId="77777777" w:rsidR="000C0163" w:rsidRPr="005819CE" w:rsidRDefault="00DA4EB9" w:rsidP="000C0163">
          <w:pPr>
            <w:pStyle w:val="Huisstijl-Kopje"/>
          </w:pPr>
          <w:r>
            <w:t>Ons kenmerk</w:t>
          </w:r>
          <w:r w:rsidRPr="005819CE">
            <w:t xml:space="preserve"> </w:t>
          </w:r>
        </w:p>
        <w:p w14:paraId="509B54BD" w14:textId="516BC6D8" w:rsidR="00527BD4" w:rsidRPr="005819CE" w:rsidRDefault="00DA4EB9" w:rsidP="005826DA">
          <w:pPr>
            <w:pStyle w:val="Huisstijl-Gegeven"/>
          </w:pPr>
          <w:r>
            <w:t>DGED</w:t>
          </w:r>
          <w:r w:rsidR="00926AE2">
            <w:t xml:space="preserve"> / </w:t>
          </w:r>
          <w:r w:rsidR="005826DA" w:rsidRPr="005826DA">
            <w:t>104331331</w:t>
          </w:r>
        </w:p>
        <w:p w14:paraId="720EC34E" w14:textId="77777777" w:rsidR="00527BD4" w:rsidRPr="005819CE" w:rsidRDefault="00527BD4" w:rsidP="00A50CF6">
          <w:pPr>
            <w:pStyle w:val="Huisstijl-Gegeven"/>
          </w:pPr>
        </w:p>
        <w:p w14:paraId="3B676FB6" w14:textId="77777777" w:rsidR="00527BD4" w:rsidRPr="005819CE" w:rsidRDefault="00DA4EB9" w:rsidP="00A50CF6">
          <w:pPr>
            <w:pStyle w:val="Huisstijl-Kopje"/>
          </w:pPr>
          <w:r>
            <w:t>Bijlage(n)</w:t>
          </w:r>
        </w:p>
        <w:p w14:paraId="0A357402" w14:textId="77777777" w:rsidR="00527BD4" w:rsidRPr="005819CE" w:rsidRDefault="00DA4EB9" w:rsidP="00A50CF6">
          <w:pPr>
            <w:pStyle w:val="Huisstijl-Gegeven"/>
          </w:pPr>
          <w:r>
            <w:t>3</w:t>
          </w:r>
        </w:p>
      </w:tc>
    </w:tr>
  </w:tbl>
  <w:p w14:paraId="654F7AB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B3E00" w14:paraId="252382E3" w14:textId="77777777" w:rsidTr="007610AA">
      <w:trPr>
        <w:trHeight w:val="400"/>
      </w:trPr>
      <w:tc>
        <w:tcPr>
          <w:tcW w:w="7520" w:type="dxa"/>
          <w:gridSpan w:val="2"/>
        </w:tcPr>
        <w:p w14:paraId="3523453A" w14:textId="77777777" w:rsidR="00527BD4" w:rsidRPr="00BC3B53" w:rsidRDefault="00DA4EB9" w:rsidP="00A50CF6">
          <w:pPr>
            <w:pStyle w:val="Huisstijl-Retouradres"/>
          </w:pPr>
          <w:r>
            <w:t>&gt; Retouradres Postbus 20401 2500 EK Den Haag</w:t>
          </w:r>
        </w:p>
      </w:tc>
    </w:tr>
    <w:tr w:rsidR="000B3E00" w14:paraId="48DDD455" w14:textId="77777777" w:rsidTr="007610AA">
      <w:tc>
        <w:tcPr>
          <w:tcW w:w="7520" w:type="dxa"/>
          <w:gridSpan w:val="2"/>
        </w:tcPr>
        <w:p w14:paraId="5E60F682" w14:textId="77777777" w:rsidR="00527BD4" w:rsidRPr="00983E8F" w:rsidRDefault="00527BD4" w:rsidP="00A50CF6">
          <w:pPr>
            <w:pStyle w:val="Huisstijl-Rubricering"/>
          </w:pPr>
        </w:p>
      </w:tc>
    </w:tr>
    <w:tr w:rsidR="000B3E00" w14:paraId="69E859AC" w14:textId="77777777" w:rsidTr="007610AA">
      <w:trPr>
        <w:trHeight w:hRule="exact" w:val="2440"/>
      </w:trPr>
      <w:tc>
        <w:tcPr>
          <w:tcW w:w="7520" w:type="dxa"/>
          <w:gridSpan w:val="2"/>
        </w:tcPr>
        <w:p w14:paraId="38249581" w14:textId="77777777" w:rsidR="00C0228C" w:rsidRDefault="00C0228C" w:rsidP="00C0228C">
          <w:pPr>
            <w:pStyle w:val="Huisstijl-NAW"/>
          </w:pPr>
          <w:r>
            <w:t>De Voorzitter van de Tweede Kamer</w:t>
          </w:r>
        </w:p>
        <w:p w14:paraId="6E8841EA" w14:textId="77777777" w:rsidR="00C0228C" w:rsidRDefault="00C0228C" w:rsidP="00C0228C">
          <w:pPr>
            <w:pStyle w:val="Huisstijl-NAW"/>
          </w:pPr>
          <w:r>
            <w:t>der Staten-Generaal</w:t>
          </w:r>
        </w:p>
        <w:p w14:paraId="7C5595DB" w14:textId="77777777" w:rsidR="00C0228C" w:rsidRDefault="00C0228C" w:rsidP="00C0228C">
          <w:pPr>
            <w:pStyle w:val="Huisstijl-NAW"/>
          </w:pPr>
          <w:r>
            <w:t>Prinses Irenestraat 6</w:t>
          </w:r>
        </w:p>
        <w:p w14:paraId="0127AB6E" w14:textId="7A62E977" w:rsidR="00D60A90" w:rsidRDefault="00C0228C" w:rsidP="00C0228C">
          <w:pPr>
            <w:pStyle w:val="Huisstijl-NAW"/>
          </w:pPr>
          <w:r>
            <w:t>2595 BD  DEN HAAG</w:t>
          </w:r>
        </w:p>
      </w:tc>
    </w:tr>
    <w:tr w:rsidR="000B3E00" w14:paraId="51F4E9E0" w14:textId="77777777" w:rsidTr="007610AA">
      <w:trPr>
        <w:trHeight w:hRule="exact" w:val="400"/>
      </w:trPr>
      <w:tc>
        <w:tcPr>
          <w:tcW w:w="7520" w:type="dxa"/>
          <w:gridSpan w:val="2"/>
        </w:tcPr>
        <w:p w14:paraId="11C51CF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B3E00" w14:paraId="27ADF5AF" w14:textId="77777777" w:rsidTr="007610AA">
      <w:trPr>
        <w:trHeight w:val="240"/>
      </w:trPr>
      <w:tc>
        <w:tcPr>
          <w:tcW w:w="900" w:type="dxa"/>
        </w:tcPr>
        <w:p w14:paraId="3BBD0E6B" w14:textId="77777777" w:rsidR="00527BD4" w:rsidRPr="007709EF" w:rsidRDefault="00DA4EB9" w:rsidP="00A50CF6">
          <w:pPr>
            <w:rPr>
              <w:szCs w:val="18"/>
            </w:rPr>
          </w:pPr>
          <w:r>
            <w:rPr>
              <w:szCs w:val="18"/>
            </w:rPr>
            <w:t>Datum</w:t>
          </w:r>
        </w:p>
      </w:tc>
      <w:tc>
        <w:tcPr>
          <w:tcW w:w="6620" w:type="dxa"/>
        </w:tcPr>
        <w:p w14:paraId="5EDEE2C1" w14:textId="315E01A8" w:rsidR="00527BD4" w:rsidRPr="007709EF" w:rsidRDefault="00DB0EF0" w:rsidP="00A50CF6">
          <w:r>
            <w:t>13 maart 2026</w:t>
          </w:r>
        </w:p>
      </w:tc>
    </w:tr>
    <w:tr w:rsidR="000B3E00" w14:paraId="3618162B" w14:textId="77777777" w:rsidTr="007610AA">
      <w:trPr>
        <w:trHeight w:val="240"/>
      </w:trPr>
      <w:tc>
        <w:tcPr>
          <w:tcW w:w="900" w:type="dxa"/>
        </w:tcPr>
        <w:p w14:paraId="57B6FFCF" w14:textId="77777777" w:rsidR="00527BD4" w:rsidRPr="007709EF" w:rsidRDefault="00DA4EB9" w:rsidP="00A50CF6">
          <w:pPr>
            <w:rPr>
              <w:szCs w:val="18"/>
            </w:rPr>
          </w:pPr>
          <w:r>
            <w:rPr>
              <w:szCs w:val="18"/>
            </w:rPr>
            <w:t>Betreft</w:t>
          </w:r>
        </w:p>
      </w:tc>
      <w:tc>
        <w:tcPr>
          <w:tcW w:w="6620" w:type="dxa"/>
        </w:tcPr>
        <w:p w14:paraId="22807BBF" w14:textId="455C4582" w:rsidR="00527BD4" w:rsidRPr="007709EF" w:rsidRDefault="00D60A90" w:rsidP="00A50CF6">
          <w:r w:rsidRPr="00D60A90">
            <w:t>Aanvullende advisering Nationaal Groeifondsprojecten (inclusief reactie kabinet) voorjaar 2026</w:t>
          </w:r>
        </w:p>
      </w:tc>
    </w:tr>
  </w:tbl>
  <w:p w14:paraId="551749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168F24">
      <w:start w:val="1"/>
      <w:numFmt w:val="bullet"/>
      <w:pStyle w:val="Lijstopsomteken"/>
      <w:lvlText w:val="•"/>
      <w:lvlJc w:val="left"/>
      <w:pPr>
        <w:tabs>
          <w:tab w:val="num" w:pos="227"/>
        </w:tabs>
        <w:ind w:left="227" w:hanging="227"/>
      </w:pPr>
      <w:rPr>
        <w:rFonts w:ascii="Verdana" w:hAnsi="Verdana" w:hint="default"/>
        <w:sz w:val="18"/>
        <w:szCs w:val="18"/>
      </w:rPr>
    </w:lvl>
    <w:lvl w:ilvl="1" w:tplc="CC020818" w:tentative="1">
      <w:start w:val="1"/>
      <w:numFmt w:val="bullet"/>
      <w:lvlText w:val="o"/>
      <w:lvlJc w:val="left"/>
      <w:pPr>
        <w:tabs>
          <w:tab w:val="num" w:pos="1440"/>
        </w:tabs>
        <w:ind w:left="1440" w:hanging="360"/>
      </w:pPr>
      <w:rPr>
        <w:rFonts w:ascii="Courier New" w:hAnsi="Courier New" w:cs="Courier New" w:hint="default"/>
      </w:rPr>
    </w:lvl>
    <w:lvl w:ilvl="2" w:tplc="C7884650" w:tentative="1">
      <w:start w:val="1"/>
      <w:numFmt w:val="bullet"/>
      <w:lvlText w:val=""/>
      <w:lvlJc w:val="left"/>
      <w:pPr>
        <w:tabs>
          <w:tab w:val="num" w:pos="2160"/>
        </w:tabs>
        <w:ind w:left="2160" w:hanging="360"/>
      </w:pPr>
      <w:rPr>
        <w:rFonts w:ascii="Wingdings" w:hAnsi="Wingdings" w:hint="default"/>
      </w:rPr>
    </w:lvl>
    <w:lvl w:ilvl="3" w:tplc="D7E89534" w:tentative="1">
      <w:start w:val="1"/>
      <w:numFmt w:val="bullet"/>
      <w:lvlText w:val=""/>
      <w:lvlJc w:val="left"/>
      <w:pPr>
        <w:tabs>
          <w:tab w:val="num" w:pos="2880"/>
        </w:tabs>
        <w:ind w:left="2880" w:hanging="360"/>
      </w:pPr>
      <w:rPr>
        <w:rFonts w:ascii="Symbol" w:hAnsi="Symbol" w:hint="default"/>
      </w:rPr>
    </w:lvl>
    <w:lvl w:ilvl="4" w:tplc="56CA0960" w:tentative="1">
      <w:start w:val="1"/>
      <w:numFmt w:val="bullet"/>
      <w:lvlText w:val="o"/>
      <w:lvlJc w:val="left"/>
      <w:pPr>
        <w:tabs>
          <w:tab w:val="num" w:pos="3600"/>
        </w:tabs>
        <w:ind w:left="3600" w:hanging="360"/>
      </w:pPr>
      <w:rPr>
        <w:rFonts w:ascii="Courier New" w:hAnsi="Courier New" w:cs="Courier New" w:hint="default"/>
      </w:rPr>
    </w:lvl>
    <w:lvl w:ilvl="5" w:tplc="E0FCD79C" w:tentative="1">
      <w:start w:val="1"/>
      <w:numFmt w:val="bullet"/>
      <w:lvlText w:val=""/>
      <w:lvlJc w:val="left"/>
      <w:pPr>
        <w:tabs>
          <w:tab w:val="num" w:pos="4320"/>
        </w:tabs>
        <w:ind w:left="4320" w:hanging="360"/>
      </w:pPr>
      <w:rPr>
        <w:rFonts w:ascii="Wingdings" w:hAnsi="Wingdings" w:hint="default"/>
      </w:rPr>
    </w:lvl>
    <w:lvl w:ilvl="6" w:tplc="2676E418" w:tentative="1">
      <w:start w:val="1"/>
      <w:numFmt w:val="bullet"/>
      <w:lvlText w:val=""/>
      <w:lvlJc w:val="left"/>
      <w:pPr>
        <w:tabs>
          <w:tab w:val="num" w:pos="5040"/>
        </w:tabs>
        <w:ind w:left="5040" w:hanging="360"/>
      </w:pPr>
      <w:rPr>
        <w:rFonts w:ascii="Symbol" w:hAnsi="Symbol" w:hint="default"/>
      </w:rPr>
    </w:lvl>
    <w:lvl w:ilvl="7" w:tplc="F2C04638" w:tentative="1">
      <w:start w:val="1"/>
      <w:numFmt w:val="bullet"/>
      <w:lvlText w:val="o"/>
      <w:lvlJc w:val="left"/>
      <w:pPr>
        <w:tabs>
          <w:tab w:val="num" w:pos="5760"/>
        </w:tabs>
        <w:ind w:left="5760" w:hanging="360"/>
      </w:pPr>
      <w:rPr>
        <w:rFonts w:ascii="Courier New" w:hAnsi="Courier New" w:cs="Courier New" w:hint="default"/>
      </w:rPr>
    </w:lvl>
    <w:lvl w:ilvl="8" w:tplc="4E72E5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FEA96F4">
      <w:start w:val="1"/>
      <w:numFmt w:val="bullet"/>
      <w:pStyle w:val="Lijstopsomteken2"/>
      <w:lvlText w:val="–"/>
      <w:lvlJc w:val="left"/>
      <w:pPr>
        <w:tabs>
          <w:tab w:val="num" w:pos="227"/>
        </w:tabs>
        <w:ind w:left="227" w:firstLine="0"/>
      </w:pPr>
      <w:rPr>
        <w:rFonts w:ascii="Verdana" w:hAnsi="Verdana" w:hint="default"/>
      </w:rPr>
    </w:lvl>
    <w:lvl w:ilvl="1" w:tplc="7D3E1CAA" w:tentative="1">
      <w:start w:val="1"/>
      <w:numFmt w:val="bullet"/>
      <w:lvlText w:val="o"/>
      <w:lvlJc w:val="left"/>
      <w:pPr>
        <w:tabs>
          <w:tab w:val="num" w:pos="1440"/>
        </w:tabs>
        <w:ind w:left="1440" w:hanging="360"/>
      </w:pPr>
      <w:rPr>
        <w:rFonts w:ascii="Courier New" w:hAnsi="Courier New" w:cs="Courier New" w:hint="default"/>
      </w:rPr>
    </w:lvl>
    <w:lvl w:ilvl="2" w:tplc="07524AC6" w:tentative="1">
      <w:start w:val="1"/>
      <w:numFmt w:val="bullet"/>
      <w:lvlText w:val=""/>
      <w:lvlJc w:val="left"/>
      <w:pPr>
        <w:tabs>
          <w:tab w:val="num" w:pos="2160"/>
        </w:tabs>
        <w:ind w:left="2160" w:hanging="360"/>
      </w:pPr>
      <w:rPr>
        <w:rFonts w:ascii="Wingdings" w:hAnsi="Wingdings" w:hint="default"/>
      </w:rPr>
    </w:lvl>
    <w:lvl w:ilvl="3" w:tplc="FAC88A44" w:tentative="1">
      <w:start w:val="1"/>
      <w:numFmt w:val="bullet"/>
      <w:lvlText w:val=""/>
      <w:lvlJc w:val="left"/>
      <w:pPr>
        <w:tabs>
          <w:tab w:val="num" w:pos="2880"/>
        </w:tabs>
        <w:ind w:left="2880" w:hanging="360"/>
      </w:pPr>
      <w:rPr>
        <w:rFonts w:ascii="Symbol" w:hAnsi="Symbol" w:hint="default"/>
      </w:rPr>
    </w:lvl>
    <w:lvl w:ilvl="4" w:tplc="C1E64DE0" w:tentative="1">
      <w:start w:val="1"/>
      <w:numFmt w:val="bullet"/>
      <w:lvlText w:val="o"/>
      <w:lvlJc w:val="left"/>
      <w:pPr>
        <w:tabs>
          <w:tab w:val="num" w:pos="3600"/>
        </w:tabs>
        <w:ind w:left="3600" w:hanging="360"/>
      </w:pPr>
      <w:rPr>
        <w:rFonts w:ascii="Courier New" w:hAnsi="Courier New" w:cs="Courier New" w:hint="default"/>
      </w:rPr>
    </w:lvl>
    <w:lvl w:ilvl="5" w:tplc="ED84A95E" w:tentative="1">
      <w:start w:val="1"/>
      <w:numFmt w:val="bullet"/>
      <w:lvlText w:val=""/>
      <w:lvlJc w:val="left"/>
      <w:pPr>
        <w:tabs>
          <w:tab w:val="num" w:pos="4320"/>
        </w:tabs>
        <w:ind w:left="4320" w:hanging="360"/>
      </w:pPr>
      <w:rPr>
        <w:rFonts w:ascii="Wingdings" w:hAnsi="Wingdings" w:hint="default"/>
      </w:rPr>
    </w:lvl>
    <w:lvl w:ilvl="6" w:tplc="0DF4C98C" w:tentative="1">
      <w:start w:val="1"/>
      <w:numFmt w:val="bullet"/>
      <w:lvlText w:val=""/>
      <w:lvlJc w:val="left"/>
      <w:pPr>
        <w:tabs>
          <w:tab w:val="num" w:pos="5040"/>
        </w:tabs>
        <w:ind w:left="5040" w:hanging="360"/>
      </w:pPr>
      <w:rPr>
        <w:rFonts w:ascii="Symbol" w:hAnsi="Symbol" w:hint="default"/>
      </w:rPr>
    </w:lvl>
    <w:lvl w:ilvl="7" w:tplc="99143FC4" w:tentative="1">
      <w:start w:val="1"/>
      <w:numFmt w:val="bullet"/>
      <w:lvlText w:val="o"/>
      <w:lvlJc w:val="left"/>
      <w:pPr>
        <w:tabs>
          <w:tab w:val="num" w:pos="5760"/>
        </w:tabs>
        <w:ind w:left="5760" w:hanging="360"/>
      </w:pPr>
      <w:rPr>
        <w:rFonts w:ascii="Courier New" w:hAnsi="Courier New" w:cs="Courier New" w:hint="default"/>
      </w:rPr>
    </w:lvl>
    <w:lvl w:ilvl="8" w:tplc="C67E88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9583263">
    <w:abstractNumId w:val="10"/>
  </w:num>
  <w:num w:numId="2" w16cid:durableId="308365207">
    <w:abstractNumId w:val="7"/>
  </w:num>
  <w:num w:numId="3" w16cid:durableId="1047101201">
    <w:abstractNumId w:val="6"/>
  </w:num>
  <w:num w:numId="4" w16cid:durableId="2103913560">
    <w:abstractNumId w:val="5"/>
  </w:num>
  <w:num w:numId="5" w16cid:durableId="41448741">
    <w:abstractNumId w:val="4"/>
  </w:num>
  <w:num w:numId="6" w16cid:durableId="124978468">
    <w:abstractNumId w:val="8"/>
  </w:num>
  <w:num w:numId="7" w16cid:durableId="1907253460">
    <w:abstractNumId w:val="3"/>
  </w:num>
  <w:num w:numId="8" w16cid:durableId="2092853622">
    <w:abstractNumId w:val="2"/>
  </w:num>
  <w:num w:numId="9" w16cid:durableId="1810398872">
    <w:abstractNumId w:val="1"/>
  </w:num>
  <w:num w:numId="10" w16cid:durableId="1584682483">
    <w:abstractNumId w:val="0"/>
  </w:num>
  <w:num w:numId="11" w16cid:durableId="1092774180">
    <w:abstractNumId w:val="9"/>
  </w:num>
  <w:num w:numId="12" w16cid:durableId="650064711">
    <w:abstractNumId w:val="11"/>
  </w:num>
  <w:num w:numId="13" w16cid:durableId="223640360">
    <w:abstractNumId w:val="13"/>
  </w:num>
  <w:num w:numId="14" w16cid:durableId="684322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3E00"/>
    <w:rsid w:val="000B7281"/>
    <w:rsid w:val="000B7FAB"/>
    <w:rsid w:val="000C0163"/>
    <w:rsid w:val="000C1A8A"/>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5D41"/>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6DA"/>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2515"/>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159C0"/>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7EE2"/>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0228C"/>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A90"/>
    <w:rsid w:val="00D60BA4"/>
    <w:rsid w:val="00D62419"/>
    <w:rsid w:val="00D74094"/>
    <w:rsid w:val="00D77870"/>
    <w:rsid w:val="00D80977"/>
    <w:rsid w:val="00D80CCE"/>
    <w:rsid w:val="00D86EEA"/>
    <w:rsid w:val="00D87D03"/>
    <w:rsid w:val="00D9360B"/>
    <w:rsid w:val="00D95C88"/>
    <w:rsid w:val="00D97B2E"/>
    <w:rsid w:val="00DA241E"/>
    <w:rsid w:val="00DA4EB9"/>
    <w:rsid w:val="00DB0EF0"/>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935DF"/>
    <w:rsid w:val="00EC0DFF"/>
    <w:rsid w:val="00EC237D"/>
    <w:rsid w:val="00EC2918"/>
    <w:rsid w:val="00EC4D0E"/>
    <w:rsid w:val="00EC4E2B"/>
    <w:rsid w:val="00ED072A"/>
    <w:rsid w:val="00ED4F81"/>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4740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B7297"/>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3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D60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ezk" TargetMode="External"/><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1125</ap:Words>
  <ap:Characters>6189</ap:Characters>
  <ap:DocSecurity>0</ap:DocSecurity>
  <ap:Lines>51</ap:Lines>
  <ap:Paragraphs>14</ap:Paragraphs>
  <ap:ScaleCrop>false</ap:ScaleCrop>
  <ap:LinksUpToDate>false</ap:LinksUpToDate>
  <ap:CharactersWithSpaces>7300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2026-03-13T15:03:00.0000000Z</dcterms:created>
  <dcterms:modified xsi:type="dcterms:W3CDTF">2026-03-13T15:04:00.0000000Z</dcterms:modified>
  <dc:description>------------------------</dc:description>
  <dc:subject/>
  <keywords/>
  <version/>
  <category/>
</coreProperties>
</file>