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2026Z05187</w:t>
        <w:br/>
      </w:r>
      <w:proofErr w:type="spellEnd"/>
    </w:p>
    <w:p>
      <w:pPr>
        <w:pStyle w:val="Normal"/>
        <w:rPr>
          <w:b w:val="1"/>
          <w:bCs w:val="1"/>
        </w:rPr>
      </w:pPr>
      <w:r w:rsidR="250AE766">
        <w:rPr>
          <w:b w:val="0"/>
          <w:bCs w:val="0"/>
        </w:rPr>
        <w:t>(ingezonden 16 maart 2026)</w:t>
        <w:br/>
      </w:r>
    </w:p>
    <w:p>
      <w:r>
        <w:t xml:space="preserve">Vragen van de leden Ceulemans en Boomsma (beiden JA21) aan de minister van Justitie en Veiligheid over het opheffen van vreemdelingenbewaring van een criminele vreemdelingen wegens vermeend ‘inhumane’ opeenvolgende IBS-periodes.</w:t>
      </w:r>
      <w:r>
        <w:br/>
      </w:r>
    </w:p>
    <w:p>
      <w:r>
        <w:t xml:space="preserve"> </w:t>
      </w:r>
      <w:r>
        <w:br/>
      </w:r>
    </w:p>
    <w:p>
      <w:pPr>
        <w:pStyle w:val="ListParagraph"/>
        <w:numPr>
          <w:ilvl w:val="0"/>
          <w:numId w:val="100500430"/>
        </w:numPr>
        <w:ind w:left="360"/>
      </w:pPr>
      <w:r>
        <w:t xml:space="preserve">Bent u bekend met de recente uitspraak van de Rechtbank van Noord-Holland, waarbij de bewaring van een criminele en als ongewenst vreemdeling aangemerkte Marokkaanse onderdaan is opgeheven omdat meerdere opeenvolgende perioden van vreemdelingenbewaring bij elkaar zijn opgeteld en als “inhumaan” zijn aangemerkt, terwijl betrokkene op het punt stond te worden uitgezet en de laissez-passer al gereed lag?</w:t>
      </w:r>
      <w:r>
        <w:br/>
      </w:r>
    </w:p>
    <w:p>
      <w:pPr>
        <w:pStyle w:val="ListParagraph"/>
        <w:numPr>
          <w:ilvl w:val="0"/>
          <w:numId w:val="100500430"/>
        </w:numPr>
        <w:ind w:left="360"/>
      </w:pPr>
      <w:r>
        <w:t xml:space="preserve">Kunt u uiteenzetten op welke juridische grond in deze zaak de opeenvolgende inbewaringstellingperiodes (IBS-periodes) zijn samengeteld en tot “inhumane” bewaring zijn bestempeld, en hoe dit zich verhoudt tot de Terugkeerrichtlijn én het door de Europese Commissie opgestelde Return Handbook, waarin juist wordt benadrukt dat bij een reëel vooruitzicht op verwijdering - bijvoorbeeld wanneer een laissez-passer (LP) gereed is - de uitvoering van de terugkeer voorrang behoort te hebben op invrijheidstelling? Waarom wijkt de Nederlandse praktijk in dit geval af van deze duidelijke aanbevelingen, nota bene met betrekking tot een criminele en ongewenst verklaarde vreemdeling?​​</w:t>
      </w:r>
      <w:r>
        <w:br/>
      </w:r>
    </w:p>
    <w:p>
      <w:pPr>
        <w:pStyle w:val="ListParagraph"/>
        <w:numPr>
          <w:ilvl w:val="0"/>
          <w:numId w:val="100500430"/>
        </w:numPr>
        <w:ind w:left="360"/>
      </w:pPr>
      <w:r>
        <w:t xml:space="preserve">Hoe beoordeelt u het risico voor de openbare orde en veiligheid wanneer criminele vreemdelingen die uitzetbaar zijn, voor wie reisdocumenten gereed liggen en die bovendien als ongewenst vreemdeling zijn aangemerkt, toch in vrijheid worden gesteld enkel vanwege de optelling van eerdere IBS-periodes?</w:t>
      </w:r>
      <w:r>
        <w:br/>
      </w:r>
    </w:p>
    <w:p>
      <w:pPr>
        <w:pStyle w:val="ListParagraph"/>
        <w:numPr>
          <w:ilvl w:val="0"/>
          <w:numId w:val="100500430"/>
        </w:numPr>
        <w:ind w:left="360"/>
      </w:pPr>
      <w:r>
        <w:t xml:space="preserve">Deelt u, mede gelet op het uitgangspunt dat lidstaten onder het Unierecht primair verantwoordelijk blijven voor de bescherming van de nationale veiligheid en openbare orde, en op het feit dat de Terugkeerrichtlijn expliciet voorziet in detentie van illegaal verblijvende derdelanders die een risico vormen voor de openbare orde of de uitvoering van de terugkeerprocedure, de mening dat hiermee de effectieve bescherming van de Nederlandse samenleving tegen gevaarlijke en ongewenst verklaarde recidivisten onaanvaardbaar wordt ondermijnd? Zo nee, waarom niet?</w:t>
      </w:r>
      <w:r>
        <w:br/>
      </w:r>
    </w:p>
    <w:p>
      <w:pPr>
        <w:pStyle w:val="ListParagraph"/>
        <w:numPr>
          <w:ilvl w:val="0"/>
          <w:numId w:val="100500430"/>
        </w:numPr>
        <w:ind w:left="360"/>
      </w:pPr>
      <w:r>
        <w:t xml:space="preserve">Bent u het ermee eens dat deze uitspraak in de praktijk betekent dat niet-meewerken aan terugkeer, het traineren van procedures en het strategisch indienen en weer intrekken van asielaanvragen en rechtsmiddelen door vreemdelingen en hun advocaten wordt beloond, omdat de door hen zelf veroorzaakte vertraging vervolgens wordt aangegrepen om bewaring op te heffen, zelfs wanneer het gaat om een criminele, ongewenst verklaarde vreemdeling voor wie een LP gereed ligt? Zo nee, waarom niet?</w:t>
      </w:r>
      <w:r>
        <w:br/>
      </w:r>
    </w:p>
    <w:p>
      <w:pPr>
        <w:pStyle w:val="ListParagraph"/>
        <w:numPr>
          <w:ilvl w:val="0"/>
          <w:numId w:val="100500430"/>
        </w:numPr>
        <w:ind w:left="360"/>
      </w:pPr>
      <w:r>
        <w:t xml:space="preserve">Welke concrete maatregelen bent u bereid op korte termijn en op langere termijn te nemen om te voorkomen dat dit soort misbruik van recht nog langer loont en om te waarborgen dat ongewenst verklaarde criminelen met een groot recidiverisico zoals deze daadwerkelijk kunnen worden uitgezet?</w:t>
      </w:r>
      <w:r>
        <w:br/>
      </w:r>
    </w:p>
    <w:p>
      <w:pPr>
        <w:pStyle w:val="ListParagraph"/>
        <w:numPr>
          <w:ilvl w:val="0"/>
          <w:numId w:val="100500430"/>
        </w:numPr>
        <w:ind w:left="360"/>
      </w:pPr>
      <w:r>
        <w:t xml:space="preserve">Bent u bekend met andere gevallen waarin vreemdelingenbewaring van (criminele) derdelanders, al dan niet ongewenst verklaard, is opgeheven omdat meerdere IBS-periodes bij elkaar zijn opgeteld en als “inhumaan” zijn aangemerkt, ondanks dat er uitzicht bestond op uitzetting en in voorkomende gevallen sprake was van recidivegevaar? Zo ja, om hoeveel zaken gaat het in de afgelopen twaalf maanden, wat is de aard van deze zaken, en kunt u de Kamer daarover een overzicht sturen inclusief delictcategorie, ongewenststatus, en reden voor opheffing van de bewaring?</w:t>
      </w:r>
      <w:r>
        <w:br/>
      </w:r>
    </w:p>
    <w:p>
      <w:pPr>
        <w:pStyle w:val="ListParagraph"/>
        <w:numPr>
          <w:ilvl w:val="0"/>
          <w:numId w:val="100500430"/>
        </w:numPr>
        <w:ind w:left="360"/>
      </w:pPr>
      <w:r>
        <w:t xml:space="preserve">Hoe verhoudt de in deze uitspraak gevolgde lijn zich volgens u tot de nieuwe aanstaande Europese Terugkeerverordening, die juist beoogt het terugkeerbeleid te versterken en te uniformeren, en deelt u de analyse dat met dergelijke uitspraken Nederland zichzelf klem zet als we het Europese kader zo uitleggen dat criminele, ongewenst verklaarde vreemdelingen eerder profiteren van juridische subtiliteiten dan dat de samenleving wordt beschermd? Zo nee, waarom niet?</w:t>
      </w:r>
      <w:r>
        <w:br/>
      </w:r>
    </w:p>
    <w:p>
      <w:pPr>
        <w:pStyle w:val="ListParagraph"/>
        <w:numPr>
          <w:ilvl w:val="0"/>
          <w:numId w:val="100500430"/>
        </w:numPr>
        <w:ind w:left="360"/>
      </w:pPr>
      <w:r>
        <w:t xml:space="preserve">Deelt u de opvatting dat criminele derdelanders die een gevaar vormen voor de openbare orde, die ongewenst zijn verklaard, bij wie recidivegevaar bestaat en die in principe uitzetbaar zijn, zeker wanneer de LP al gereed ligt, in bewaring moeten blijven totdat hun terugkeer daadwerkelijk is gerealiseerd, en dat het onacceptabel is dat zij door juridisch getouwtrek toch op straat belanden? Zo nee, waarom niet?</w:t>
      </w:r>
      <w:r>
        <w:br/>
      </w:r>
    </w:p>
    <w:p>
      <w:pPr>
        <w:pStyle w:val="ListParagraph"/>
        <w:numPr>
          <w:ilvl w:val="0"/>
          <w:numId w:val="100500430"/>
        </w:numPr>
        <w:ind w:left="360"/>
      </w:pPr>
      <w:r>
        <w:t xml:space="preserve">Welke mogelijkheden ziet u om, binnen het huidige Unierechtelijke kader, nationaal beleid en regelgeving zo aan te scherpen dat opeenstapeling van detentieperiodes en procedureel getraineer niet langer kan leiden tot een de facto immuniteit tegen uitzetting voor criminele, ongewenst verklaarde en recidivegevoelige vreemdelingen zonder verblijfsrecht? Bent u bereid de Kamer hierover op korte termijn concrete voorstellen te doen?</w:t>
      </w:r>
      <w:r>
        <w:br/>
      </w:r>
    </w:p>
    <w:p>
      <w:pPr>
        <w:pStyle w:val="ListParagraph"/>
        <w:numPr>
          <w:ilvl w:val="0"/>
          <w:numId w:val="100500430"/>
        </w:numPr>
        <w:ind w:left="360"/>
      </w:pPr>
      <w:r>
        <w:t xml:space="preserve">Bent u bereid om in Europees verband, onder verwijzing naar deze casuïstiek, te pleiten voor verduidelijking en aanscherping van de regels rond (hernieuwde) bewaring in de nieuwe Terugkeerverordening, zodat lidstaten niet langer worden gehinderd om dergelijke criminele, overlastgevende en ongewenstverklaarde vreemdelingen vast te houden totdat hun uitzetting feitelijk is uitgevoerd? Zo nee, waarom niet?</w:t>
      </w:r>
      <w:r>
        <w:br/>
      </w:r>
    </w:p>
    <w:p>
      <w:pPr>
        <w:pStyle w:val="ListParagraph"/>
        <w:numPr>
          <w:ilvl w:val="0"/>
          <w:numId w:val="100500430"/>
        </w:numPr>
        <w:ind w:left="360"/>
      </w:pPr>
      <w:r>
        <w:t xml:space="preserve">Wilt u deze vragen één voor één beantwoorden, vóór 23 april 2026?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370">
    <w:abstractNumId w:val="10050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