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8E6" w:rsidP="006E18E6" w:rsidRDefault="006E18E6" w14:paraId="4E87012B" w14:textId="64DF3347">
      <w:pPr>
        <w:rPr>
          <w:rStyle w:val="Zwaar"/>
          <w:b w:val="0"/>
          <w:bCs w:val="0"/>
        </w:rPr>
      </w:pPr>
      <w:r>
        <w:rPr>
          <w:rStyle w:val="Zwaar"/>
          <w:b w:val="0"/>
          <w:bCs w:val="0"/>
        </w:rPr>
        <w:t>AH 1344</w:t>
      </w:r>
    </w:p>
    <w:p w:rsidR="006E18E6" w:rsidP="006E18E6" w:rsidRDefault="006E18E6" w14:paraId="7AB0EF09" w14:textId="2F696E1F">
      <w:pPr>
        <w:rPr>
          <w:rStyle w:val="Zwaar"/>
          <w:b w:val="0"/>
          <w:bCs w:val="0"/>
        </w:rPr>
      </w:pPr>
      <w:r>
        <w:rPr>
          <w:rStyle w:val="Zwaar"/>
          <w:b w:val="0"/>
          <w:bCs w:val="0"/>
        </w:rPr>
        <w:t>2026Z03541</w:t>
      </w:r>
    </w:p>
    <w:p w:rsidR="006E18E6" w:rsidP="006E18E6" w:rsidRDefault="006E18E6" w14:paraId="03704383" w14:textId="1CDFCE6E">
      <w:pPr>
        <w:rPr>
          <w:rStyle w:val="Zwaar"/>
          <w:b w:val="0"/>
          <w:bCs w:val="0"/>
        </w:rPr>
      </w:pPr>
      <w:r w:rsidRPr="006E18E6">
        <w:rPr>
          <w:rStyle w:val="Zwaar"/>
          <w:b w:val="0"/>
          <w:bCs w:val="0"/>
          <w:sz w:val="24"/>
          <w:szCs w:val="24"/>
        </w:rPr>
        <w:t xml:space="preserve">Antwoord van staatssecretaris Erkens (Landbouw, Visserij, Voedselzekerheid en Natuur) (ontvangen </w:t>
      </w:r>
      <w:r>
        <w:rPr>
          <w:rStyle w:val="Zwaar"/>
          <w:b w:val="0"/>
          <w:bCs w:val="0"/>
        </w:rPr>
        <w:t>16 maart 2026)</w:t>
      </w:r>
    </w:p>
    <w:p w:rsidR="006E18E6" w:rsidP="006E18E6" w:rsidRDefault="006E18E6" w14:paraId="5507AE56" w14:textId="77777777">
      <w:pPr>
        <w:rPr>
          <w:rStyle w:val="Zwaar"/>
          <w:b w:val="0"/>
          <w:bCs w:val="0"/>
        </w:rPr>
      </w:pPr>
    </w:p>
    <w:p w:rsidRPr="006E18E6" w:rsidR="006E18E6" w:rsidP="006E18E6" w:rsidRDefault="006E18E6" w14:paraId="086AC1FB" w14:textId="173FC5B5">
      <w:pPr>
        <w:rPr>
          <w:rStyle w:val="Zwaar"/>
          <w:b w:val="0"/>
          <w:bCs w:val="0"/>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1327</w:t>
      </w:r>
    </w:p>
    <w:p w:rsidRPr="00C25A1D" w:rsidR="006E18E6" w:rsidP="006E18E6" w:rsidRDefault="006E18E6" w14:paraId="2C449D39" w14:textId="77777777">
      <w:pPr>
        <w:rPr>
          <w:rStyle w:val="Zwaar"/>
          <w:b w:val="0"/>
          <w:bCs w:val="0"/>
        </w:rPr>
      </w:pPr>
      <w:r w:rsidRPr="00C25A1D">
        <w:rPr>
          <w:rStyle w:val="Zwaar"/>
        </w:rPr>
        <w:t>1</w:t>
      </w:r>
    </w:p>
    <w:p w:rsidR="006E18E6" w:rsidP="006E18E6" w:rsidRDefault="006E18E6" w14:paraId="5F505BF0" w14:textId="77777777">
      <w:pPr>
        <w:rPr>
          <w:szCs w:val="18"/>
        </w:rPr>
      </w:pPr>
      <w:r w:rsidRPr="00F378B9">
        <w:rPr>
          <w:szCs w:val="18"/>
        </w:rPr>
        <w:t xml:space="preserve">Wat behelst, in grote lijnen, het behalen van een spuitlicentie voor het spuiten met bestrijdingsmiddelen en wat behelst het verlengen hiervan? Hoe lang is de training? Welke onderwerpen komen aan bod? Met welke frequentie moet iemand met een spuitlicentie deze vernieuwen en wat zijn de vereisten voor vernieuwing? </w:t>
      </w:r>
    </w:p>
    <w:p w:rsidR="006E18E6" w:rsidP="006E18E6" w:rsidRDefault="006E18E6" w14:paraId="28E3E3ED" w14:textId="77777777">
      <w:pPr>
        <w:rPr>
          <w:rStyle w:val="Zwaar"/>
          <w:b w:val="0"/>
          <w:bCs w:val="0"/>
        </w:rPr>
      </w:pPr>
    </w:p>
    <w:p w:rsidRPr="00C25A1D" w:rsidR="006E18E6" w:rsidP="006E18E6" w:rsidRDefault="006E18E6" w14:paraId="49ABB77D" w14:textId="77777777">
      <w:pPr>
        <w:rPr>
          <w:b/>
          <w:bCs/>
        </w:rPr>
      </w:pPr>
      <w:r w:rsidRPr="00C25A1D">
        <w:rPr>
          <w:rStyle w:val="Zwaar"/>
        </w:rPr>
        <w:t>Antwoord</w:t>
      </w:r>
    </w:p>
    <w:p w:rsidRPr="00166411" w:rsidR="006E18E6" w:rsidP="006E18E6" w:rsidRDefault="006E18E6" w14:paraId="5BAB1FAF" w14:textId="77777777">
      <w:pPr>
        <w:rPr>
          <w:color w:val="5B9BD5" w:themeColor="accent5"/>
        </w:rPr>
      </w:pPr>
      <w:r>
        <w:t xml:space="preserve">Een bewijs van vakbekwaamheid voor gewasbescherming, ook wel spuitlicentie genoemd, is nodig om professionele gewasbeschermingsmiddelen te mogen gebruiken. Dit is vastgelegd in de Wet gewasbeschermingsmiddelen en biociden, waarop het bijbehorende besluit en regeling is gebaseerd. Er zijn regels vastgesteld over het vereiste kennisniveau voor de onderwerpen uit bijlage I van richtlijn 2009/128/EG, waarin een onderscheid wordt gemaakt tussen distributeurs, voorlichters en professionele gebruikers van gewasbeschermingsmiddelen. Om een bewijs van vakbekwaamheid te halen, dient er een lesprogramma en een examen succesvol afgerond te worden. Het examen toetst verscheidene criteria, deze criteria zijn te vinden in kwalificatiedossiers op de website van de Samenwerkingsorganisatie Beroepsonderwijs Bedrijfsleven (SBB) </w:t>
      </w:r>
      <w:r>
        <w:rPr>
          <w:rStyle w:val="Voetnootmarkering"/>
        </w:rPr>
        <w:footnoteReference w:id="1"/>
      </w:r>
      <w:r>
        <w:t xml:space="preserve">. Een bewijs van vakbekwaamheid is 5 jaar geldig. Hierna dient de houder nascholingsbijeenkomsten te volgen om het bewijs van vakbekwaamheid te verlengen. De onderwerpen die tijdens een nascholingsbijeenkomst behandeld worden verschillen per type bewijs van vakbekwaamheid, en zijn terug te vinden in het Examendocument Gewasbescherming </w:t>
      </w:r>
      <w:r>
        <w:rPr>
          <w:rStyle w:val="Voetnootmarkering"/>
        </w:rPr>
        <w:footnoteReference w:id="2"/>
      </w:r>
      <w:r>
        <w:t xml:space="preserve">. </w:t>
      </w:r>
    </w:p>
    <w:p w:rsidR="006E18E6" w:rsidP="006E18E6" w:rsidRDefault="006E18E6" w14:paraId="4EEB5E48" w14:textId="77777777"/>
    <w:p w:rsidR="006E18E6" w:rsidP="006E18E6" w:rsidRDefault="006E18E6" w14:paraId="368CC49A" w14:textId="77777777">
      <w:r>
        <w:t>2</w:t>
      </w:r>
    </w:p>
    <w:p w:rsidR="006E18E6" w:rsidP="006E18E6" w:rsidRDefault="006E18E6" w14:paraId="515F169F" w14:textId="77777777">
      <w:pPr>
        <w:rPr>
          <w:szCs w:val="18"/>
        </w:rPr>
      </w:pPr>
      <w:r w:rsidRPr="00F378B9">
        <w:rPr>
          <w:szCs w:val="18"/>
        </w:rPr>
        <w:t xml:space="preserve">Geldt een spuitlicentie voor specifieke teelten, specifieke middelen, of allebei? </w:t>
      </w:r>
    </w:p>
    <w:p w:rsidR="006E18E6" w:rsidP="006E18E6" w:rsidRDefault="006E18E6" w14:paraId="47F3A0F6" w14:textId="77777777"/>
    <w:p w:rsidR="006E18E6" w:rsidP="006E18E6" w:rsidRDefault="006E18E6" w14:paraId="6872D6FB" w14:textId="77777777">
      <w:r>
        <w:t>Antwoord</w:t>
      </w:r>
    </w:p>
    <w:p w:rsidR="006E18E6" w:rsidP="006E18E6" w:rsidRDefault="006E18E6" w14:paraId="18AE3E51" w14:textId="77777777">
      <w:r>
        <w:lastRenderedPageBreak/>
        <w:t xml:space="preserve">Een bewijs van vakbekwaamheid geldt in de basis voor het veilig en verantwoord toepassen van professionele gewasbeschermingsmiddelen in het algemeen, en is niet strikt beperkt tot één specifiek middel of één specifieke teelt. </w:t>
      </w:r>
    </w:p>
    <w:p w:rsidR="006E18E6" w:rsidP="006E18E6" w:rsidRDefault="006E18E6" w14:paraId="6F9968D0" w14:textId="77777777">
      <w:r>
        <w:br/>
        <w:t>3</w:t>
      </w:r>
    </w:p>
    <w:p w:rsidR="006E18E6" w:rsidP="006E18E6" w:rsidRDefault="006E18E6" w14:paraId="6B56E706" w14:textId="77777777">
      <w:pPr>
        <w:rPr>
          <w:szCs w:val="18"/>
        </w:rPr>
      </w:pPr>
      <w:r w:rsidRPr="00F378B9">
        <w:rPr>
          <w:szCs w:val="18"/>
        </w:rPr>
        <w:t xml:space="preserve">Maakt de laatste stand van de wetenschap ten aanzien van de middelen waarvoor de licentie wordt gehaald, deel uit van het curriculum voor het behalen en/of verlengen van een spuitlicentie, zo nee, waarom niet? </w:t>
      </w:r>
    </w:p>
    <w:p w:rsidR="006E18E6" w:rsidP="006E18E6" w:rsidRDefault="006E18E6" w14:paraId="7FE9CDEF" w14:textId="77777777"/>
    <w:p w:rsidR="006E18E6" w:rsidP="006E18E6" w:rsidRDefault="006E18E6" w14:paraId="478E344C" w14:textId="77777777">
      <w:r>
        <w:t>Antwoord</w:t>
      </w:r>
    </w:p>
    <w:p w:rsidR="006E18E6" w:rsidP="006E18E6" w:rsidRDefault="006E18E6" w14:paraId="357925CC" w14:textId="77777777">
      <w:r w:rsidRPr="0064191D">
        <w:t>Ja, er worden nascholingsbijeenkomsten georganiseerd waarin de meest actuele ontwikkelingen en trends binnen het vakgebied worden behandeld. Het reguliere lesprogramma besteedt hier ook aandacht aan, met een focus op het correct en effectief toepassen van gewasbeschermingsmethoden. Daarnaast wordt er aandacht besteed aan de relevante wijzigingen in wet- en regelgeving, zodat de deelnemers op de hoogte zijn van de laatste normen en eisen.</w:t>
      </w:r>
    </w:p>
    <w:p w:rsidR="006E18E6" w:rsidP="006E18E6" w:rsidRDefault="006E18E6" w14:paraId="03ABC2F4" w14:textId="77777777">
      <w:r>
        <w:t>4</w:t>
      </w:r>
    </w:p>
    <w:p w:rsidR="006E18E6" w:rsidP="006E18E6" w:rsidRDefault="006E18E6" w14:paraId="6F62B4D3" w14:textId="77777777">
      <w:pPr>
        <w:rPr>
          <w:szCs w:val="18"/>
        </w:rPr>
      </w:pPr>
      <w:r w:rsidRPr="00F378B9">
        <w:rPr>
          <w:szCs w:val="18"/>
        </w:rPr>
        <w:t xml:space="preserve">Maken de risico’s voor omgeving en gezondheid van het gebruik van meerdere middelen tegelijk of na elkaar (cocktails), deel uit van het curriculum voor het behalen en/of verlengen van een spuitlicentie, zo nee, waarom niet? </w:t>
      </w:r>
    </w:p>
    <w:p w:rsidR="006E18E6" w:rsidP="006E18E6" w:rsidRDefault="006E18E6" w14:paraId="38BFE69C" w14:textId="77777777">
      <w:r>
        <w:t>Antwoord</w:t>
      </w:r>
    </w:p>
    <w:p w:rsidRPr="0064191D" w:rsidR="006E18E6" w:rsidP="006E18E6" w:rsidRDefault="006E18E6" w14:paraId="34FEAE23" w14:textId="77777777">
      <w:r w:rsidRPr="0064191D">
        <w:t>In de scholing wordt expliciet aandacht besteed aan zorgvuldig middelengebruik, waarbij de nadruk ligt op aspecten zoals tankmeng</w:t>
      </w:r>
      <w:r>
        <w:t>sels</w:t>
      </w:r>
      <w:r w:rsidRPr="0064191D">
        <w:t xml:space="preserve">, etiketvoorschriften, blootstellingsroutes, driftreductie en geïntegreerde gewasbescherming. </w:t>
      </w:r>
      <w:r>
        <w:t xml:space="preserve">Combinaties van middelen en cumulatieve blootstelling maken deel uit van de risicobeheersing die in het lesprogramma aan bod komt. </w:t>
      </w:r>
      <w:r w:rsidRPr="0064191D">
        <w:t>In de scholing wordt deelnemers geleerd dat zij enkel mogen werken conform de toelatingen en de voorschriften op het etiket. Het uitvoeren van eigen experimenten of afwijkingen van de vastgestelde richtlijnen is niet toegestaan, waarmee de veiligheid en naleving van regelgeving strikt gewaarborgd blijven.</w:t>
      </w:r>
    </w:p>
    <w:p w:rsidR="006E18E6" w:rsidP="006E18E6" w:rsidRDefault="006E18E6" w14:paraId="296B48C9" w14:textId="77777777"/>
    <w:p w:rsidR="006E18E6" w:rsidP="006E18E6" w:rsidRDefault="006E18E6" w14:paraId="13D41938" w14:textId="77777777">
      <w:pPr>
        <w:rPr>
          <w:szCs w:val="18"/>
        </w:rPr>
      </w:pPr>
      <w:r w:rsidRPr="00F378B9">
        <w:rPr>
          <w:szCs w:val="18"/>
        </w:rPr>
        <w:t>5</w:t>
      </w:r>
    </w:p>
    <w:p w:rsidR="006E18E6" w:rsidP="006E18E6" w:rsidRDefault="006E18E6" w14:paraId="4AD836C9" w14:textId="77777777">
      <w:pPr>
        <w:rPr>
          <w:szCs w:val="18"/>
        </w:rPr>
      </w:pPr>
      <w:r w:rsidRPr="00F378B9">
        <w:rPr>
          <w:szCs w:val="18"/>
        </w:rPr>
        <w:t xml:space="preserve">Maken de nog onbekende gevolgen voor de gezondheid, ook bij veilig gebruik, op de lange termijn, van middelen, deel uit van het curriculum voor het behalen en/of verlengen van een spuitlicentie, zo nee, waarom niet? </w:t>
      </w:r>
    </w:p>
    <w:p w:rsidR="006E18E6" w:rsidP="006E18E6" w:rsidRDefault="006E18E6" w14:paraId="63BA94C2" w14:textId="77777777">
      <w:pPr>
        <w:rPr>
          <w:szCs w:val="18"/>
        </w:rPr>
      </w:pPr>
    </w:p>
    <w:p w:rsidR="006E18E6" w:rsidP="006E18E6" w:rsidRDefault="006E18E6" w14:paraId="07E9CB38" w14:textId="77777777">
      <w:r>
        <w:t>Antwoord</w:t>
      </w:r>
    </w:p>
    <w:p w:rsidRPr="002D7CEC" w:rsidR="006E18E6" w:rsidP="006E18E6" w:rsidRDefault="006E18E6" w14:paraId="2F25D6AC" w14:textId="77777777">
      <w:r w:rsidRPr="002D7CEC">
        <w:lastRenderedPageBreak/>
        <w:t xml:space="preserve">De opleiding voor het behalen </w:t>
      </w:r>
      <w:r>
        <w:t xml:space="preserve">van een bewijs van vakbekwaamheid </w:t>
      </w:r>
      <w:r w:rsidRPr="002D7CEC">
        <w:t>is gericht op veilig gebruik binnen de vastgestelde toelatingskaders. Deelnemers leren over gevaar, risico, dosering, blootstelling, en het gebruik van beschermingsmiddelen, evenals het proces van risicobeoordeling.</w:t>
      </w:r>
      <w:r>
        <w:t xml:space="preserve"> </w:t>
      </w:r>
      <w:r w:rsidRPr="002D7CEC">
        <w:t>Wetenschappelijke inzichten worden voortdurend verwerkt in de verplichte nascholing, waardoor het systeem actueel blijft. De opleiding benadrukt dat meetbaarheid geen direct risico aanduidt; risico is afhankelijk van dosis, blootstelling en toxicologische eigenschappen. Gevolgen op lange termijn bij veilig gebruik worden niet expliciet behandeld, omdat de focus ligt op de actuele wetenschappelijke risicobeoordeling.</w:t>
      </w:r>
    </w:p>
    <w:p w:rsidR="006E18E6" w:rsidP="006E18E6" w:rsidRDefault="006E18E6" w14:paraId="59A94838" w14:textId="77777777">
      <w:pPr>
        <w:rPr>
          <w:szCs w:val="18"/>
        </w:rPr>
      </w:pPr>
    </w:p>
    <w:p w:rsidR="006E18E6" w:rsidP="006E18E6" w:rsidRDefault="006E18E6" w14:paraId="4E446DFA" w14:textId="77777777">
      <w:pPr>
        <w:rPr>
          <w:szCs w:val="18"/>
        </w:rPr>
      </w:pPr>
      <w:r w:rsidRPr="00F378B9">
        <w:rPr>
          <w:szCs w:val="18"/>
        </w:rPr>
        <w:t>6</w:t>
      </w:r>
    </w:p>
    <w:p w:rsidR="006E18E6" w:rsidP="006E18E6" w:rsidRDefault="006E18E6" w14:paraId="323BDD4C" w14:textId="77777777">
      <w:pPr>
        <w:rPr>
          <w:szCs w:val="18"/>
        </w:rPr>
      </w:pPr>
      <w:r w:rsidRPr="00F378B9">
        <w:rPr>
          <w:szCs w:val="18"/>
        </w:rPr>
        <w:t xml:space="preserve">Maakt het belang van omgang met omwonenden, bijvoorbeeld van het inlichten van omwonenden over wat er wordt gespoten en overleg over het moment van spuiten, deel uit van het curriculum voor het behalen en/of verlengen van een spuitlicentie, zo nee, waarom niet? </w:t>
      </w:r>
    </w:p>
    <w:p w:rsidR="006E18E6" w:rsidP="006E18E6" w:rsidRDefault="006E18E6" w14:paraId="3DA57F68" w14:textId="77777777">
      <w:pPr>
        <w:rPr>
          <w:szCs w:val="18"/>
        </w:rPr>
      </w:pPr>
    </w:p>
    <w:p w:rsidR="006E18E6" w:rsidP="006E18E6" w:rsidRDefault="006E18E6" w14:paraId="1115879C" w14:textId="77777777">
      <w:pPr>
        <w:rPr>
          <w:szCs w:val="18"/>
        </w:rPr>
      </w:pPr>
      <w:r>
        <w:rPr>
          <w:szCs w:val="18"/>
        </w:rPr>
        <w:t>Antwoord</w:t>
      </w:r>
    </w:p>
    <w:p w:rsidR="006E18E6" w:rsidP="006E18E6" w:rsidRDefault="006E18E6" w14:paraId="02002273" w14:textId="77777777">
      <w:pPr>
        <w:rPr>
          <w:szCs w:val="18"/>
        </w:rPr>
      </w:pPr>
      <w:r w:rsidRPr="00650224">
        <w:rPr>
          <w:szCs w:val="18"/>
        </w:rPr>
        <w:t xml:space="preserve">In zowel </w:t>
      </w:r>
      <w:r>
        <w:rPr>
          <w:szCs w:val="18"/>
        </w:rPr>
        <w:t>het reguliere lesprogramma</w:t>
      </w:r>
      <w:r w:rsidRPr="00650224">
        <w:rPr>
          <w:szCs w:val="18"/>
        </w:rPr>
        <w:t xml:space="preserve"> als de nascholingsbijeenkomsten wordt aandacht besteed aan de rol en verantwoordelijkheid van de teler in een maatschappelijk sensitieve context. Onderwerpen zoals het toepassen van drift reducerende technieken, het instellen van bufferzones, het monitoren van weersomstandigheden en het zorgvuldig plannen van gewasbescherming worden behandeld.</w:t>
      </w:r>
      <w:r>
        <w:rPr>
          <w:szCs w:val="18"/>
        </w:rPr>
        <w:t xml:space="preserve"> </w:t>
      </w:r>
      <w:r w:rsidRPr="00650224">
        <w:rPr>
          <w:szCs w:val="18"/>
        </w:rPr>
        <w:t>Daarnaast wordt ingegaan op hoe telers effectief kunnen omgaan met vragen of bezorgdheden van omwonenden. Transparantie en communicatie worden gepositioneerd als belangrijke aspecten van professioneel vakmanschap, gezien de teler opereert in een open landschap waar maatschappelijke acceptatie van wezenlijk belang is voor de verdere ontwikkeling van de sector.</w:t>
      </w:r>
      <w:r>
        <w:rPr>
          <w:szCs w:val="18"/>
        </w:rPr>
        <w:t xml:space="preserve"> Er is ook een handreiking beschikbaar op de Rijksoverheid website die praktische mogelijkheden biedt voor het gebruik van gewasbeschermingsmiddelen in goed nabuurschap voor onder andere omwonenden.</w:t>
      </w:r>
      <w:r>
        <w:rPr>
          <w:rStyle w:val="Voetnootmarkering"/>
          <w:szCs w:val="18"/>
        </w:rPr>
        <w:footnoteReference w:id="3"/>
      </w:r>
    </w:p>
    <w:p w:rsidR="006E18E6" w:rsidP="006E18E6" w:rsidRDefault="006E18E6" w14:paraId="5A3640C9" w14:textId="77777777">
      <w:pPr>
        <w:rPr>
          <w:szCs w:val="18"/>
        </w:rPr>
      </w:pPr>
    </w:p>
    <w:p w:rsidR="006E18E6" w:rsidP="006E18E6" w:rsidRDefault="006E18E6" w14:paraId="6E6042E6" w14:textId="77777777">
      <w:pPr>
        <w:rPr>
          <w:szCs w:val="18"/>
        </w:rPr>
      </w:pPr>
      <w:r>
        <w:rPr>
          <w:szCs w:val="18"/>
        </w:rPr>
        <w:br w:type="page"/>
      </w:r>
    </w:p>
    <w:p w:rsidR="006E18E6" w:rsidP="006E18E6" w:rsidRDefault="006E18E6" w14:paraId="7DF36743" w14:textId="77777777">
      <w:pPr>
        <w:rPr>
          <w:szCs w:val="18"/>
        </w:rPr>
      </w:pPr>
      <w:r w:rsidRPr="00F378B9">
        <w:rPr>
          <w:szCs w:val="18"/>
        </w:rPr>
        <w:lastRenderedPageBreak/>
        <w:t>7</w:t>
      </w:r>
    </w:p>
    <w:p w:rsidR="006E18E6" w:rsidP="006E18E6" w:rsidRDefault="006E18E6" w14:paraId="7DCD8353" w14:textId="77777777">
      <w:pPr>
        <w:rPr>
          <w:szCs w:val="18"/>
        </w:rPr>
      </w:pPr>
      <w:r w:rsidRPr="00F378B9">
        <w:rPr>
          <w:szCs w:val="18"/>
        </w:rPr>
        <w:t xml:space="preserve">Aan welke eisen moeten organisaties voldoen die dit soort trainingen geven? Hoe wordt gezorgd dat deze organisaties de vereiste kennis hebben om dit soort trainingen te geven? </w:t>
      </w:r>
    </w:p>
    <w:p w:rsidR="006E18E6" w:rsidP="006E18E6" w:rsidRDefault="006E18E6" w14:paraId="50340F72" w14:textId="77777777">
      <w:pPr>
        <w:rPr>
          <w:szCs w:val="18"/>
        </w:rPr>
      </w:pPr>
    </w:p>
    <w:p w:rsidR="006E18E6" w:rsidP="006E18E6" w:rsidRDefault="006E18E6" w14:paraId="784171D6" w14:textId="77777777">
      <w:pPr>
        <w:rPr>
          <w:szCs w:val="18"/>
        </w:rPr>
      </w:pPr>
      <w:r>
        <w:rPr>
          <w:szCs w:val="18"/>
        </w:rPr>
        <w:t>Antwoord</w:t>
      </w:r>
    </w:p>
    <w:p w:rsidR="006E18E6" w:rsidP="006E18E6" w:rsidRDefault="006E18E6" w14:paraId="01B90E64" w14:textId="77777777">
      <w:pPr>
        <w:rPr>
          <w:szCs w:val="18"/>
        </w:rPr>
      </w:pPr>
      <w:r>
        <w:rPr>
          <w:szCs w:val="18"/>
        </w:rPr>
        <w:t xml:space="preserve">De eisen waar de kennisaanbieder aan moet voldoen staan beschreven in het Examendocument gewasbescherming </w:t>
      </w:r>
      <w:r>
        <w:rPr>
          <w:szCs w:val="18"/>
          <w:vertAlign w:val="superscript"/>
        </w:rPr>
        <w:t>2</w:t>
      </w:r>
      <w:r>
        <w:rPr>
          <w:szCs w:val="18"/>
        </w:rPr>
        <w:t xml:space="preserve">. De kennisaanbieder moet onder andere zelf een bewijs van vakbekwaamheid in bezit hebben, en een percentage van de bijeenkomsten wordt bezocht om te inspecteren of ze aan de vooraf opgegeven doelstellingen voldoen. </w:t>
      </w:r>
    </w:p>
    <w:p w:rsidR="006E18E6" w:rsidP="006E18E6" w:rsidRDefault="006E18E6" w14:paraId="3369B851" w14:textId="77777777">
      <w:pPr>
        <w:rPr>
          <w:szCs w:val="18"/>
        </w:rPr>
      </w:pPr>
    </w:p>
    <w:p w:rsidR="006E18E6" w:rsidP="006E18E6" w:rsidRDefault="006E18E6" w14:paraId="79D0D8C9" w14:textId="77777777">
      <w:pPr>
        <w:rPr>
          <w:szCs w:val="18"/>
        </w:rPr>
      </w:pPr>
      <w:r w:rsidRPr="00F378B9">
        <w:rPr>
          <w:szCs w:val="18"/>
        </w:rPr>
        <w:t>8</w:t>
      </w:r>
    </w:p>
    <w:p w:rsidR="006E18E6" w:rsidP="006E18E6" w:rsidRDefault="006E18E6" w14:paraId="5C19944C" w14:textId="77777777">
      <w:pPr>
        <w:rPr>
          <w:szCs w:val="18"/>
        </w:rPr>
      </w:pPr>
      <w:r w:rsidRPr="00F378B9">
        <w:rPr>
          <w:szCs w:val="18"/>
        </w:rPr>
        <w:t xml:space="preserve">Wat is de stand van zaken van de motie-Van Campen c.s. (Kamerstuk 27858, nr. 691) over vakbekwaamheidseisen? </w:t>
      </w:r>
    </w:p>
    <w:p w:rsidR="006E18E6" w:rsidP="006E18E6" w:rsidRDefault="006E18E6" w14:paraId="5C5B1C6C" w14:textId="77777777">
      <w:pPr>
        <w:rPr>
          <w:szCs w:val="18"/>
        </w:rPr>
      </w:pPr>
    </w:p>
    <w:p w:rsidR="006E18E6" w:rsidP="006E18E6" w:rsidRDefault="006E18E6" w14:paraId="2E5E3BE5" w14:textId="77777777">
      <w:pPr>
        <w:rPr>
          <w:szCs w:val="18"/>
        </w:rPr>
      </w:pPr>
      <w:r>
        <w:rPr>
          <w:szCs w:val="18"/>
        </w:rPr>
        <w:t>Antwoord</w:t>
      </w:r>
    </w:p>
    <w:p w:rsidRPr="007E30FB" w:rsidR="006E18E6" w:rsidP="006E18E6" w:rsidRDefault="006E18E6" w14:paraId="702C7FCE" w14:textId="77777777">
      <w:pPr>
        <w:rPr>
          <w:szCs w:val="18"/>
        </w:rPr>
      </w:pPr>
      <w:r w:rsidRPr="007E30FB">
        <w:rPr>
          <w:szCs w:val="18"/>
        </w:rPr>
        <w:t>In de tweede helft van 2026 zullen de onderwerpen rond het verminderen van het gebruik van hoog risicomiddelen en het verbeteren van de naleving van gebruikersvoorschriften verplicht aan bod komen in het nieuwe nascholingsaanbod voor de bewijzen van vakbekwaamheid.</w:t>
      </w:r>
      <w:r>
        <w:rPr>
          <w:szCs w:val="18"/>
        </w:rPr>
        <w:t xml:space="preserve"> Ik zal uw Kamer hierover blijven informeren. </w:t>
      </w:r>
    </w:p>
    <w:p w:rsidR="006E18E6" w:rsidP="006E18E6" w:rsidRDefault="006E18E6" w14:paraId="762FE3D7" w14:textId="77777777">
      <w:pPr>
        <w:rPr>
          <w:szCs w:val="18"/>
        </w:rPr>
      </w:pPr>
    </w:p>
    <w:p w:rsidR="006E18E6" w:rsidP="006E18E6" w:rsidRDefault="006E18E6" w14:paraId="26449F6D" w14:textId="77777777">
      <w:pPr>
        <w:rPr>
          <w:szCs w:val="18"/>
        </w:rPr>
      </w:pPr>
      <w:r>
        <w:rPr>
          <w:szCs w:val="18"/>
        </w:rPr>
        <w:t>9</w:t>
      </w:r>
    </w:p>
    <w:p w:rsidR="006E18E6" w:rsidP="006E18E6" w:rsidRDefault="006E18E6" w14:paraId="31A4D6DD" w14:textId="77777777">
      <w:pPr>
        <w:rPr>
          <w:szCs w:val="18"/>
        </w:rPr>
      </w:pPr>
      <w:r w:rsidRPr="00F378B9">
        <w:rPr>
          <w:szCs w:val="18"/>
        </w:rPr>
        <w:t xml:space="preserve">Is het (wettelijk) mogelijk bij herhaald overtreden van de regels ten aanzien van bestrijdingsmiddelen (denk bijvoorbeeld aan de recente bevindingen van de Nederlandse Voedsel- en Warenautoriteit (NVWA) in de sierteelt onder glas) de spuitlicentie (tijdelijk) in te nemen? Zo nee, waarom niet? </w:t>
      </w:r>
    </w:p>
    <w:p w:rsidR="006E18E6" w:rsidP="006E18E6" w:rsidRDefault="006E18E6" w14:paraId="1BD3B3F4" w14:textId="77777777">
      <w:pPr>
        <w:rPr>
          <w:szCs w:val="18"/>
        </w:rPr>
      </w:pPr>
    </w:p>
    <w:p w:rsidR="006E18E6" w:rsidP="006E18E6" w:rsidRDefault="006E18E6" w14:paraId="23AB5F0D" w14:textId="77777777">
      <w:pPr>
        <w:rPr>
          <w:szCs w:val="18"/>
        </w:rPr>
      </w:pPr>
      <w:r>
        <w:rPr>
          <w:szCs w:val="18"/>
        </w:rPr>
        <w:t>Antwoord</w:t>
      </w:r>
    </w:p>
    <w:p w:rsidRPr="005B5ABF" w:rsidR="006E18E6" w:rsidP="006E18E6" w:rsidRDefault="006E18E6" w14:paraId="006A2D2C" w14:textId="77777777">
      <w:pPr>
        <w:rPr>
          <w:szCs w:val="18"/>
        </w:rPr>
      </w:pPr>
      <w:r w:rsidRPr="005B5ABF">
        <w:rPr>
          <w:szCs w:val="18"/>
        </w:rPr>
        <w:t xml:space="preserve">Ja, het intrekken van </w:t>
      </w:r>
      <w:r>
        <w:rPr>
          <w:szCs w:val="18"/>
        </w:rPr>
        <w:t xml:space="preserve">een bewijs van vakbekwaamheid </w:t>
      </w:r>
      <w:r w:rsidRPr="005B5ABF">
        <w:rPr>
          <w:szCs w:val="18"/>
        </w:rPr>
        <w:t>is mogelijk</w:t>
      </w:r>
      <w:r>
        <w:rPr>
          <w:szCs w:val="18"/>
        </w:rPr>
        <w:t>.</w:t>
      </w:r>
      <w:r w:rsidRPr="005B5ABF">
        <w:rPr>
          <w:szCs w:val="18"/>
        </w:rPr>
        <w:t xml:space="preserve"> </w:t>
      </w:r>
      <w:r>
        <w:rPr>
          <w:szCs w:val="18"/>
        </w:rPr>
        <w:t>I</w:t>
      </w:r>
      <w:r w:rsidRPr="005B5ABF">
        <w:rPr>
          <w:szCs w:val="18"/>
        </w:rPr>
        <w:t>ndien tegen de houder van een bewijs van vakbekwaamheid herhaaldelijk overtredingen van de Wet gewasbeschermingsmiddelen en biociden of van het Besluit activiteiten leefomgeving zijn geconstateerd</w:t>
      </w:r>
      <w:r>
        <w:rPr>
          <w:szCs w:val="18"/>
        </w:rPr>
        <w:t>,</w:t>
      </w:r>
      <w:r w:rsidRPr="005B5ABF">
        <w:rPr>
          <w:szCs w:val="18"/>
        </w:rPr>
        <w:t xml:space="preserve"> kan de </w:t>
      </w:r>
      <w:r>
        <w:rPr>
          <w:szCs w:val="18"/>
        </w:rPr>
        <w:t>M</w:t>
      </w:r>
      <w:r w:rsidRPr="005B5ABF">
        <w:rPr>
          <w:szCs w:val="18"/>
        </w:rPr>
        <w:t xml:space="preserve">inister het bewijs van vakbekwaamheid </w:t>
      </w:r>
      <w:r>
        <w:rPr>
          <w:szCs w:val="18"/>
        </w:rPr>
        <w:t>maximaal één jaar</w:t>
      </w:r>
      <w:r w:rsidRPr="005B5ABF">
        <w:rPr>
          <w:szCs w:val="18"/>
        </w:rPr>
        <w:t xml:space="preserve"> intrekken. De NVWA heeft in het verleden geen gebruik gemaakt van deze interventiemogelijkheid</w:t>
      </w:r>
      <w:r>
        <w:rPr>
          <w:szCs w:val="18"/>
        </w:rPr>
        <w:t>,</w:t>
      </w:r>
      <w:r w:rsidRPr="005B5ABF">
        <w:rPr>
          <w:szCs w:val="18"/>
        </w:rPr>
        <w:t xml:space="preserve"> omdat het destijds minder perspectief leek te </w:t>
      </w:r>
      <w:r w:rsidRPr="005B5ABF">
        <w:rPr>
          <w:szCs w:val="18"/>
        </w:rPr>
        <w:lastRenderedPageBreak/>
        <w:t xml:space="preserve">hebben. Het bewijs van vakbekwaamheid is namelijk op naam gesteld en het is zeer moeilijk te bewijzen dat dezelfde persoon herhaaldelijk de aangetoonde overtredingen heeft begaan. Verder is het voor een bedrijf eenvoudig om een andere medewerker in te zetten. Dit geldt vooral voor bedrijven met meerdere medewerkers. </w:t>
      </w:r>
      <w:r>
        <w:rPr>
          <w:szCs w:val="18"/>
        </w:rPr>
        <w:t xml:space="preserve">De </w:t>
      </w:r>
      <w:r w:rsidRPr="005B5ABF">
        <w:rPr>
          <w:szCs w:val="18"/>
        </w:rPr>
        <w:t xml:space="preserve">NVWA onderzoekt opnieuw de mogelijkheden van het intrekken van </w:t>
      </w:r>
      <w:r>
        <w:rPr>
          <w:szCs w:val="18"/>
        </w:rPr>
        <w:t>een bewijs van vakbekwaamheid</w:t>
      </w:r>
      <w:r w:rsidRPr="005B5ABF">
        <w:rPr>
          <w:szCs w:val="18"/>
        </w:rPr>
        <w:t>, als één van de sanctie</w:t>
      </w:r>
      <w:r>
        <w:rPr>
          <w:szCs w:val="18"/>
        </w:rPr>
        <w:t>-</w:t>
      </w:r>
      <w:r w:rsidRPr="005B5ABF">
        <w:rPr>
          <w:szCs w:val="18"/>
        </w:rPr>
        <w:t>instrumenten.</w:t>
      </w:r>
    </w:p>
    <w:p w:rsidR="006E18E6" w:rsidP="006E18E6" w:rsidRDefault="006E18E6" w14:paraId="0453B459" w14:textId="77777777">
      <w:pPr>
        <w:rPr>
          <w:szCs w:val="18"/>
        </w:rPr>
      </w:pPr>
    </w:p>
    <w:p w:rsidR="006E18E6" w:rsidP="006E18E6" w:rsidRDefault="006E18E6" w14:paraId="1A3A7920" w14:textId="77777777">
      <w:pPr>
        <w:rPr>
          <w:szCs w:val="18"/>
        </w:rPr>
      </w:pPr>
    </w:p>
    <w:p w:rsidR="006E18E6" w:rsidP="006E18E6" w:rsidRDefault="006E18E6" w14:paraId="504587D7" w14:textId="77777777">
      <w:pPr>
        <w:rPr>
          <w:szCs w:val="18"/>
        </w:rPr>
      </w:pPr>
      <w:r w:rsidRPr="00F378B9">
        <w:rPr>
          <w:szCs w:val="18"/>
        </w:rPr>
        <w:t>10</w:t>
      </w:r>
    </w:p>
    <w:p w:rsidR="006E18E6" w:rsidP="006E18E6" w:rsidRDefault="006E18E6" w14:paraId="16791B0E" w14:textId="77777777">
      <w:pPr>
        <w:rPr>
          <w:szCs w:val="18"/>
        </w:rPr>
      </w:pPr>
      <w:r w:rsidRPr="00F378B9">
        <w:rPr>
          <w:szCs w:val="18"/>
        </w:rPr>
        <w:t xml:space="preserve">Bent u bereid bovenstaande vragen te beantwoorden voor het debat over gewasbescherming? </w:t>
      </w:r>
    </w:p>
    <w:p w:rsidR="006E18E6" w:rsidP="006E18E6" w:rsidRDefault="006E18E6" w14:paraId="3F0FACDF" w14:textId="77777777">
      <w:pPr>
        <w:rPr>
          <w:szCs w:val="18"/>
        </w:rPr>
      </w:pPr>
    </w:p>
    <w:p w:rsidR="006E18E6" w:rsidP="006E18E6" w:rsidRDefault="006E18E6" w14:paraId="5767B71C" w14:textId="77777777">
      <w:pPr>
        <w:rPr>
          <w:szCs w:val="18"/>
        </w:rPr>
      </w:pPr>
      <w:r>
        <w:rPr>
          <w:szCs w:val="18"/>
        </w:rPr>
        <w:t>Antwoord</w:t>
      </w:r>
    </w:p>
    <w:p w:rsidRPr="00426BC7" w:rsidR="006E18E6" w:rsidP="006E18E6" w:rsidRDefault="006E18E6" w14:paraId="40E88DAE" w14:textId="77777777">
      <w:pPr>
        <w:rPr>
          <w:rFonts w:cs="Arial"/>
          <w:color w:val="000000"/>
          <w:szCs w:val="18"/>
        </w:rPr>
      </w:pPr>
      <w:r>
        <w:rPr>
          <w:szCs w:val="18"/>
        </w:rPr>
        <w:t>Ja.</w:t>
      </w:r>
    </w:p>
    <w:p w:rsidR="00AD3E70" w:rsidRDefault="00AD3E70" w14:paraId="34902441" w14:textId="77777777"/>
    <w:sectPr w:rsidR="00AD3E70" w:rsidSect="006E18E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66F6" w14:textId="77777777" w:rsidR="006E18E6" w:rsidRDefault="006E18E6" w:rsidP="006E18E6">
      <w:pPr>
        <w:spacing w:after="0" w:line="240" w:lineRule="auto"/>
      </w:pPr>
      <w:r>
        <w:separator/>
      </w:r>
    </w:p>
  </w:endnote>
  <w:endnote w:type="continuationSeparator" w:id="0">
    <w:p w14:paraId="78E5A193" w14:textId="77777777" w:rsidR="006E18E6" w:rsidRDefault="006E18E6" w:rsidP="006E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23C4" w14:textId="77777777" w:rsidR="006E18E6" w:rsidRPr="006E18E6" w:rsidRDefault="006E18E6" w:rsidP="006E18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7404" w14:textId="77777777" w:rsidR="006E18E6" w:rsidRPr="006E18E6" w:rsidRDefault="006E18E6" w:rsidP="006E18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D456" w14:textId="77777777" w:rsidR="006E18E6" w:rsidRPr="006E18E6" w:rsidRDefault="006E18E6" w:rsidP="006E1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D03F" w14:textId="77777777" w:rsidR="006E18E6" w:rsidRDefault="006E18E6" w:rsidP="006E18E6">
      <w:pPr>
        <w:spacing w:after="0" w:line="240" w:lineRule="auto"/>
      </w:pPr>
      <w:r>
        <w:separator/>
      </w:r>
    </w:p>
  </w:footnote>
  <w:footnote w:type="continuationSeparator" w:id="0">
    <w:p w14:paraId="45F2F2F3" w14:textId="77777777" w:rsidR="006E18E6" w:rsidRDefault="006E18E6" w:rsidP="006E18E6">
      <w:pPr>
        <w:spacing w:after="0" w:line="240" w:lineRule="auto"/>
      </w:pPr>
      <w:r>
        <w:continuationSeparator/>
      </w:r>
    </w:p>
  </w:footnote>
  <w:footnote w:id="1">
    <w:p w14:paraId="395514C4" w14:textId="77777777" w:rsidR="006E18E6" w:rsidRDefault="006E18E6" w:rsidP="006E18E6">
      <w:pPr>
        <w:pStyle w:val="Voetnoottekst"/>
      </w:pPr>
      <w:r>
        <w:rPr>
          <w:rStyle w:val="Voetnootmarkering"/>
        </w:rPr>
        <w:footnoteRef/>
      </w:r>
      <w:r>
        <w:t xml:space="preserve"> </w:t>
      </w:r>
      <w:hyperlink r:id="rId1" w:history="1">
        <w:r w:rsidRPr="00296A2C">
          <w:rPr>
            <w:rStyle w:val="Hyperlink"/>
          </w:rPr>
          <w:t>MijnSBB - Kwalificatieregister</w:t>
        </w:r>
      </w:hyperlink>
    </w:p>
  </w:footnote>
  <w:footnote w:id="2">
    <w:p w14:paraId="100A7793" w14:textId="77777777" w:rsidR="006E18E6" w:rsidRDefault="006E18E6" w:rsidP="006E18E6">
      <w:pPr>
        <w:pStyle w:val="Voetnoottekst"/>
      </w:pPr>
      <w:r>
        <w:rPr>
          <w:rStyle w:val="Voetnootmarkering"/>
        </w:rPr>
        <w:footnoteRef/>
      </w:r>
      <w:r>
        <w:t xml:space="preserve"> </w:t>
      </w:r>
      <w:hyperlink r:id="rId2" w:history="1">
        <w:r w:rsidRPr="00166411">
          <w:rPr>
            <w:rStyle w:val="Hyperlink"/>
          </w:rPr>
          <w:t>Examendocument Bewijs van vakbekwaamheid Gewasbescherming 1.3 - Bureau Erkenningen</w:t>
        </w:r>
      </w:hyperlink>
      <w:r>
        <w:t xml:space="preserve"> </w:t>
      </w:r>
    </w:p>
  </w:footnote>
  <w:footnote w:id="3">
    <w:p w14:paraId="7C9A0A1B" w14:textId="77777777" w:rsidR="006E18E6" w:rsidRDefault="006E18E6" w:rsidP="006E18E6">
      <w:pPr>
        <w:pStyle w:val="Voetnoottekst"/>
      </w:pPr>
      <w:r>
        <w:rPr>
          <w:rStyle w:val="Voetnootmarkering"/>
        </w:rPr>
        <w:footnoteRef/>
      </w:r>
      <w:r>
        <w:t xml:space="preserve"> </w:t>
      </w:r>
      <w:hyperlink r:id="rId3" w:history="1">
        <w:r w:rsidRPr="00650224">
          <w:rPr>
            <w:rStyle w:val="Hyperlink"/>
          </w:rPr>
          <w:t>‘Nabuurschap’ bij het gebruik van gewasbeschermingsmiddelen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E60F" w14:textId="77777777" w:rsidR="006E18E6" w:rsidRPr="006E18E6" w:rsidRDefault="006E18E6" w:rsidP="006E18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3119" w14:textId="77777777" w:rsidR="006E18E6" w:rsidRPr="006E18E6" w:rsidRDefault="006E18E6" w:rsidP="006E18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3ED1" w14:textId="77777777" w:rsidR="006E18E6" w:rsidRPr="006E18E6" w:rsidRDefault="006E18E6" w:rsidP="006E18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E6"/>
    <w:rsid w:val="006E18E6"/>
    <w:rsid w:val="009A5612"/>
    <w:rsid w:val="00AD3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7F43"/>
  <w15:chartTrackingRefBased/>
  <w15:docId w15:val="{895887C7-500F-42EE-857C-524D42AB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1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18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18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E18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E18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8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8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8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8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E18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18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18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18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18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8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8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8E6"/>
    <w:rPr>
      <w:rFonts w:eastAsiaTheme="majorEastAsia" w:cstheme="majorBidi"/>
      <w:color w:val="272727" w:themeColor="text1" w:themeTint="D8"/>
    </w:rPr>
  </w:style>
  <w:style w:type="paragraph" w:styleId="Titel">
    <w:name w:val="Title"/>
    <w:basedOn w:val="Standaard"/>
    <w:next w:val="Standaard"/>
    <w:link w:val="TitelChar"/>
    <w:uiPriority w:val="10"/>
    <w:qFormat/>
    <w:rsid w:val="006E1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8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8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8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8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8E6"/>
    <w:rPr>
      <w:i/>
      <w:iCs/>
      <w:color w:val="404040" w:themeColor="text1" w:themeTint="BF"/>
    </w:rPr>
  </w:style>
  <w:style w:type="paragraph" w:styleId="Lijstalinea">
    <w:name w:val="List Paragraph"/>
    <w:basedOn w:val="Standaard"/>
    <w:uiPriority w:val="34"/>
    <w:qFormat/>
    <w:rsid w:val="006E18E6"/>
    <w:pPr>
      <w:ind w:left="720"/>
      <w:contextualSpacing/>
    </w:pPr>
  </w:style>
  <w:style w:type="character" w:styleId="Intensievebenadrukking">
    <w:name w:val="Intense Emphasis"/>
    <w:basedOn w:val="Standaardalinea-lettertype"/>
    <w:uiPriority w:val="21"/>
    <w:qFormat/>
    <w:rsid w:val="006E18E6"/>
    <w:rPr>
      <w:i/>
      <w:iCs/>
      <w:color w:val="2F5496" w:themeColor="accent1" w:themeShade="BF"/>
    </w:rPr>
  </w:style>
  <w:style w:type="paragraph" w:styleId="Duidelijkcitaat">
    <w:name w:val="Intense Quote"/>
    <w:basedOn w:val="Standaard"/>
    <w:next w:val="Standaard"/>
    <w:link w:val="DuidelijkcitaatChar"/>
    <w:uiPriority w:val="30"/>
    <w:qFormat/>
    <w:rsid w:val="006E1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18E6"/>
    <w:rPr>
      <w:i/>
      <w:iCs/>
      <w:color w:val="2F5496" w:themeColor="accent1" w:themeShade="BF"/>
    </w:rPr>
  </w:style>
  <w:style w:type="character" w:styleId="Intensieveverwijzing">
    <w:name w:val="Intense Reference"/>
    <w:basedOn w:val="Standaardalinea-lettertype"/>
    <w:uiPriority w:val="32"/>
    <w:qFormat/>
    <w:rsid w:val="006E18E6"/>
    <w:rPr>
      <w:b/>
      <w:bCs/>
      <w:smallCaps/>
      <w:color w:val="2F5496" w:themeColor="accent1" w:themeShade="BF"/>
      <w:spacing w:val="5"/>
    </w:rPr>
  </w:style>
  <w:style w:type="paragraph" w:styleId="Koptekst">
    <w:name w:val="header"/>
    <w:basedOn w:val="Standaard"/>
    <w:link w:val="KoptekstChar"/>
    <w:rsid w:val="006E1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E18E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E1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E18E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E18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18E6"/>
    <w:rPr>
      <w:rFonts w:ascii="Verdana" w:hAnsi="Verdana"/>
      <w:noProof/>
      <w:sz w:val="13"/>
      <w:szCs w:val="24"/>
      <w:lang w:eastAsia="nl-NL"/>
    </w:rPr>
  </w:style>
  <w:style w:type="paragraph" w:customStyle="1" w:styleId="Huisstijl-Gegeven">
    <w:name w:val="Huisstijl-Gegeven"/>
    <w:basedOn w:val="Standaard"/>
    <w:link w:val="Huisstijl-GegevenCharChar"/>
    <w:rsid w:val="006E18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E18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E18E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E18E6"/>
    <w:rPr>
      <w:color w:val="0000FF"/>
      <w:u w:val="single"/>
    </w:rPr>
  </w:style>
  <w:style w:type="paragraph" w:customStyle="1" w:styleId="Huisstijl-Retouradres">
    <w:name w:val="Huisstijl-Retouradres"/>
    <w:basedOn w:val="Standaard"/>
    <w:rsid w:val="006E18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E18E6"/>
    <w:pPr>
      <w:spacing w:after="0"/>
    </w:pPr>
    <w:rPr>
      <w:b/>
    </w:rPr>
  </w:style>
  <w:style w:type="paragraph" w:customStyle="1" w:styleId="Huisstijl-Paginanummering">
    <w:name w:val="Huisstijl-Paginanummering"/>
    <w:basedOn w:val="Standaard"/>
    <w:rsid w:val="006E18E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E18E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E18E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E18E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E18E6"/>
    <w:rPr>
      <w:b/>
      <w:bCs/>
    </w:rPr>
  </w:style>
  <w:style w:type="character" w:styleId="Voetnootmarkering">
    <w:name w:val="footnote reference"/>
    <w:basedOn w:val="Standaardalinea-lettertype"/>
    <w:semiHidden/>
    <w:unhideWhenUsed/>
    <w:rsid w:val="006E1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4/14/mvlnv-en-arcadis-nabuurschap-bij-het-gebruik-van-gewasbeschermingsmiddelen" TargetMode="External"/><Relationship Id="rId2" Type="http://schemas.openxmlformats.org/officeDocument/2006/relationships/hyperlink" Target="https://erkenningen.nl/download/examendocument-gewasbescherming-13/" TargetMode="External"/><Relationship Id="rId1" Type="http://schemas.openxmlformats.org/officeDocument/2006/relationships/hyperlink" Target="https://kwalificatie-mijn.s-bb.nl/certificaat/gewasbescherming-a-uitvoeren/cmVzdWx0YWF0VHlwZT02O2Rvc3NpZXJJZD01NzJmYWM5NS01YmI5LTQ3MGUtODhhNy05NmRlOTRkZmQ2N2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1233</ap:Words>
  <ap:Characters>6785</ap:Characters>
  <ap:DocSecurity>0</ap:DocSecurity>
  <ap:Lines>56</ap:Lines>
  <ap:Paragraphs>16</ap:Paragraphs>
  <ap:ScaleCrop>false</ap:ScaleCrop>
  <ap:LinksUpToDate>false</ap:LinksUpToDate>
  <ap:CharactersWithSpaces>8002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2026-03-16T15:35:00.0000000Z</dcterms:created>
  <dcterms:modified xsi:type="dcterms:W3CDTF">2026-03-16T15:36:00.0000000Z</dcterms:modified>
  <version/>
  <category/>
</coreProperties>
</file>