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6E" w:rsidRDefault="005C1E6E" w14:paraId="3ACC3016" w14:textId="77777777">
      <w:bookmarkStart w:name="_GoBack" w:id="0"/>
      <w:bookmarkEnd w:id="0"/>
    </w:p>
    <w:p w:rsidR="00D7191B" w:rsidRDefault="00073501" w14:paraId="20D95363" w14:textId="3EBB8438">
      <w:r>
        <w:t>Geachte voorzitter,</w:t>
      </w:r>
    </w:p>
    <w:p w:rsidR="00D7191B" w:rsidRDefault="00D7191B" w14:paraId="4C60C9EA" w14:textId="6A59F97C">
      <w:pPr>
        <w:pStyle w:val="WitregelW1bodytekst"/>
      </w:pPr>
    </w:p>
    <w:p w:rsidR="00CB201D" w:rsidP="00073501" w:rsidRDefault="00845B64" w14:paraId="69DACF10" w14:textId="6A31B25C">
      <w:r>
        <w:t xml:space="preserve">In </w:t>
      </w:r>
      <w:r w:rsidR="00CB201D">
        <w:t xml:space="preserve">uw brief van </w:t>
      </w:r>
      <w:r w:rsidR="00DF2133">
        <w:t>1</w:t>
      </w:r>
      <w:r w:rsidR="00CB201D">
        <w:t>2</w:t>
      </w:r>
      <w:r w:rsidR="00DF2133">
        <w:t xml:space="preserve"> maart jl. </w:t>
      </w:r>
      <w:r w:rsidR="005C1E6E">
        <w:t xml:space="preserve">(kenmerk 35386-35/2026D11322) </w:t>
      </w:r>
      <w:r w:rsidR="00CB201D">
        <w:t>vraagt</w:t>
      </w:r>
      <w:r w:rsidR="009C6703">
        <w:t xml:space="preserve"> u</w:t>
      </w:r>
      <w:r w:rsidR="00CB201D">
        <w:t xml:space="preserve"> </w:t>
      </w:r>
      <w:r>
        <w:t xml:space="preserve">naar </w:t>
      </w:r>
      <w:r w:rsidR="00CB201D">
        <w:t>de planning van de brief nadeelcompensatie en de relatie hiervan tot het Besluit veilige jaarwisseling.</w:t>
      </w:r>
    </w:p>
    <w:p w:rsidR="00CB201D" w:rsidP="00073501" w:rsidRDefault="00845B64" w14:paraId="038995A9" w14:textId="4ED7CA9B">
      <w:r>
        <w:t xml:space="preserve">Met deze brief </w:t>
      </w:r>
      <w:r w:rsidR="00CB201D">
        <w:t xml:space="preserve">geef ik u inzicht in alle stappen die nog doorlopen moeten worden </w:t>
      </w:r>
      <w:r w:rsidR="005C1E6E">
        <w:t>tot</w:t>
      </w:r>
      <w:r w:rsidR="0079392F">
        <w:t xml:space="preserve"> </w:t>
      </w:r>
      <w:r w:rsidR="006C3BE9">
        <w:t xml:space="preserve">beoogde </w:t>
      </w:r>
      <w:r w:rsidR="0079392F">
        <w:t>inwerkingtreding per</w:t>
      </w:r>
      <w:r w:rsidR="005C1E6E">
        <w:t xml:space="preserve"> 1 augustus 2026</w:t>
      </w:r>
      <w:r w:rsidR="00F132BB">
        <w:t xml:space="preserve">; </w:t>
      </w:r>
      <w:r w:rsidR="00A332A2">
        <w:t>dit geeft</w:t>
      </w:r>
      <w:r w:rsidR="00F132BB">
        <w:t xml:space="preserve"> daarmee inzicht in </w:t>
      </w:r>
      <w:r w:rsidR="005C1E6E">
        <w:t>het kritieke tijdpad</w:t>
      </w:r>
      <w:r w:rsidR="006F5454">
        <w:t xml:space="preserve"> om het vuurwerkverbod</w:t>
      </w:r>
      <w:r w:rsidR="00F132BB">
        <w:t>,</w:t>
      </w:r>
      <w:r w:rsidR="006F5454">
        <w:t xml:space="preserve"> inclusief de ontheffingsmogelijk</w:t>
      </w:r>
      <w:r w:rsidR="00B30B15">
        <w:t>heid</w:t>
      </w:r>
      <w:r w:rsidR="00F132BB">
        <w:t>,</w:t>
      </w:r>
      <w:r w:rsidR="006F5454">
        <w:t xml:space="preserve"> komende jaarwisseling van kracht te kunnen laten zijn</w:t>
      </w:r>
      <w:r w:rsidR="00B30B15">
        <w:t>. Daarbij</w:t>
      </w:r>
      <w:r w:rsidR="005C1E6E">
        <w:t xml:space="preserve"> ga ik specifiek in op de onderlinge relatie tussen de verschillende voorwaarden en de Wet veilige jaarwisseling.</w:t>
      </w:r>
    </w:p>
    <w:p w:rsidR="00CB201D" w:rsidP="00073501" w:rsidRDefault="00CB201D" w14:paraId="241FAE35" w14:textId="77777777"/>
    <w:p w:rsidR="00073501" w:rsidP="00073501" w:rsidRDefault="00AA47FD" w14:paraId="5666F61E" w14:textId="01CB5568">
      <w:r>
        <w:t xml:space="preserve">Op 19 januari jl. is de Wet veilige jaarwisseling </w:t>
      </w:r>
      <w:r w:rsidR="00A329FE">
        <w:t xml:space="preserve">(hierna: de Wet) </w:t>
      </w:r>
      <w:r>
        <w:t xml:space="preserve">gepubliceerd in </w:t>
      </w:r>
      <w:r w:rsidR="006F5454">
        <w:t>het Staatsblad</w:t>
      </w:r>
      <w:r>
        <w:t xml:space="preserve">. </w:t>
      </w:r>
      <w:r w:rsidR="00A329FE">
        <w:t xml:space="preserve">Aan het inwerkingtredingsbesluit van de Wet is </w:t>
      </w:r>
      <w:r w:rsidR="00845B64">
        <w:t xml:space="preserve">door uw Kamer </w:t>
      </w:r>
      <w:r w:rsidR="00A329FE">
        <w:t>de voorwaarde verbonden dat d</w:t>
      </w:r>
      <w:r>
        <w:t>e</w:t>
      </w:r>
      <w:r w:rsidR="000761D0">
        <w:t>ze</w:t>
      </w:r>
      <w:r>
        <w:t xml:space="preserve"> </w:t>
      </w:r>
      <w:r w:rsidR="00834AB5">
        <w:t>pas</w:t>
      </w:r>
      <w:r>
        <w:t xml:space="preserve"> in</w:t>
      </w:r>
      <w:r w:rsidR="009C6703">
        <w:t xml:space="preserve"> </w:t>
      </w:r>
      <w:r>
        <w:t>werking</w:t>
      </w:r>
      <w:r w:rsidR="00845B64">
        <w:t xml:space="preserve"> kan </w:t>
      </w:r>
      <w:r>
        <w:t xml:space="preserve">treden </w:t>
      </w:r>
      <w:r w:rsidR="00834AB5">
        <w:t>als</w:t>
      </w:r>
      <w:r>
        <w:t xml:space="preserve">, naar tevredenheid van de Eerste en Tweede Kamer, voldaan wordt aan drie voorwaarden te weten: </w:t>
      </w:r>
      <w:r w:rsidR="006C3BE9">
        <w:t xml:space="preserve">(1) </w:t>
      </w:r>
      <w:r>
        <w:t xml:space="preserve">invulling </w:t>
      </w:r>
      <w:r w:rsidR="000761D0">
        <w:t xml:space="preserve">van de </w:t>
      </w:r>
      <w:r>
        <w:t>ontheffingsmogelijkheid voor burgemeesters</w:t>
      </w:r>
      <w:r w:rsidR="00A329FE">
        <w:t xml:space="preserve"> bij AMvB</w:t>
      </w:r>
      <w:r>
        <w:t xml:space="preserve">, </w:t>
      </w:r>
      <w:r w:rsidR="006C3BE9">
        <w:t xml:space="preserve">(2) </w:t>
      </w:r>
      <w:r>
        <w:t xml:space="preserve">een </w:t>
      </w:r>
      <w:r w:rsidR="00A329FE">
        <w:t>nadeel</w:t>
      </w:r>
      <w:r>
        <w:t xml:space="preserve">compensatieregeling voor de vuurwerkbranche en </w:t>
      </w:r>
      <w:r w:rsidR="00FF0435">
        <w:t xml:space="preserve">(3) </w:t>
      </w:r>
      <w:r>
        <w:t>een handhavingsplan</w:t>
      </w:r>
      <w:r w:rsidR="00FF0435">
        <w:t>.</w:t>
      </w:r>
      <w:r w:rsidRPr="00215791" w:rsidR="008D6621">
        <w:t xml:space="preserve"> Het handhavingsplan</w:t>
      </w:r>
      <w:r w:rsidR="00215791">
        <w:t xml:space="preserve"> </w:t>
      </w:r>
      <w:r w:rsidRPr="00215791" w:rsidR="008D6621">
        <w:t>is inmiddels aangeboden aan de Kamers.</w:t>
      </w:r>
      <w:r w:rsidR="00215791">
        <w:rPr>
          <w:rStyle w:val="FootnoteReference"/>
        </w:rPr>
        <w:footnoteReference w:id="1"/>
      </w:r>
    </w:p>
    <w:p w:rsidR="00AA47FD" w:rsidP="00073501" w:rsidRDefault="00AA47FD" w14:paraId="5BB69C5E" w14:textId="77777777"/>
    <w:p w:rsidR="00AA47FD" w:rsidP="00073501" w:rsidRDefault="00AA47FD" w14:paraId="2FDBD2B7" w14:textId="14455922">
      <w:r>
        <w:t xml:space="preserve">De drie voorwaarden kennen een eigen proces </w:t>
      </w:r>
      <w:r w:rsidR="00B75083">
        <w:t>en bijbehorend tijdpad</w:t>
      </w:r>
      <w:r w:rsidR="00F132BB">
        <w:t>. D</w:t>
      </w:r>
      <w:r w:rsidR="00A329FE">
        <w:t>e</w:t>
      </w:r>
      <w:r w:rsidR="00B75083">
        <w:t xml:space="preserve"> invulling van </w:t>
      </w:r>
      <w:r w:rsidR="00A329FE">
        <w:t xml:space="preserve">deze </w:t>
      </w:r>
      <w:r w:rsidR="00B75083">
        <w:t xml:space="preserve">drie voorwaarden </w:t>
      </w:r>
      <w:r w:rsidR="00F132BB">
        <w:t xml:space="preserve">dient </w:t>
      </w:r>
      <w:r w:rsidR="00A329FE">
        <w:t xml:space="preserve">op hoofdlijnen </w:t>
      </w:r>
      <w:r w:rsidR="00B75083">
        <w:t xml:space="preserve">bekend </w:t>
      </w:r>
      <w:r w:rsidR="00F132BB">
        <w:t>te zijn</w:t>
      </w:r>
      <w:r w:rsidR="00B75083">
        <w:t xml:space="preserve"> op het moment dat de voorhang van het inwerkingtredingsbesluit Wet veilige jaarwisseling wordt gestart. In de bijlage is een gedetailleerd tijdpad opgenomen</w:t>
      </w:r>
      <w:r w:rsidR="000761D0">
        <w:t xml:space="preserve"> van </w:t>
      </w:r>
      <w:r w:rsidR="006B2DA7">
        <w:t>twee</w:t>
      </w:r>
      <w:r w:rsidR="00A329FE">
        <w:t xml:space="preserve"> van deze</w:t>
      </w:r>
      <w:r w:rsidR="000761D0">
        <w:t xml:space="preserve"> voorwaarden</w:t>
      </w:r>
      <w:r w:rsidR="00215791">
        <w:t xml:space="preserve"> </w:t>
      </w:r>
      <w:r w:rsidR="00F132BB">
        <w:t xml:space="preserve">(de ontheffingsmogelijkheid bij AMvB en de nadeelcompensatieregeling) </w:t>
      </w:r>
      <w:r w:rsidR="000761D0">
        <w:t xml:space="preserve">en </w:t>
      </w:r>
      <w:r w:rsidR="00B823F0">
        <w:t xml:space="preserve">het Inwerkingtredingsbesluit van </w:t>
      </w:r>
      <w:r w:rsidR="000761D0">
        <w:t xml:space="preserve">de Wet </w:t>
      </w:r>
      <w:r w:rsidR="00A329FE">
        <w:t>zelf</w:t>
      </w:r>
      <w:r w:rsidR="00F132BB">
        <w:t>. Het uitgangspunt</w:t>
      </w:r>
      <w:r w:rsidR="000761D0">
        <w:t xml:space="preserve"> is </w:t>
      </w:r>
      <w:r w:rsidR="006C3BE9">
        <w:t xml:space="preserve">om </w:t>
      </w:r>
      <w:r w:rsidR="000761D0">
        <w:t>de Wet op 1 augustus 2026 in</w:t>
      </w:r>
      <w:r w:rsidR="00B30B15">
        <w:t>werking te laten treden</w:t>
      </w:r>
      <w:r w:rsidR="000761D0">
        <w:t xml:space="preserve">. </w:t>
      </w:r>
      <w:r w:rsidR="00B823F0">
        <w:t>Dit om uitvoerende partijen</w:t>
      </w:r>
      <w:r w:rsidR="00030DA4">
        <w:t xml:space="preserve"> waaronder gemeenten,</w:t>
      </w:r>
      <w:r w:rsidR="00B823F0">
        <w:t xml:space="preserve"> voldoende tijd te geven om </w:t>
      </w:r>
      <w:r w:rsidR="00030DA4">
        <w:t>zich voor te bereiden. Dit is ook benadrukt in o.a. de uitvoeringstoets van de VNG</w:t>
      </w:r>
      <w:r w:rsidR="00B823F0">
        <w:t xml:space="preserve">. </w:t>
      </w:r>
      <w:r w:rsidR="00834AB5">
        <w:t xml:space="preserve">Om dit </w:t>
      </w:r>
      <w:r w:rsidR="00A329FE">
        <w:t xml:space="preserve">tijdpad </w:t>
      </w:r>
      <w:r w:rsidR="00834AB5">
        <w:t xml:space="preserve">te behalen is het nodig </w:t>
      </w:r>
      <w:r w:rsidR="000761D0">
        <w:t xml:space="preserve">om </w:t>
      </w:r>
      <w:r w:rsidR="00A4237C">
        <w:t>in mei</w:t>
      </w:r>
      <w:r w:rsidR="000761D0">
        <w:t xml:space="preserve"> de voorhang van het inwerkingtredingsbesluit te starten.</w:t>
      </w:r>
      <w:r w:rsidR="00A329FE">
        <w:t xml:space="preserve"> Hiermee wordt ook </w:t>
      </w:r>
      <w:r w:rsidR="006F6B4D">
        <w:t>tegemoetgekomen</w:t>
      </w:r>
      <w:r w:rsidR="00A329FE">
        <w:t xml:space="preserve"> aan de </w:t>
      </w:r>
      <w:r w:rsidR="00B823F0">
        <w:lastRenderedPageBreak/>
        <w:t xml:space="preserve">uitdrukkelijke </w:t>
      </w:r>
      <w:r w:rsidR="00A329FE">
        <w:t xml:space="preserve">wens van </w:t>
      </w:r>
      <w:r w:rsidR="00B823F0">
        <w:t xml:space="preserve">een meerderheid van </w:t>
      </w:r>
      <w:r w:rsidR="00A329FE">
        <w:t xml:space="preserve">de Tweede Kamer om het vuurwerkverbod </w:t>
      </w:r>
      <w:r w:rsidR="00DF2133">
        <w:t xml:space="preserve">ruim </w:t>
      </w:r>
      <w:r w:rsidR="00B823F0">
        <w:t xml:space="preserve">voor de </w:t>
      </w:r>
      <w:r w:rsidR="00A329FE">
        <w:t>komende jaarwisseling in te laten gaan.</w:t>
      </w:r>
      <w:r w:rsidR="00DF2133">
        <w:rPr>
          <w:rStyle w:val="FootnoteReference"/>
        </w:rPr>
        <w:footnoteReference w:id="2"/>
      </w:r>
    </w:p>
    <w:p w:rsidR="00B75083" w:rsidP="00073501" w:rsidRDefault="00B75083" w14:paraId="48C04C00" w14:textId="77777777"/>
    <w:p w:rsidR="000761D0" w:rsidP="00073501" w:rsidRDefault="000761D0" w14:paraId="57F46EA8" w14:textId="4D413B1B">
      <w:r>
        <w:t xml:space="preserve">Het kritieke punt in de planning is momenteel de duur </w:t>
      </w:r>
      <w:r w:rsidR="006B2DA7">
        <w:t xml:space="preserve">en de onzekerheid van het moment van afronding </w:t>
      </w:r>
      <w:r>
        <w:t xml:space="preserve">van de voorhang </w:t>
      </w:r>
      <w:r w:rsidR="006B2DA7">
        <w:t xml:space="preserve">van het </w:t>
      </w:r>
      <w:r w:rsidR="00B30B15">
        <w:t xml:space="preserve">Besluit veilige jaarwisseling </w:t>
      </w:r>
      <w:r w:rsidR="00A329FE">
        <w:t>waarmee de ontheffingsmogelijkheid voor burgemeesters wordt uitgewerkt</w:t>
      </w:r>
      <w:r w:rsidR="00B823F0">
        <w:t>. Dit is bepalend voor</w:t>
      </w:r>
      <w:r w:rsidR="00DF2133">
        <w:t xml:space="preserve"> </w:t>
      </w:r>
      <w:r w:rsidR="00B823F0">
        <w:t>h</w:t>
      </w:r>
      <w:r>
        <w:t xml:space="preserve">et moment waarop de volgende stap in het </w:t>
      </w:r>
      <w:r w:rsidR="00A329FE">
        <w:t>wetgevings</w:t>
      </w:r>
      <w:r>
        <w:t>proces gezet kan worden</w:t>
      </w:r>
      <w:r w:rsidR="00A329FE">
        <w:t>, de advisering door de Afdeling advisering van de Raad van State</w:t>
      </w:r>
      <w:r>
        <w:t>.</w:t>
      </w:r>
      <w:r w:rsidR="00DB509C">
        <w:t xml:space="preserve"> Het heeft, zoals mijn voorganger eerder heeft aangegeven, sterk de voorkeur om de voorhang van dit </w:t>
      </w:r>
      <w:r w:rsidR="00B30B15">
        <w:t xml:space="preserve">Besluit veilige jaarwisseling </w:t>
      </w:r>
      <w:r w:rsidR="008D2666">
        <w:t xml:space="preserve">in beide Kamers </w:t>
      </w:r>
      <w:r w:rsidR="00DB509C">
        <w:t>uiterlijk 31 maart 2026</w:t>
      </w:r>
      <w:r w:rsidR="00DC79BA">
        <w:t xml:space="preserve"> af te ronden</w:t>
      </w:r>
      <w:r w:rsidR="006F5454">
        <w:t xml:space="preserve">, zodat de Raad van State voldoende tijd heeft om tot een zorgvuldig advies te komen. </w:t>
      </w:r>
      <w:r w:rsidR="007873FD">
        <w:t>De</w:t>
      </w:r>
      <w:r w:rsidR="006F6B4D">
        <w:t xml:space="preserve"> </w:t>
      </w:r>
      <w:r w:rsidR="007873FD">
        <w:t>Kamer</w:t>
      </w:r>
      <w:r w:rsidR="00DB509C">
        <w:t>commissie</w:t>
      </w:r>
      <w:r w:rsidR="007873FD">
        <w:t xml:space="preserve"> Infrastructuur en Waterstaat</w:t>
      </w:r>
      <w:r w:rsidR="00DB509C">
        <w:t xml:space="preserve"> </w:t>
      </w:r>
      <w:r w:rsidR="00A332A2">
        <w:t xml:space="preserve">van de Tweede Kamer </w:t>
      </w:r>
      <w:r w:rsidR="006F5454">
        <w:t xml:space="preserve">heeft </w:t>
      </w:r>
      <w:r w:rsidR="00DB509C">
        <w:t xml:space="preserve">de voorkeur </w:t>
      </w:r>
      <w:r w:rsidR="006F5454">
        <w:t>aan</w:t>
      </w:r>
      <w:r w:rsidR="00DB509C">
        <w:t xml:space="preserve">gegeven dit te doen </w:t>
      </w:r>
      <w:r w:rsidR="006F6B4D">
        <w:t>via</w:t>
      </w:r>
      <w:r w:rsidR="00DB509C">
        <w:t xml:space="preserve"> een Tweeminutendebat.</w:t>
      </w:r>
    </w:p>
    <w:p w:rsidR="006F5454" w:rsidP="00073501" w:rsidRDefault="006F5454" w14:paraId="3D9FE686" w14:textId="77777777"/>
    <w:p w:rsidR="00DC79BA" w:rsidP="00DB509C" w:rsidRDefault="00DB509C" w14:paraId="34296D8D" w14:textId="2C7D4675">
      <w:r>
        <w:t>Daarnaast wordt momenteel hard gewerkt om de nadeelcompensatie</w:t>
      </w:r>
      <w:r w:rsidR="00B30B15">
        <w:t>regeling vorm te geven.</w:t>
      </w:r>
      <w:r>
        <w:t xml:space="preserve"> </w:t>
      </w:r>
      <w:r w:rsidR="00980B4E">
        <w:t xml:space="preserve">Mijn voorganger heeft in dat kader al verscheidene gesprekken gevoerd </w:t>
      </w:r>
      <w:r w:rsidR="00A641DE">
        <w:t xml:space="preserve">zowel intern als met </w:t>
      </w:r>
      <w:r w:rsidR="00980B4E">
        <w:t xml:space="preserve">de vuurwerkbranche. </w:t>
      </w:r>
      <w:r w:rsidR="00CB7897">
        <w:t xml:space="preserve">Deze gesprekken worden zo spoedig mogelijk afgerond. </w:t>
      </w:r>
      <w:r w:rsidR="00050805">
        <w:t xml:space="preserve">De inhoud van de compensatieregeling staat daarbij los van de discussie over de inhoud van het Besluit veilige jaarwisseling. </w:t>
      </w:r>
      <w:bookmarkStart w:name="_Hlk224296249" w:id="1"/>
      <w:r w:rsidRPr="000D0024" w:rsidR="000D0024">
        <w:t>Onevenredige schade die de vuurwerkbranche leidt naar aanleiding van de nieuwe regelgeving, waarbij wordt voldaan aan de voorwaarden voor nadeelcompensatie, zal voor vergoeding in aanmerking komen.</w:t>
      </w:r>
    </w:p>
    <w:p w:rsidR="00DC79BA" w:rsidP="00DB509C" w:rsidRDefault="00DC79BA" w14:paraId="08998516" w14:textId="77777777"/>
    <w:bookmarkEnd w:id="1"/>
    <w:p w:rsidR="00DB509C" w:rsidP="00DB509C" w:rsidRDefault="00DB509C" w14:paraId="5796523F" w14:textId="454C07B3">
      <w:r>
        <w:t xml:space="preserve">Het streven is om in april 2026 een brief over de </w:t>
      </w:r>
      <w:r w:rsidR="00B30B15">
        <w:t xml:space="preserve">uitgangspunten van de </w:t>
      </w:r>
      <w:r w:rsidR="00A329FE">
        <w:t>nadeel</w:t>
      </w:r>
      <w:r>
        <w:t>compensatie aan te bieden aan beide Kamers</w:t>
      </w:r>
      <w:r w:rsidR="00050805">
        <w:t>,</w:t>
      </w:r>
      <w:r>
        <w:t xml:space="preserve"> waarmee </w:t>
      </w:r>
      <w:r w:rsidR="00050805">
        <w:t xml:space="preserve">aan de tweede voorwaarde voor inwerkingtreding van de Wet veilig jaarwisseling is voldaan. </w:t>
      </w:r>
      <w:r w:rsidR="00A332A2">
        <w:t xml:space="preserve">Daarmee ligt alles ten aanzien van de drie gestelde voorwaarden, ter beoordeling bij beide Kamers. </w:t>
      </w:r>
      <w:r w:rsidR="00167688">
        <w:t xml:space="preserve">Het </w:t>
      </w:r>
      <w:r w:rsidR="00B823F0">
        <w:t xml:space="preserve">Inwerkingtredingsbesluit </w:t>
      </w:r>
      <w:r w:rsidR="00167688">
        <w:t xml:space="preserve">zal hierna zo snel mogelijk </w:t>
      </w:r>
      <w:r w:rsidR="00B823F0">
        <w:t>aan de Kamers worden aangeboden voor de voorhang</w:t>
      </w:r>
      <w:r w:rsidR="00E66639">
        <w:t>,</w:t>
      </w:r>
      <w:r w:rsidR="00050805">
        <w:t xml:space="preserve"> zodat de Wet tijdig in werking kan treden om te zorgen voor een effectief vuurwerkverbod komende jaarwisseling</w:t>
      </w:r>
      <w:r w:rsidR="00215791">
        <w:t>.</w:t>
      </w:r>
    </w:p>
    <w:p w:rsidR="000D0024" w:rsidRDefault="00A332A2" w14:paraId="54B0F157" w14:textId="17237569">
      <w:pPr>
        <w:pStyle w:val="Slotzin"/>
      </w:pPr>
      <w:r>
        <w:t>H</w:t>
      </w:r>
      <w:r w:rsidR="00980B4E">
        <w:t>et Kabinet zal op basis van bovenstaande alles in het werk stellen om binnen het afgesproken tijdpad de Wet veilige jaarwisseling af te ronden.</w:t>
      </w:r>
      <w:r w:rsidRPr="000D0024" w:rsidR="000D0024">
        <w:t xml:space="preserve"> </w:t>
      </w:r>
    </w:p>
    <w:p w:rsidR="000D0024" w:rsidRDefault="000D0024" w14:paraId="39E3C4AA" w14:textId="77777777">
      <w:pPr>
        <w:pStyle w:val="Slotzin"/>
      </w:pPr>
    </w:p>
    <w:p w:rsidR="00D7191B" w:rsidRDefault="0029668C" w14:paraId="382F04C1" w14:textId="23276894">
      <w:pPr>
        <w:pStyle w:val="Slotzin"/>
      </w:pPr>
      <w:r>
        <w:t>Hoogachtend,</w:t>
      </w:r>
    </w:p>
    <w:p w:rsidR="00D7191B" w:rsidRDefault="0029668C" w14:paraId="7ED6256B" w14:textId="119B47A6">
      <w:pPr>
        <w:pStyle w:val="OndertekeningArea1"/>
      </w:pPr>
      <w:r>
        <w:t>DE STAATSSECRETARIS VAN INFRASTRUCTUUR EN WATERSTAAT</w:t>
      </w:r>
      <w:r w:rsidR="001C4A7E">
        <w:t>,</w:t>
      </w:r>
      <w:r>
        <w:t xml:space="preserve"> </w:t>
      </w:r>
    </w:p>
    <w:p w:rsidR="00D7191B" w:rsidRDefault="00D7191B" w14:paraId="78667ABF" w14:textId="77777777"/>
    <w:p w:rsidR="00D7191B" w:rsidRDefault="00D7191B" w14:paraId="0E7FDB6A" w14:textId="77777777"/>
    <w:p w:rsidR="00D7191B" w:rsidRDefault="00D7191B" w14:paraId="5A1125E2" w14:textId="77777777"/>
    <w:p w:rsidR="00D7191B" w:rsidRDefault="00D7191B" w14:paraId="5EE727AA" w14:textId="77777777"/>
    <w:p w:rsidR="00D7191B" w:rsidRDefault="0029668C" w14:paraId="64E9996B" w14:textId="77777777">
      <w:r>
        <w:t>Annet Bertram</w:t>
      </w:r>
    </w:p>
    <w:p w:rsidR="000761D0" w:rsidRDefault="000761D0" w14:paraId="03136922" w14:textId="77777777"/>
    <w:p w:rsidR="00ED1CC4" w:rsidRDefault="00ED1CC4" w14:paraId="27CA663F" w14:textId="417F0388">
      <w:pPr>
        <w:spacing w:line="240" w:lineRule="auto"/>
      </w:pPr>
      <w:r>
        <w:br w:type="page"/>
      </w:r>
    </w:p>
    <w:p w:rsidRPr="008B42E0" w:rsidR="008B42E0" w:rsidP="008B42E0" w:rsidRDefault="008B42E0" w14:paraId="7F99DA26" w14:textId="2F3223BC">
      <w:pPr>
        <w:rPr>
          <w:b/>
          <w:bCs/>
        </w:rPr>
      </w:pPr>
      <w:r w:rsidRPr="008B42E0">
        <w:rPr>
          <w:b/>
          <w:bCs/>
        </w:rPr>
        <w:t xml:space="preserve">Bijlage </w:t>
      </w:r>
      <w:r w:rsidR="00B138AF">
        <w:rPr>
          <w:b/>
          <w:bCs/>
        </w:rPr>
        <w:t>-</w:t>
      </w:r>
      <w:r w:rsidRPr="008B42E0">
        <w:rPr>
          <w:b/>
          <w:bCs/>
        </w:rPr>
        <w:t xml:space="preserve"> </w:t>
      </w:r>
      <w:r>
        <w:rPr>
          <w:b/>
          <w:bCs/>
        </w:rPr>
        <w:t>P</w:t>
      </w:r>
      <w:r w:rsidRPr="008B42E0">
        <w:rPr>
          <w:b/>
          <w:bCs/>
        </w:rPr>
        <w:t xml:space="preserve">lanning Wet veilige jaarwisseling </w:t>
      </w:r>
    </w:p>
    <w:p w:rsidR="000761D0" w:rsidRDefault="000761D0" w14:paraId="40B75218" w14:textId="77777777"/>
    <w:p w:rsidR="00ED1CC4" w:rsidRDefault="008B42E0" w14:paraId="56E7DA73" w14:textId="7AB55AA8">
      <w:r>
        <w:t xml:space="preserve">In onderstaande tabel is een detailplanning opgenomen van </w:t>
      </w:r>
      <w:r w:rsidR="00845B64">
        <w:t>het Inwerkin</w:t>
      </w:r>
      <w:r w:rsidR="00DF2133">
        <w:t>g</w:t>
      </w:r>
      <w:r w:rsidR="00845B64">
        <w:t xml:space="preserve">tredingsbesluit van </w:t>
      </w:r>
      <w:r>
        <w:t>de Wet veilige jaarwisseling</w:t>
      </w:r>
      <w:r w:rsidR="00DF2133">
        <w:t>, het Ontwerpbesluit veilige jaarwisseling</w:t>
      </w:r>
      <w:r>
        <w:t xml:space="preserve"> </w:t>
      </w:r>
      <w:r w:rsidR="00DF2133">
        <w:t>(</w:t>
      </w:r>
      <w:r w:rsidR="00845B64">
        <w:t xml:space="preserve">de </w:t>
      </w:r>
      <w:r>
        <w:t xml:space="preserve">invulling </w:t>
      </w:r>
      <w:r w:rsidR="00845B64">
        <w:t xml:space="preserve">van de </w:t>
      </w:r>
      <w:r>
        <w:t>ontheffingsmogelijkheid</w:t>
      </w:r>
      <w:r w:rsidR="00DF2133">
        <w:t xml:space="preserve">) </w:t>
      </w:r>
      <w:r>
        <w:t xml:space="preserve">en </w:t>
      </w:r>
      <w:r w:rsidR="00845B64">
        <w:t>de nadeel</w:t>
      </w:r>
      <w:r>
        <w:t>compensatieregeling. Het handhavingsplan</w:t>
      </w:r>
      <w:r w:rsidR="00845B64">
        <w:t xml:space="preserve">, </w:t>
      </w:r>
      <w:r>
        <w:t>d</w:t>
      </w:r>
      <w:r w:rsidR="00DF2133">
        <w:t>at</w:t>
      </w:r>
      <w:r>
        <w:t xml:space="preserve"> onder regie van </w:t>
      </w:r>
      <w:r w:rsidR="00845B64">
        <w:t xml:space="preserve">het </w:t>
      </w:r>
      <w:r>
        <w:t xml:space="preserve">Ministerie </w:t>
      </w:r>
      <w:r w:rsidR="00845B64">
        <w:t xml:space="preserve">van </w:t>
      </w:r>
      <w:r>
        <w:t>JenV wordt ingevuld, is inmiddels aan de Kamers aangeboden.</w:t>
      </w:r>
    </w:p>
    <w:p w:rsidR="00ED1CC4" w:rsidRDefault="00ED1CC4" w14:paraId="7AE721A9" w14:textId="77777777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43"/>
        <w:gridCol w:w="2414"/>
        <w:gridCol w:w="2409"/>
        <w:gridCol w:w="2268"/>
      </w:tblGrid>
      <w:tr w:rsidRPr="009B0D65" w:rsidR="00ED1CC4" w:rsidTr="00030DA4" w14:paraId="2C148294" w14:textId="77777777">
        <w:tc>
          <w:tcPr>
            <w:tcW w:w="2543" w:type="dxa"/>
            <w:shd w:val="clear" w:color="auto" w:fill="83CAEB" w:themeFill="accent1" w:themeFillTint="66"/>
          </w:tcPr>
          <w:p w:rsidRPr="009B0D65" w:rsidR="00ED1CC4" w:rsidP="00106C7D" w:rsidRDefault="00ED1CC4" w14:paraId="0C95EE2E" w14:textId="77777777">
            <w:pPr>
              <w:rPr>
                <w:b/>
                <w:bCs/>
              </w:rPr>
            </w:pPr>
            <w:r w:rsidRPr="009B0D65">
              <w:rPr>
                <w:b/>
                <w:bCs/>
              </w:rPr>
              <w:t>Actie</w:t>
            </w:r>
          </w:p>
        </w:tc>
        <w:tc>
          <w:tcPr>
            <w:tcW w:w="2414" w:type="dxa"/>
            <w:shd w:val="clear" w:color="auto" w:fill="83CAEB" w:themeFill="accent1" w:themeFillTint="66"/>
          </w:tcPr>
          <w:p w:rsidRPr="009B0D65" w:rsidR="00ED1CC4" w:rsidP="00106C7D" w:rsidRDefault="00ED1CC4" w14:paraId="3CF74FCC" w14:textId="0CD981D6">
            <w:pPr>
              <w:rPr>
                <w:b/>
                <w:bCs/>
              </w:rPr>
            </w:pPr>
            <w:r>
              <w:rPr>
                <w:b/>
                <w:bCs/>
              </w:rPr>
              <w:t>AMvB ontheffingsmogelijk</w:t>
            </w:r>
            <w:r w:rsidR="00030DA4">
              <w:rPr>
                <w:b/>
                <w:bCs/>
              </w:rPr>
              <w:t>-</w:t>
            </w:r>
            <w:r>
              <w:rPr>
                <w:b/>
                <w:bCs/>
              </w:rPr>
              <w:t>heid</w:t>
            </w:r>
          </w:p>
        </w:tc>
        <w:tc>
          <w:tcPr>
            <w:tcW w:w="2409" w:type="dxa"/>
            <w:shd w:val="clear" w:color="auto" w:fill="83CAEB" w:themeFill="accent1" w:themeFillTint="66"/>
          </w:tcPr>
          <w:p w:rsidRPr="009B0D65" w:rsidR="00ED1CC4" w:rsidP="00106C7D" w:rsidRDefault="00ED1CC4" w14:paraId="7C69ED8A" w14:textId="7A09BE49">
            <w:pPr>
              <w:rPr>
                <w:b/>
                <w:bCs/>
              </w:rPr>
            </w:pPr>
            <w:r>
              <w:rPr>
                <w:b/>
                <w:bCs/>
              </w:rPr>
              <w:t>Compensatieregeling</w:t>
            </w:r>
          </w:p>
        </w:tc>
        <w:tc>
          <w:tcPr>
            <w:tcW w:w="2268" w:type="dxa"/>
            <w:shd w:val="clear" w:color="auto" w:fill="83CAEB" w:themeFill="accent1" w:themeFillTint="66"/>
          </w:tcPr>
          <w:p w:rsidRPr="009B0D65" w:rsidR="00ED1CC4" w:rsidP="00106C7D" w:rsidRDefault="00845B64" w14:paraId="06CAC5D7" w14:textId="3F99C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Inwerkingtredingsbesluit </w:t>
            </w:r>
            <w:r w:rsidR="00ED1CC4">
              <w:rPr>
                <w:b/>
                <w:bCs/>
              </w:rPr>
              <w:t>Wet veilige jaarwisseling</w:t>
            </w:r>
          </w:p>
        </w:tc>
      </w:tr>
      <w:tr w:rsidR="00ED1CC4" w:rsidTr="00030DA4" w14:paraId="61AC2243" w14:textId="77777777">
        <w:tc>
          <w:tcPr>
            <w:tcW w:w="2543" w:type="dxa"/>
          </w:tcPr>
          <w:p w:rsidR="00ED1CC4" w:rsidP="00106C7D" w:rsidRDefault="00ED1CC4" w14:paraId="61CE2DB4" w14:textId="7E63474A">
            <w:r>
              <w:t>Beantwoording tweede ronde E</w:t>
            </w:r>
            <w:r w:rsidR="00845B64">
              <w:t xml:space="preserve">erste </w:t>
            </w:r>
            <w:r>
              <w:t>K</w:t>
            </w:r>
            <w:r w:rsidR="00845B64">
              <w:t>amer</w:t>
            </w:r>
            <w:r>
              <w:t>vragen</w:t>
            </w:r>
          </w:p>
        </w:tc>
        <w:tc>
          <w:tcPr>
            <w:tcW w:w="2414" w:type="dxa"/>
          </w:tcPr>
          <w:p w:rsidRPr="00B138AF" w:rsidR="00ED1CC4" w:rsidP="00106C7D" w:rsidRDefault="00ED1CC4" w14:paraId="512258E5" w14:textId="63A42CA4">
            <w:r w:rsidRPr="00B138AF">
              <w:t>17 – 31 maart 2026</w:t>
            </w:r>
          </w:p>
        </w:tc>
        <w:tc>
          <w:tcPr>
            <w:tcW w:w="2409" w:type="dxa"/>
          </w:tcPr>
          <w:p w:rsidRPr="00B138AF" w:rsidR="00ED1CC4" w:rsidP="00106C7D" w:rsidRDefault="00ED1CC4" w14:paraId="77F0D9FB" w14:textId="2E55E64E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106C7D" w:rsidRDefault="00ED1CC4" w14:paraId="6DE768CB" w14:textId="4459795A">
            <w:r w:rsidRPr="00B138AF">
              <w:t>n.v.t.</w:t>
            </w:r>
          </w:p>
        </w:tc>
      </w:tr>
      <w:tr w:rsidR="00ED1CC4" w:rsidTr="00030DA4" w14:paraId="15FC124C" w14:textId="77777777">
        <w:tc>
          <w:tcPr>
            <w:tcW w:w="2543" w:type="dxa"/>
          </w:tcPr>
          <w:p w:rsidR="00ED1CC4" w:rsidP="00106C7D" w:rsidRDefault="00ED1CC4" w14:paraId="7CB660BC" w14:textId="132D2046">
            <w:r>
              <w:t>Informeren</w:t>
            </w:r>
            <w:r w:rsidR="00845B64">
              <w:t xml:space="preserve"> Eerste</w:t>
            </w:r>
            <w:r>
              <w:t xml:space="preserve"> en </w:t>
            </w:r>
            <w:r w:rsidR="00845B64">
              <w:t xml:space="preserve">Tweede </w:t>
            </w:r>
            <w:r>
              <w:t>Kamer</w:t>
            </w:r>
            <w:r w:rsidR="008B42E0">
              <w:t xml:space="preserve"> (brief uitgangspunten compensatieregeling en dekking)</w:t>
            </w:r>
          </w:p>
        </w:tc>
        <w:tc>
          <w:tcPr>
            <w:tcW w:w="2414" w:type="dxa"/>
          </w:tcPr>
          <w:p w:rsidRPr="00B138AF" w:rsidR="00ED1CC4" w:rsidP="00106C7D" w:rsidRDefault="00ED1CC4" w14:paraId="5EC9FCF5" w14:textId="12FBCD4F">
            <w:r w:rsidRPr="00B138AF">
              <w:t>n.v.t.</w:t>
            </w:r>
          </w:p>
        </w:tc>
        <w:tc>
          <w:tcPr>
            <w:tcW w:w="2409" w:type="dxa"/>
          </w:tcPr>
          <w:p w:rsidRPr="00B138AF" w:rsidR="00ED1CC4" w:rsidP="00106C7D" w:rsidRDefault="0092634F" w14:paraId="44BCE71C" w14:textId="532CFF38">
            <w:r w:rsidRPr="00B138AF">
              <w:t xml:space="preserve">begin </w:t>
            </w:r>
            <w:r w:rsidRPr="00B138AF" w:rsidR="00ED1CC4">
              <w:t>april 2026</w:t>
            </w:r>
          </w:p>
        </w:tc>
        <w:tc>
          <w:tcPr>
            <w:tcW w:w="2268" w:type="dxa"/>
          </w:tcPr>
          <w:p w:rsidRPr="00B138AF" w:rsidR="00ED1CC4" w:rsidP="00ED1CC4" w:rsidRDefault="004C3873" w14:paraId="410272D4" w14:textId="25AD0698">
            <w:pPr>
              <w:spacing w:line="240" w:lineRule="auto"/>
            </w:pPr>
            <w:r w:rsidRPr="00B138AF">
              <w:t>b</w:t>
            </w:r>
            <w:r w:rsidRPr="00B138AF" w:rsidR="0092634F">
              <w:t>egin</w:t>
            </w:r>
            <w:r w:rsidRPr="00B138AF" w:rsidR="00FF0435">
              <w:t xml:space="preserve"> </w:t>
            </w:r>
            <w:r w:rsidRPr="00B138AF" w:rsidR="00ED1CC4">
              <w:t>april 2026</w:t>
            </w:r>
          </w:p>
        </w:tc>
      </w:tr>
      <w:tr w:rsidR="00ED1CC4" w:rsidTr="00030DA4" w14:paraId="3B88C1B4" w14:textId="77777777">
        <w:tc>
          <w:tcPr>
            <w:tcW w:w="2543" w:type="dxa"/>
          </w:tcPr>
          <w:p w:rsidR="00ED1CC4" w:rsidP="00ED1CC4" w:rsidRDefault="00ED1CC4" w14:paraId="239412D7" w14:textId="77777777">
            <w:r>
              <w:t>Afronden voorhang AMvB EK</w:t>
            </w:r>
          </w:p>
        </w:tc>
        <w:tc>
          <w:tcPr>
            <w:tcW w:w="2414" w:type="dxa"/>
          </w:tcPr>
          <w:p w:rsidRPr="00B138AF" w:rsidR="00ED1CC4" w:rsidP="00ED1CC4" w:rsidRDefault="00ED1CC4" w14:paraId="62113AB4" w14:textId="26A3CA76">
            <w:r w:rsidRPr="00B138AF">
              <w:t>31 maart 2026</w:t>
            </w:r>
          </w:p>
          <w:p w:rsidRPr="00B138AF" w:rsidR="00215791" w:rsidP="00ED1CC4" w:rsidRDefault="00215791" w14:paraId="66A1A29B" w14:textId="002BC764">
            <w:r w:rsidRPr="00B138AF">
              <w:t>(</w:t>
            </w:r>
            <w:r w:rsidRPr="00B138AF" w:rsidR="00A641DE">
              <w:t>Uiterlijk v</w:t>
            </w:r>
            <w:r w:rsidRPr="00B138AF">
              <w:t xml:space="preserve">oor </w:t>
            </w:r>
            <w:r w:rsidRPr="00B138AF" w:rsidR="0008465E">
              <w:t>15 april</w:t>
            </w:r>
            <w:r w:rsidRPr="00B138AF">
              <w:t>)</w:t>
            </w:r>
          </w:p>
        </w:tc>
        <w:tc>
          <w:tcPr>
            <w:tcW w:w="2409" w:type="dxa"/>
          </w:tcPr>
          <w:p w:rsidRPr="00B138AF" w:rsidR="00ED1CC4" w:rsidP="00ED1CC4" w:rsidRDefault="00ED1CC4" w14:paraId="5646EB41" w14:textId="6CD90B69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ED1CC4" w:rsidRDefault="00ED1CC4" w14:paraId="79BBFA93" w14:textId="2DF47D0C">
            <w:r w:rsidRPr="00B138AF">
              <w:t>n.v.t.</w:t>
            </w:r>
          </w:p>
        </w:tc>
      </w:tr>
      <w:tr w:rsidR="00ED1CC4" w:rsidTr="00030DA4" w14:paraId="05C7DE5A" w14:textId="77777777">
        <w:tc>
          <w:tcPr>
            <w:tcW w:w="2543" w:type="dxa"/>
          </w:tcPr>
          <w:p w:rsidR="00ED1CC4" w:rsidP="00ED1CC4" w:rsidRDefault="00ED1CC4" w14:paraId="087BEA3D" w14:textId="77777777">
            <w:r>
              <w:t>Afronden voorhang AMvB TK</w:t>
            </w:r>
          </w:p>
        </w:tc>
        <w:tc>
          <w:tcPr>
            <w:tcW w:w="2414" w:type="dxa"/>
          </w:tcPr>
          <w:p w:rsidRPr="00B138AF" w:rsidR="00ED1CC4" w:rsidP="00ED1CC4" w:rsidRDefault="00ED1CC4" w14:paraId="43A8EDFD" w14:textId="164596D1">
            <w:r w:rsidRPr="00B138AF">
              <w:t>31 maart 2026</w:t>
            </w:r>
          </w:p>
          <w:p w:rsidRPr="00B138AF" w:rsidR="00ED1CC4" w:rsidP="00ED1CC4" w:rsidRDefault="00ED1CC4" w14:paraId="2054F0BB" w14:textId="77777777">
            <w:r w:rsidRPr="00B138AF">
              <w:t>Middels tweeminutendebat</w:t>
            </w:r>
          </w:p>
          <w:p w:rsidRPr="00B138AF" w:rsidR="00215791" w:rsidP="00ED1CC4" w:rsidRDefault="00215791" w14:paraId="1BB8E1AF" w14:textId="20508023">
            <w:r w:rsidRPr="00B138AF">
              <w:t>(</w:t>
            </w:r>
            <w:r w:rsidRPr="00B138AF" w:rsidR="00A641DE">
              <w:t>Uiterlijk v</w:t>
            </w:r>
            <w:r w:rsidRPr="00B138AF">
              <w:t xml:space="preserve">oor </w:t>
            </w:r>
            <w:r w:rsidRPr="00B138AF" w:rsidR="0008465E">
              <w:t>15</w:t>
            </w:r>
            <w:r w:rsidRPr="00B138AF" w:rsidR="00A641DE">
              <w:t xml:space="preserve"> april</w:t>
            </w:r>
            <w:r w:rsidRPr="00B138AF">
              <w:t>)</w:t>
            </w:r>
          </w:p>
        </w:tc>
        <w:tc>
          <w:tcPr>
            <w:tcW w:w="2409" w:type="dxa"/>
          </w:tcPr>
          <w:p w:rsidRPr="00B138AF" w:rsidR="00ED1CC4" w:rsidP="00ED1CC4" w:rsidRDefault="00ED1CC4" w14:paraId="6C83A2F1" w14:textId="3AB394C6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ED1CC4" w:rsidRDefault="00ED1CC4" w14:paraId="110EF489" w14:textId="47A26368">
            <w:r w:rsidRPr="00B138AF">
              <w:t>n.v.t.</w:t>
            </w:r>
          </w:p>
        </w:tc>
      </w:tr>
      <w:tr w:rsidR="00ED1CC4" w:rsidTr="00030DA4" w14:paraId="6D5D1B85" w14:textId="77777777">
        <w:tc>
          <w:tcPr>
            <w:tcW w:w="2543" w:type="dxa"/>
          </w:tcPr>
          <w:p w:rsidR="00ED1CC4" w:rsidP="00ED1CC4" w:rsidRDefault="00ED1CC4" w14:paraId="6D6A2941" w14:textId="590F9B9B">
            <w:r>
              <w:t xml:space="preserve">Start voorhang </w:t>
            </w:r>
            <w:r w:rsidR="00845B64">
              <w:t>I</w:t>
            </w:r>
            <w:r>
              <w:t>nwerkingtredingsbesluit Wet veilige jaarwisseling</w:t>
            </w:r>
          </w:p>
        </w:tc>
        <w:tc>
          <w:tcPr>
            <w:tcW w:w="2414" w:type="dxa"/>
          </w:tcPr>
          <w:p w:rsidRPr="00B138AF" w:rsidR="00ED1CC4" w:rsidP="00ED1CC4" w:rsidRDefault="00ED1CC4" w14:paraId="61EE37A6" w14:textId="0E0AC3C6">
            <w:r w:rsidRPr="00B138AF">
              <w:t>n.v.t.</w:t>
            </w:r>
          </w:p>
        </w:tc>
        <w:tc>
          <w:tcPr>
            <w:tcW w:w="2409" w:type="dxa"/>
          </w:tcPr>
          <w:p w:rsidRPr="00B138AF" w:rsidR="00ED1CC4" w:rsidP="00ED1CC4" w:rsidRDefault="00ED1CC4" w14:paraId="1CBD9555" w14:textId="7ECC70B5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ED1CC4" w:rsidRDefault="00215791" w14:paraId="301694F4" w14:textId="2397F68B">
            <w:r w:rsidRPr="00B138AF">
              <w:t>Mei 2</w:t>
            </w:r>
            <w:r w:rsidRPr="00B138AF" w:rsidR="00ED1CC4">
              <w:t>026 (duur tenminste 4 weken)</w:t>
            </w:r>
          </w:p>
        </w:tc>
      </w:tr>
      <w:tr w:rsidR="00ED1CC4" w:rsidTr="00030DA4" w14:paraId="5880FE14" w14:textId="77777777">
        <w:tc>
          <w:tcPr>
            <w:tcW w:w="2543" w:type="dxa"/>
          </w:tcPr>
          <w:p w:rsidR="00ED1CC4" w:rsidP="00ED1CC4" w:rsidRDefault="00ED1CC4" w14:paraId="46264BA6" w14:textId="33B5D6F0">
            <w:r>
              <w:t>Nadere uitwerking compensatieregeling op basis van uitgangspuntenbr</w:t>
            </w:r>
            <w:r w:rsidR="008B42E0">
              <w:t>ief</w:t>
            </w:r>
          </w:p>
        </w:tc>
        <w:tc>
          <w:tcPr>
            <w:tcW w:w="2414" w:type="dxa"/>
          </w:tcPr>
          <w:p w:rsidRPr="00B138AF" w:rsidR="00ED1CC4" w:rsidP="00ED1CC4" w:rsidRDefault="008B42E0" w14:paraId="4630F7F2" w14:textId="7124A6DD">
            <w:r w:rsidRPr="00B138AF">
              <w:t>n.v.t.</w:t>
            </w:r>
          </w:p>
        </w:tc>
        <w:tc>
          <w:tcPr>
            <w:tcW w:w="2409" w:type="dxa"/>
          </w:tcPr>
          <w:p w:rsidRPr="00B138AF" w:rsidR="00ED1CC4" w:rsidP="00ED1CC4" w:rsidRDefault="00A641DE" w14:paraId="5FA4D42E" w14:textId="60D9A29D">
            <w:r w:rsidRPr="00B138AF">
              <w:t>begin</w:t>
            </w:r>
            <w:r w:rsidRPr="00B138AF" w:rsidR="008B42E0">
              <w:t xml:space="preserve"> april – 31 mei 2026</w:t>
            </w:r>
          </w:p>
        </w:tc>
        <w:tc>
          <w:tcPr>
            <w:tcW w:w="2268" w:type="dxa"/>
          </w:tcPr>
          <w:p w:rsidRPr="00B138AF" w:rsidR="00ED1CC4" w:rsidP="00ED1CC4" w:rsidRDefault="008B42E0" w14:paraId="516CDDAC" w14:textId="4A0808CC">
            <w:r w:rsidRPr="00B138AF">
              <w:t>n.v.t.</w:t>
            </w:r>
          </w:p>
        </w:tc>
      </w:tr>
      <w:tr w:rsidR="00ED1CC4" w:rsidTr="00030DA4" w14:paraId="565EC373" w14:textId="77777777">
        <w:tc>
          <w:tcPr>
            <w:tcW w:w="2543" w:type="dxa"/>
          </w:tcPr>
          <w:p w:rsidR="00ED1CC4" w:rsidP="00ED1CC4" w:rsidRDefault="00ED1CC4" w14:paraId="5FA9C71C" w14:textId="77777777">
            <w:r>
              <w:t>Notificatie bij EC</w:t>
            </w:r>
          </w:p>
        </w:tc>
        <w:tc>
          <w:tcPr>
            <w:tcW w:w="2414" w:type="dxa"/>
          </w:tcPr>
          <w:p w:rsidRPr="00B138AF" w:rsidR="00ED1CC4" w:rsidP="00ED1CC4" w:rsidRDefault="00ED1CC4" w14:paraId="614B6CF8" w14:textId="3D487929">
            <w:r w:rsidRPr="00B138AF">
              <w:t>20 januari t/m 20 april 2026</w:t>
            </w:r>
          </w:p>
        </w:tc>
        <w:tc>
          <w:tcPr>
            <w:tcW w:w="2409" w:type="dxa"/>
          </w:tcPr>
          <w:p w:rsidRPr="00B138AF" w:rsidR="00ED1CC4" w:rsidP="00ED1CC4" w:rsidRDefault="00ED1CC4" w14:paraId="66D70D65" w14:textId="36BFEA0D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ED1CC4" w:rsidRDefault="00ED1CC4" w14:paraId="6329D1B4" w14:textId="261EE74C">
            <w:r w:rsidRPr="00B138AF">
              <w:t>n.v.t.</w:t>
            </w:r>
          </w:p>
        </w:tc>
      </w:tr>
      <w:tr w:rsidR="00ED1CC4" w:rsidTr="00030DA4" w14:paraId="0E66F33F" w14:textId="77777777">
        <w:tc>
          <w:tcPr>
            <w:tcW w:w="2543" w:type="dxa"/>
          </w:tcPr>
          <w:p w:rsidR="00ED1CC4" w:rsidP="00ED1CC4" w:rsidRDefault="00ED1CC4" w14:paraId="3F029345" w14:textId="77777777">
            <w:r>
              <w:t>Advisering Raad van State</w:t>
            </w:r>
          </w:p>
        </w:tc>
        <w:tc>
          <w:tcPr>
            <w:tcW w:w="2414" w:type="dxa"/>
          </w:tcPr>
          <w:p w:rsidRPr="00B138AF" w:rsidR="00ED1CC4" w:rsidP="00ED1CC4" w:rsidRDefault="00ED1CC4" w14:paraId="13A8C385" w14:textId="77777777">
            <w:r w:rsidRPr="00B138AF">
              <w:t>Medio april – begin juni 2026</w:t>
            </w:r>
          </w:p>
          <w:p w:rsidRPr="00B138AF" w:rsidR="00ED1CC4" w:rsidP="00ED1CC4" w:rsidRDefault="00ED1CC4" w14:paraId="45E124B5" w14:textId="282E9A96">
            <w:r w:rsidRPr="00B138AF">
              <w:t>Kan pas starten als voorhang is afgerond</w:t>
            </w:r>
          </w:p>
        </w:tc>
        <w:tc>
          <w:tcPr>
            <w:tcW w:w="2409" w:type="dxa"/>
          </w:tcPr>
          <w:p w:rsidRPr="00B138AF" w:rsidR="00ED1CC4" w:rsidP="00ED1CC4" w:rsidRDefault="00ED1CC4" w14:paraId="720E9C84" w14:textId="4A46A485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ED1CC4" w:rsidRDefault="00ED1CC4" w14:paraId="359774C1" w14:textId="7DED8CA2">
            <w:r w:rsidRPr="00B138AF">
              <w:t>n.v.t.</w:t>
            </w:r>
          </w:p>
        </w:tc>
      </w:tr>
      <w:tr w:rsidR="00ED1CC4" w:rsidTr="00030DA4" w14:paraId="4FD2244B" w14:textId="77777777">
        <w:tc>
          <w:tcPr>
            <w:tcW w:w="2543" w:type="dxa"/>
          </w:tcPr>
          <w:p w:rsidR="00ED1CC4" w:rsidP="00ED1CC4" w:rsidRDefault="00ED1CC4" w14:paraId="1E8E7747" w14:textId="77777777">
            <w:r>
              <w:t>Nader rapport</w:t>
            </w:r>
          </w:p>
        </w:tc>
        <w:tc>
          <w:tcPr>
            <w:tcW w:w="2414" w:type="dxa"/>
          </w:tcPr>
          <w:p w:rsidRPr="00B138AF" w:rsidR="00ED1CC4" w:rsidP="00ED1CC4" w:rsidRDefault="00ED1CC4" w14:paraId="57772338" w14:textId="07EF2E17">
            <w:r w:rsidRPr="00B138AF">
              <w:t>Eerste helft juni 2026</w:t>
            </w:r>
          </w:p>
        </w:tc>
        <w:tc>
          <w:tcPr>
            <w:tcW w:w="2409" w:type="dxa"/>
          </w:tcPr>
          <w:p w:rsidRPr="00B138AF" w:rsidR="00ED1CC4" w:rsidP="00ED1CC4" w:rsidRDefault="008B42E0" w14:paraId="62094682" w14:textId="6C267028">
            <w:r w:rsidRPr="00B138AF">
              <w:t>n.v.t.</w:t>
            </w:r>
          </w:p>
        </w:tc>
        <w:tc>
          <w:tcPr>
            <w:tcW w:w="2268" w:type="dxa"/>
          </w:tcPr>
          <w:p w:rsidRPr="00B138AF" w:rsidR="00ED1CC4" w:rsidP="00ED1CC4" w:rsidRDefault="008B42E0" w14:paraId="18E2CCA9" w14:textId="289CE669">
            <w:r w:rsidRPr="00B138AF">
              <w:t>n.v.t.</w:t>
            </w:r>
          </w:p>
        </w:tc>
      </w:tr>
      <w:tr w:rsidR="008B42E0" w:rsidTr="00030DA4" w14:paraId="46AAF8AD" w14:textId="77777777">
        <w:tc>
          <w:tcPr>
            <w:tcW w:w="2543" w:type="dxa"/>
          </w:tcPr>
          <w:p w:rsidR="008B42E0" w:rsidP="008B42E0" w:rsidRDefault="008B42E0" w14:paraId="4BC7343A" w14:textId="00412442">
            <w:r>
              <w:t>Vaststelling</w:t>
            </w:r>
          </w:p>
        </w:tc>
        <w:tc>
          <w:tcPr>
            <w:tcW w:w="2414" w:type="dxa"/>
          </w:tcPr>
          <w:p w:rsidRPr="00B138AF" w:rsidR="008B42E0" w:rsidP="008B42E0" w:rsidRDefault="008B42E0" w14:paraId="59944466" w14:textId="2355B21E">
            <w:r w:rsidRPr="00B138AF">
              <w:t>Derde week juni 2026</w:t>
            </w:r>
          </w:p>
        </w:tc>
        <w:tc>
          <w:tcPr>
            <w:tcW w:w="2409" w:type="dxa"/>
          </w:tcPr>
          <w:p w:rsidRPr="00B138AF" w:rsidR="008B42E0" w:rsidP="008B42E0" w:rsidRDefault="008B42E0" w14:paraId="00FD15D0" w14:textId="22E873B3">
            <w:r w:rsidRPr="00B138AF">
              <w:t>Derde week juni 2026</w:t>
            </w:r>
          </w:p>
        </w:tc>
        <w:tc>
          <w:tcPr>
            <w:tcW w:w="2268" w:type="dxa"/>
          </w:tcPr>
          <w:p w:rsidRPr="00B138AF" w:rsidR="008B42E0" w:rsidP="008B42E0" w:rsidRDefault="008B42E0" w14:paraId="083A7BC5" w14:textId="6D54F815">
            <w:r w:rsidRPr="00B138AF">
              <w:t>Derde week juni 2026</w:t>
            </w:r>
          </w:p>
        </w:tc>
      </w:tr>
      <w:tr w:rsidR="008B42E0" w:rsidTr="00030DA4" w14:paraId="4EF2BB67" w14:textId="77777777">
        <w:tc>
          <w:tcPr>
            <w:tcW w:w="2543" w:type="dxa"/>
          </w:tcPr>
          <w:p w:rsidR="008B42E0" w:rsidP="008B42E0" w:rsidRDefault="008B42E0" w14:paraId="2812EE76" w14:textId="4FEA6E29">
            <w:r>
              <w:t>Publicatie</w:t>
            </w:r>
          </w:p>
        </w:tc>
        <w:tc>
          <w:tcPr>
            <w:tcW w:w="2414" w:type="dxa"/>
          </w:tcPr>
          <w:p w:rsidRPr="00B138AF" w:rsidR="008B42E0" w:rsidP="008B42E0" w:rsidRDefault="008B42E0" w14:paraId="28AF2543" w14:textId="6276C5AF">
            <w:r w:rsidRPr="00B138AF">
              <w:t>1 juli 2026</w:t>
            </w:r>
          </w:p>
        </w:tc>
        <w:tc>
          <w:tcPr>
            <w:tcW w:w="2409" w:type="dxa"/>
          </w:tcPr>
          <w:p w:rsidRPr="00B138AF" w:rsidR="008B42E0" w:rsidP="008B42E0" w:rsidRDefault="008B42E0" w14:paraId="7D41F71B" w14:textId="736B8256">
            <w:r w:rsidRPr="00B138AF">
              <w:t>1 juli 2026</w:t>
            </w:r>
          </w:p>
        </w:tc>
        <w:tc>
          <w:tcPr>
            <w:tcW w:w="2268" w:type="dxa"/>
          </w:tcPr>
          <w:p w:rsidRPr="00B138AF" w:rsidR="008B42E0" w:rsidP="008B42E0" w:rsidRDefault="008B42E0" w14:paraId="66B1D2D9" w14:textId="5BB13A0F">
            <w:r w:rsidRPr="00B138AF">
              <w:t>1 juli 2026</w:t>
            </w:r>
          </w:p>
        </w:tc>
      </w:tr>
      <w:tr w:rsidR="008B42E0" w:rsidTr="00030DA4" w14:paraId="2CA5C2DA" w14:textId="77777777">
        <w:tc>
          <w:tcPr>
            <w:tcW w:w="2543" w:type="dxa"/>
          </w:tcPr>
          <w:p w:rsidR="008B42E0" w:rsidP="008B42E0" w:rsidRDefault="008B42E0" w14:paraId="510C3FD3" w14:textId="0EBF50B9">
            <w:r>
              <w:t>Nahang</w:t>
            </w:r>
          </w:p>
        </w:tc>
        <w:tc>
          <w:tcPr>
            <w:tcW w:w="2414" w:type="dxa"/>
          </w:tcPr>
          <w:p w:rsidRPr="00B138AF" w:rsidR="008B42E0" w:rsidP="008B42E0" w:rsidRDefault="008B42E0" w14:paraId="3100AF2E" w14:textId="4A12DA73">
            <w:r w:rsidRPr="00B138AF">
              <w:t>1-</w:t>
            </w:r>
            <w:r w:rsidRPr="00B138AF" w:rsidR="00030DA4">
              <w:t>28</w:t>
            </w:r>
            <w:r w:rsidRPr="00B138AF">
              <w:t xml:space="preserve"> juli 2026</w:t>
            </w:r>
          </w:p>
        </w:tc>
        <w:tc>
          <w:tcPr>
            <w:tcW w:w="2409" w:type="dxa"/>
          </w:tcPr>
          <w:p w:rsidRPr="00B138AF" w:rsidR="008B42E0" w:rsidP="008B42E0" w:rsidRDefault="008B42E0" w14:paraId="42FB39A7" w14:textId="4294D1B0">
            <w:r w:rsidRPr="00B138AF">
              <w:t>n.v.t.</w:t>
            </w:r>
          </w:p>
        </w:tc>
        <w:tc>
          <w:tcPr>
            <w:tcW w:w="2268" w:type="dxa"/>
          </w:tcPr>
          <w:p w:rsidRPr="00B138AF" w:rsidR="008B42E0" w:rsidP="008B42E0" w:rsidRDefault="008B42E0" w14:paraId="3ADF895F" w14:textId="123B6D3C">
            <w:r w:rsidRPr="00B138AF">
              <w:t>n.v.t.</w:t>
            </w:r>
          </w:p>
        </w:tc>
      </w:tr>
      <w:tr w:rsidR="008B42E0" w:rsidTr="00030DA4" w14:paraId="53177CB3" w14:textId="77777777">
        <w:tc>
          <w:tcPr>
            <w:tcW w:w="2543" w:type="dxa"/>
          </w:tcPr>
          <w:p w:rsidR="008B42E0" w:rsidP="008B42E0" w:rsidRDefault="008B42E0" w14:paraId="6E30E7A7" w14:textId="6EBE0D07">
            <w:r>
              <w:t>Inwerkingtreding</w:t>
            </w:r>
          </w:p>
        </w:tc>
        <w:tc>
          <w:tcPr>
            <w:tcW w:w="2414" w:type="dxa"/>
          </w:tcPr>
          <w:p w:rsidRPr="00B138AF" w:rsidR="008B42E0" w:rsidP="008B42E0" w:rsidRDefault="008B42E0" w14:paraId="69D43030" w14:textId="027D6F1E">
            <w:r w:rsidRPr="00B138AF">
              <w:t>1 augustus 2026</w:t>
            </w:r>
          </w:p>
        </w:tc>
        <w:tc>
          <w:tcPr>
            <w:tcW w:w="2409" w:type="dxa"/>
          </w:tcPr>
          <w:p w:rsidRPr="00B138AF" w:rsidR="008B42E0" w:rsidP="008B42E0" w:rsidRDefault="008B42E0" w14:paraId="157C6235" w14:textId="0A8F0500">
            <w:r w:rsidRPr="00B138AF">
              <w:t>1 augustus 2026</w:t>
            </w:r>
          </w:p>
        </w:tc>
        <w:tc>
          <w:tcPr>
            <w:tcW w:w="2268" w:type="dxa"/>
          </w:tcPr>
          <w:p w:rsidRPr="00B138AF" w:rsidR="008B42E0" w:rsidP="008B42E0" w:rsidRDefault="008B42E0" w14:paraId="5FD03F41" w14:textId="3B96D5A1">
            <w:r w:rsidRPr="00B138AF">
              <w:t>1 augustus 2026</w:t>
            </w:r>
          </w:p>
        </w:tc>
      </w:tr>
    </w:tbl>
    <w:p w:rsidR="000761D0" w:rsidRDefault="000761D0" w14:paraId="054D9691" w14:textId="77777777"/>
    <w:sectPr w:rsidR="000761D0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CA5DB" w14:textId="77777777" w:rsidR="00E2344A" w:rsidRDefault="00E2344A">
      <w:pPr>
        <w:spacing w:line="240" w:lineRule="auto"/>
      </w:pPr>
      <w:r>
        <w:separator/>
      </w:r>
    </w:p>
  </w:endnote>
  <w:endnote w:type="continuationSeparator" w:id="0">
    <w:p w14:paraId="7F650C19" w14:textId="77777777" w:rsidR="00E2344A" w:rsidRDefault="00E23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FAA2A" w14:textId="77777777" w:rsidR="00E2344A" w:rsidRDefault="00E2344A">
      <w:pPr>
        <w:spacing w:line="240" w:lineRule="auto"/>
      </w:pPr>
      <w:r>
        <w:separator/>
      </w:r>
    </w:p>
  </w:footnote>
  <w:footnote w:type="continuationSeparator" w:id="0">
    <w:p w14:paraId="3ABD26BF" w14:textId="77777777" w:rsidR="00E2344A" w:rsidRDefault="00E2344A">
      <w:pPr>
        <w:spacing w:line="240" w:lineRule="auto"/>
      </w:pPr>
      <w:r>
        <w:continuationSeparator/>
      </w:r>
    </w:p>
  </w:footnote>
  <w:footnote w:id="1">
    <w:p w14:paraId="4D08A181" w14:textId="37D5CC4F" w:rsidR="00215791" w:rsidRPr="00215791" w:rsidRDefault="00215791" w:rsidP="0021579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15791">
        <w:rPr>
          <w:sz w:val="16"/>
          <w:szCs w:val="16"/>
        </w:rPr>
        <w:t>Kamerstuk 28684, nr. 813</w:t>
      </w:r>
      <w:r>
        <w:rPr>
          <w:sz w:val="16"/>
          <w:szCs w:val="16"/>
        </w:rPr>
        <w:t>.</w:t>
      </w:r>
    </w:p>
  </w:footnote>
  <w:footnote w:id="2">
    <w:p w14:paraId="7A3CE375" w14:textId="1780817B" w:rsidR="00DF2133" w:rsidRDefault="00DF2133">
      <w:pPr>
        <w:pStyle w:val="FootnoteText"/>
      </w:pPr>
      <w:r>
        <w:rPr>
          <w:rStyle w:val="FootnoteReference"/>
        </w:rPr>
        <w:footnoteRef/>
      </w:r>
      <w:r w:rsidRPr="00DF2133">
        <w:rPr>
          <w:sz w:val="16"/>
          <w:szCs w:val="16"/>
        </w:rPr>
        <w:t xml:space="preserve"> Kamerstuk </w:t>
      </w:r>
      <w:r w:rsidR="00030DA4">
        <w:rPr>
          <w:sz w:val="16"/>
          <w:szCs w:val="16"/>
        </w:rPr>
        <w:t>28684, nr. 836.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4C2C" w14:textId="77777777" w:rsidR="00D7191B" w:rsidRDefault="0029668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779F78F" wp14:editId="3D1AE87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37E0A" w14:textId="77777777" w:rsidR="00D7191B" w:rsidRDefault="0029668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372791" w14:textId="77777777" w:rsidR="00D7191B" w:rsidRDefault="00D7191B">
                          <w:pPr>
                            <w:pStyle w:val="WitregelW2"/>
                          </w:pPr>
                        </w:p>
                        <w:p w14:paraId="1FF5A8AA" w14:textId="77777777" w:rsidR="00D7191B" w:rsidRDefault="0029668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E544412" w14:textId="0F3D99E2" w:rsidR="00D7191B" w:rsidRDefault="00B138AF" w:rsidP="00B138AF">
                          <w:pPr>
                            <w:pStyle w:val="Referentiegegevens"/>
                          </w:pPr>
                          <w:r w:rsidRPr="00B138AF">
                            <w:t>IENW/BSK-2026/49563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79F78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1F37E0A" w14:textId="77777777" w:rsidR="00D7191B" w:rsidRDefault="0029668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372791" w14:textId="77777777" w:rsidR="00D7191B" w:rsidRDefault="00D7191B">
                    <w:pPr>
                      <w:pStyle w:val="WitregelW2"/>
                    </w:pPr>
                  </w:p>
                  <w:p w14:paraId="1FF5A8AA" w14:textId="77777777" w:rsidR="00D7191B" w:rsidRDefault="0029668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E544412" w14:textId="0F3D99E2" w:rsidR="00D7191B" w:rsidRDefault="00B138AF" w:rsidP="00B138AF">
                    <w:pPr>
                      <w:pStyle w:val="Referentiegegevens"/>
                    </w:pPr>
                    <w:r w:rsidRPr="00B138AF">
                      <w:t>IENW/BSK-2026/49563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C55DE73" wp14:editId="1543AFDB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98B56" w14:textId="77777777" w:rsidR="00D7191B" w:rsidRDefault="0029668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3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3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55DE7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F798B56" w14:textId="77777777" w:rsidR="00D7191B" w:rsidRDefault="0029668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3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3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0BE225F" wp14:editId="7939911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85B9D" w14:textId="77777777" w:rsidR="0029668C" w:rsidRDefault="002966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E225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A685B9D" w14:textId="77777777" w:rsidR="0029668C" w:rsidRDefault="0029668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08025DA" wp14:editId="3F38F7D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1E9E4" w14:textId="77777777" w:rsidR="0029668C" w:rsidRDefault="002966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025D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AD1E9E4" w14:textId="77777777" w:rsidR="0029668C" w:rsidRDefault="0029668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67BF" w14:textId="77777777" w:rsidR="00D7191B" w:rsidRDefault="0029668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78885D7" wp14:editId="1B834C5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6DE0A" w14:textId="77777777" w:rsidR="0029668C" w:rsidRDefault="002966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8885D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406DE0A" w14:textId="77777777" w:rsidR="0029668C" w:rsidRDefault="0029668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1396A5" wp14:editId="6586FBE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15853" w14:textId="07B73E23" w:rsidR="00D7191B" w:rsidRDefault="0029668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23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23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396A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8215853" w14:textId="07B73E23" w:rsidR="00D7191B" w:rsidRDefault="0029668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23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23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7A9D18" wp14:editId="28E962D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499F5" w14:textId="77777777" w:rsidR="00D7191B" w:rsidRDefault="0029668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2E33009" w14:textId="77777777" w:rsidR="00D7191B" w:rsidRDefault="00D7191B">
                          <w:pPr>
                            <w:pStyle w:val="WitregelW1"/>
                          </w:pPr>
                        </w:p>
                        <w:p w14:paraId="20B68F8E" w14:textId="77777777" w:rsidR="00D7191B" w:rsidRDefault="0029668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6ADFC9A" w14:textId="77777777" w:rsidR="00D7191B" w:rsidRPr="00A329FE" w:rsidRDefault="0029668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9F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BC05466" w14:textId="77777777" w:rsidR="00D7191B" w:rsidRPr="00A329FE" w:rsidRDefault="0029668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9F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C72863A" w14:textId="77777777" w:rsidR="00D7191B" w:rsidRPr="00A329FE" w:rsidRDefault="0029668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9F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0942940" w14:textId="77777777" w:rsidR="00D7191B" w:rsidRPr="00A329FE" w:rsidRDefault="00D7191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EFF4F58" w14:textId="77777777" w:rsidR="00D7191B" w:rsidRPr="00A329FE" w:rsidRDefault="0029668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9F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393CDAA" w14:textId="77777777" w:rsidR="00D7191B" w:rsidRDefault="0029668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845E5C5" w14:textId="77777777" w:rsidR="00D7191B" w:rsidRDefault="00D7191B">
                          <w:pPr>
                            <w:pStyle w:val="WitregelW2"/>
                          </w:pPr>
                        </w:p>
                        <w:p w14:paraId="09A606B9" w14:textId="50854EF2" w:rsidR="00D7191B" w:rsidRPr="00935871" w:rsidRDefault="0029668C" w:rsidP="00B138AF">
                          <w:pPr>
                            <w:pStyle w:val="Referentiegegevenskop"/>
                            <w:rPr>
                              <w:sz w:val="12"/>
                              <w:szCs w:val="12"/>
                            </w:rPr>
                          </w:pPr>
                          <w:r>
                            <w:t>Ons kenmerk</w:t>
                          </w:r>
                          <w:r w:rsidR="00B138AF">
                            <w:br/>
                          </w:r>
                          <w:r w:rsidR="00B138AF" w:rsidRPr="00B138AF">
                            <w:rPr>
                              <w:b w:val="0"/>
                              <w:bCs/>
                            </w:rPr>
                            <w:t>IENW/BSK-2026/49563</w:t>
                          </w:r>
                          <w:r w:rsidR="00B138AF">
                            <w:rPr>
                              <w:b w:val="0"/>
                              <w:bCs/>
                            </w:rPr>
                            <w:br/>
                          </w:r>
                        </w:p>
                        <w:p w14:paraId="415C9297" w14:textId="77777777" w:rsidR="00D7191B" w:rsidRDefault="0029668C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7708B37" w14:textId="2010B86D" w:rsidR="00D7191B" w:rsidRDefault="006761E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A9D1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F9499F5" w14:textId="77777777" w:rsidR="00D7191B" w:rsidRDefault="0029668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2E33009" w14:textId="77777777" w:rsidR="00D7191B" w:rsidRDefault="00D7191B">
                    <w:pPr>
                      <w:pStyle w:val="WitregelW1"/>
                    </w:pPr>
                  </w:p>
                  <w:p w14:paraId="20B68F8E" w14:textId="77777777" w:rsidR="00D7191B" w:rsidRDefault="0029668C">
                    <w:pPr>
                      <w:pStyle w:val="Afzendgegevens"/>
                    </w:pPr>
                    <w:r>
                      <w:t>Rijnstraat 8</w:t>
                    </w:r>
                  </w:p>
                  <w:p w14:paraId="16ADFC9A" w14:textId="77777777" w:rsidR="00D7191B" w:rsidRPr="00A329FE" w:rsidRDefault="0029668C">
                    <w:pPr>
                      <w:pStyle w:val="Afzendgegevens"/>
                      <w:rPr>
                        <w:lang w:val="de-DE"/>
                      </w:rPr>
                    </w:pPr>
                    <w:r w:rsidRPr="00A329FE">
                      <w:rPr>
                        <w:lang w:val="de-DE"/>
                      </w:rPr>
                      <w:t>2515 XP  Den Haag</w:t>
                    </w:r>
                  </w:p>
                  <w:p w14:paraId="2BC05466" w14:textId="77777777" w:rsidR="00D7191B" w:rsidRPr="00A329FE" w:rsidRDefault="0029668C">
                    <w:pPr>
                      <w:pStyle w:val="Afzendgegevens"/>
                      <w:rPr>
                        <w:lang w:val="de-DE"/>
                      </w:rPr>
                    </w:pPr>
                    <w:r w:rsidRPr="00A329FE">
                      <w:rPr>
                        <w:lang w:val="de-DE"/>
                      </w:rPr>
                      <w:t>Postbus 20901</w:t>
                    </w:r>
                  </w:p>
                  <w:p w14:paraId="0C72863A" w14:textId="77777777" w:rsidR="00D7191B" w:rsidRPr="00A329FE" w:rsidRDefault="0029668C">
                    <w:pPr>
                      <w:pStyle w:val="Afzendgegevens"/>
                      <w:rPr>
                        <w:lang w:val="de-DE"/>
                      </w:rPr>
                    </w:pPr>
                    <w:r w:rsidRPr="00A329FE">
                      <w:rPr>
                        <w:lang w:val="de-DE"/>
                      </w:rPr>
                      <w:t>2500 EX Den Haag</w:t>
                    </w:r>
                  </w:p>
                  <w:p w14:paraId="20942940" w14:textId="77777777" w:rsidR="00D7191B" w:rsidRPr="00A329FE" w:rsidRDefault="00D7191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EFF4F58" w14:textId="77777777" w:rsidR="00D7191B" w:rsidRPr="00A329FE" w:rsidRDefault="0029668C">
                    <w:pPr>
                      <w:pStyle w:val="Afzendgegevens"/>
                      <w:rPr>
                        <w:lang w:val="de-DE"/>
                      </w:rPr>
                    </w:pPr>
                    <w:r w:rsidRPr="00A329FE">
                      <w:rPr>
                        <w:lang w:val="de-DE"/>
                      </w:rPr>
                      <w:t>T   070-456 0000</w:t>
                    </w:r>
                  </w:p>
                  <w:p w14:paraId="5393CDAA" w14:textId="77777777" w:rsidR="00D7191B" w:rsidRDefault="0029668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845E5C5" w14:textId="77777777" w:rsidR="00D7191B" w:rsidRDefault="00D7191B">
                    <w:pPr>
                      <w:pStyle w:val="WitregelW2"/>
                    </w:pPr>
                  </w:p>
                  <w:p w14:paraId="09A606B9" w14:textId="50854EF2" w:rsidR="00D7191B" w:rsidRPr="00935871" w:rsidRDefault="0029668C" w:rsidP="00B138AF">
                    <w:pPr>
                      <w:pStyle w:val="Referentiegegevenskop"/>
                      <w:rPr>
                        <w:sz w:val="12"/>
                        <w:szCs w:val="12"/>
                      </w:rPr>
                    </w:pPr>
                    <w:r>
                      <w:t>Ons kenmerk</w:t>
                    </w:r>
                    <w:r w:rsidR="00B138AF">
                      <w:br/>
                    </w:r>
                    <w:r w:rsidR="00B138AF" w:rsidRPr="00B138AF">
                      <w:rPr>
                        <w:b w:val="0"/>
                        <w:bCs/>
                      </w:rPr>
                      <w:t>IENW/BSK-2026/49563</w:t>
                    </w:r>
                    <w:r w:rsidR="00B138AF">
                      <w:rPr>
                        <w:b w:val="0"/>
                        <w:bCs/>
                      </w:rPr>
                      <w:br/>
                    </w:r>
                  </w:p>
                  <w:p w14:paraId="415C9297" w14:textId="77777777" w:rsidR="00D7191B" w:rsidRDefault="0029668C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7708B37" w14:textId="2010B86D" w:rsidR="00D7191B" w:rsidRDefault="006761E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81594D" wp14:editId="294BA33C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0231F" w14:textId="77777777" w:rsidR="00D7191B" w:rsidRDefault="002966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4987D8" wp14:editId="2FED423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1594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3E0231F" w14:textId="77777777" w:rsidR="00D7191B" w:rsidRDefault="0029668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04987D8" wp14:editId="2FED423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5C1FA7B" wp14:editId="0DB317A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D731E" w14:textId="77777777" w:rsidR="00D7191B" w:rsidRDefault="0029668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10ECC7" wp14:editId="705850C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C1FA7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87D731E" w14:textId="77777777" w:rsidR="00D7191B" w:rsidRDefault="0029668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10ECC7" wp14:editId="705850C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AA01D44" wp14:editId="5B8F963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7EB10" w14:textId="77777777" w:rsidR="00D7191B" w:rsidRDefault="0029668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01D4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E27EB10" w14:textId="77777777" w:rsidR="00D7191B" w:rsidRDefault="0029668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838883" wp14:editId="0718E81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880DC" w14:textId="77777777" w:rsidR="00D7191B" w:rsidRDefault="0029668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3888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33880DC" w14:textId="77777777" w:rsidR="00D7191B" w:rsidRDefault="0029668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18BFC9D" wp14:editId="21833640">
              <wp:simplePos x="0" y="0"/>
              <wp:positionH relativeFrom="margin">
                <wp:align>left</wp:align>
              </wp:positionH>
              <wp:positionV relativeFrom="paragraph">
                <wp:posOffset>3637915</wp:posOffset>
              </wp:positionV>
              <wp:extent cx="4105275" cy="7524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2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191B" w14:paraId="4458985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285746" w14:textId="77777777" w:rsidR="00D7191B" w:rsidRDefault="00D7191B"/>
                            </w:tc>
                            <w:tc>
                              <w:tcPr>
                                <w:tcW w:w="5400" w:type="dxa"/>
                              </w:tcPr>
                              <w:p w14:paraId="76A8C9F4" w14:textId="77777777" w:rsidR="00D7191B" w:rsidRDefault="00D7191B"/>
                            </w:tc>
                          </w:tr>
                          <w:tr w:rsidR="00D7191B" w14:paraId="6ED73F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D82CE0" w14:textId="77777777" w:rsidR="00D7191B" w:rsidRDefault="0029668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3E51DD" w14:textId="7823B2EB" w:rsidR="00D7191B" w:rsidRDefault="006761E0">
                                <w:r>
                                  <w:t>16 maart 2026</w:t>
                                </w:r>
                              </w:p>
                            </w:tc>
                          </w:tr>
                          <w:tr w:rsidR="00D7191B" w14:paraId="291DEF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AC4F38" w14:textId="77777777" w:rsidR="00D7191B" w:rsidRDefault="0029668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67EDE3" w14:textId="41C50772" w:rsidR="00D7191B" w:rsidRDefault="00CB201D">
                                <w:r>
                                  <w:t>Planning brief nadeelcompensatie en relatie hiervan tot het Besluit veilige jaarwisseling</w:t>
                                </w:r>
                                <w:r w:rsidR="005C1E6E">
                                  <w:t xml:space="preserve"> (kenmerk 35386-35/2026D11322)</w:t>
                                </w:r>
                              </w:p>
                            </w:tc>
                          </w:tr>
                          <w:tr w:rsidR="00D7191B" w14:paraId="2FF51AD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776A95" w14:textId="77777777" w:rsidR="00D7191B" w:rsidRDefault="00D7191B"/>
                            </w:tc>
                            <w:tc>
                              <w:tcPr>
                                <w:tcW w:w="5400" w:type="dxa"/>
                              </w:tcPr>
                              <w:p w14:paraId="0C40E09A" w14:textId="77777777" w:rsidR="00D7191B" w:rsidRDefault="00D7191B"/>
                            </w:tc>
                          </w:tr>
                        </w:tbl>
                        <w:p w14:paraId="691341A1" w14:textId="77777777" w:rsidR="0029668C" w:rsidRDefault="0029668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BFC9D" id="7266255e-823c-11ee-8554-0242ac120003" o:spid="_x0000_s1037" type="#_x0000_t202" style="position:absolute;margin-left:0;margin-top:286.45pt;width:323.25pt;height:59.2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191B" w14:paraId="4458985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285746" w14:textId="77777777" w:rsidR="00D7191B" w:rsidRDefault="00D7191B"/>
                      </w:tc>
                      <w:tc>
                        <w:tcPr>
                          <w:tcW w:w="5400" w:type="dxa"/>
                        </w:tcPr>
                        <w:p w14:paraId="76A8C9F4" w14:textId="77777777" w:rsidR="00D7191B" w:rsidRDefault="00D7191B"/>
                      </w:tc>
                    </w:tr>
                    <w:tr w:rsidR="00D7191B" w14:paraId="6ED73F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D82CE0" w14:textId="77777777" w:rsidR="00D7191B" w:rsidRDefault="0029668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3E51DD" w14:textId="7823B2EB" w:rsidR="00D7191B" w:rsidRDefault="006761E0">
                          <w:r>
                            <w:t>16 maart 2026</w:t>
                          </w:r>
                        </w:p>
                      </w:tc>
                    </w:tr>
                    <w:tr w:rsidR="00D7191B" w14:paraId="291DEF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AC4F38" w14:textId="77777777" w:rsidR="00D7191B" w:rsidRDefault="0029668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67EDE3" w14:textId="41C50772" w:rsidR="00D7191B" w:rsidRDefault="00CB201D">
                          <w:r>
                            <w:t>Planning brief nadeelcompensatie en relatie hiervan tot het Besluit veilige jaarwisseling</w:t>
                          </w:r>
                          <w:r w:rsidR="005C1E6E">
                            <w:t xml:space="preserve"> (kenmerk 35386-35/2026D11322)</w:t>
                          </w:r>
                        </w:p>
                      </w:tc>
                    </w:tr>
                    <w:tr w:rsidR="00D7191B" w14:paraId="2FF51AD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776A95" w14:textId="77777777" w:rsidR="00D7191B" w:rsidRDefault="00D7191B"/>
                      </w:tc>
                      <w:tc>
                        <w:tcPr>
                          <w:tcW w:w="5400" w:type="dxa"/>
                        </w:tcPr>
                        <w:p w14:paraId="0C40E09A" w14:textId="77777777" w:rsidR="00D7191B" w:rsidRDefault="00D7191B"/>
                      </w:tc>
                    </w:tr>
                  </w:tbl>
                  <w:p w14:paraId="691341A1" w14:textId="77777777" w:rsidR="0029668C" w:rsidRDefault="0029668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37D0952" wp14:editId="7EDB6660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2BEA5" w14:textId="77777777" w:rsidR="0029668C" w:rsidRDefault="002966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7D095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0B2BEA5" w14:textId="77777777" w:rsidR="0029668C" w:rsidRDefault="0029668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02B88C"/>
    <w:multiLevelType w:val="multilevel"/>
    <w:tmpl w:val="89BFE9B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67D34F"/>
    <w:multiLevelType w:val="multilevel"/>
    <w:tmpl w:val="1DBBBC6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7A71F8"/>
    <w:multiLevelType w:val="multilevel"/>
    <w:tmpl w:val="40C275E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55621B"/>
    <w:multiLevelType w:val="multilevel"/>
    <w:tmpl w:val="73AAE7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7DB807"/>
    <w:multiLevelType w:val="multilevel"/>
    <w:tmpl w:val="95DA051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F49B08"/>
    <w:multiLevelType w:val="multilevel"/>
    <w:tmpl w:val="FD7CDCB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4AD61B0"/>
    <w:multiLevelType w:val="multilevel"/>
    <w:tmpl w:val="5D99781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8B0E1A8"/>
    <w:multiLevelType w:val="multilevel"/>
    <w:tmpl w:val="67B46A7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644BA4B"/>
    <w:multiLevelType w:val="multilevel"/>
    <w:tmpl w:val="099E89B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3D80BCF"/>
    <w:multiLevelType w:val="multilevel"/>
    <w:tmpl w:val="923FEF6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7C3FC8"/>
    <w:multiLevelType w:val="multilevel"/>
    <w:tmpl w:val="89D0748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AAE2B9"/>
    <w:multiLevelType w:val="multilevel"/>
    <w:tmpl w:val="6A918A1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C8783E"/>
    <w:multiLevelType w:val="multilevel"/>
    <w:tmpl w:val="09D5D7B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1237A4"/>
    <w:multiLevelType w:val="multilevel"/>
    <w:tmpl w:val="E4D58EF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1F7BBF"/>
    <w:multiLevelType w:val="multilevel"/>
    <w:tmpl w:val="6319DD0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8667A3"/>
    <w:multiLevelType w:val="multilevel"/>
    <w:tmpl w:val="46EF657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8B59C3"/>
    <w:multiLevelType w:val="multilevel"/>
    <w:tmpl w:val="CBBE2B6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782E10"/>
    <w:multiLevelType w:val="hybridMultilevel"/>
    <w:tmpl w:val="C3C01B18"/>
    <w:lvl w:ilvl="0" w:tplc="833C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41F15"/>
    <w:multiLevelType w:val="multilevel"/>
    <w:tmpl w:val="19DCEF3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B86319"/>
    <w:multiLevelType w:val="multilevel"/>
    <w:tmpl w:val="E5D92FD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853E6B"/>
    <w:multiLevelType w:val="multilevel"/>
    <w:tmpl w:val="88B45CC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D95E77"/>
    <w:multiLevelType w:val="multilevel"/>
    <w:tmpl w:val="9C09D9A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F67DCC"/>
    <w:multiLevelType w:val="multilevel"/>
    <w:tmpl w:val="B41C696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7D57903C"/>
    <w:multiLevelType w:val="multilevel"/>
    <w:tmpl w:val="6FB8DE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"/>
  </w:num>
  <w:num w:numId="5">
    <w:abstractNumId w:val="22"/>
  </w:num>
  <w:num w:numId="6">
    <w:abstractNumId w:val="6"/>
  </w:num>
  <w:num w:numId="7">
    <w:abstractNumId w:val="15"/>
  </w:num>
  <w:num w:numId="8">
    <w:abstractNumId w:val="10"/>
  </w:num>
  <w:num w:numId="9">
    <w:abstractNumId w:val="20"/>
  </w:num>
  <w:num w:numId="10">
    <w:abstractNumId w:val="11"/>
  </w:num>
  <w:num w:numId="11">
    <w:abstractNumId w:val="3"/>
  </w:num>
  <w:num w:numId="12">
    <w:abstractNumId w:val="23"/>
  </w:num>
  <w:num w:numId="13">
    <w:abstractNumId w:val="4"/>
  </w:num>
  <w:num w:numId="14">
    <w:abstractNumId w:val="21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9"/>
  </w:num>
  <w:num w:numId="20">
    <w:abstractNumId w:val="18"/>
  </w:num>
  <w:num w:numId="21">
    <w:abstractNumId w:val="16"/>
  </w:num>
  <w:num w:numId="22">
    <w:abstractNumId w:val="5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01"/>
    <w:rsid w:val="00013DD5"/>
    <w:rsid w:val="00014992"/>
    <w:rsid w:val="00016041"/>
    <w:rsid w:val="00030DA4"/>
    <w:rsid w:val="0003740E"/>
    <w:rsid w:val="00050805"/>
    <w:rsid w:val="00072DB4"/>
    <w:rsid w:val="00073501"/>
    <w:rsid w:val="000761D0"/>
    <w:rsid w:val="00076DBC"/>
    <w:rsid w:val="0008299F"/>
    <w:rsid w:val="0008465E"/>
    <w:rsid w:val="00092833"/>
    <w:rsid w:val="000D0024"/>
    <w:rsid w:val="000D4709"/>
    <w:rsid w:val="000E29F4"/>
    <w:rsid w:val="000F2E0D"/>
    <w:rsid w:val="00167688"/>
    <w:rsid w:val="001808A2"/>
    <w:rsid w:val="0019679C"/>
    <w:rsid w:val="001B6C47"/>
    <w:rsid w:val="001C4A7E"/>
    <w:rsid w:val="001D6CF9"/>
    <w:rsid w:val="001E15CD"/>
    <w:rsid w:val="00215791"/>
    <w:rsid w:val="00276A6D"/>
    <w:rsid w:val="0029668C"/>
    <w:rsid w:val="002E04CC"/>
    <w:rsid w:val="003343DB"/>
    <w:rsid w:val="00346AD2"/>
    <w:rsid w:val="003E5149"/>
    <w:rsid w:val="00434955"/>
    <w:rsid w:val="00467BAF"/>
    <w:rsid w:val="00475E0C"/>
    <w:rsid w:val="004C3873"/>
    <w:rsid w:val="0052555D"/>
    <w:rsid w:val="00560E92"/>
    <w:rsid w:val="00576704"/>
    <w:rsid w:val="00594305"/>
    <w:rsid w:val="005C0863"/>
    <w:rsid w:val="005C1E6E"/>
    <w:rsid w:val="005D1E2C"/>
    <w:rsid w:val="00652FE2"/>
    <w:rsid w:val="00667DF8"/>
    <w:rsid w:val="006761E0"/>
    <w:rsid w:val="006A72B7"/>
    <w:rsid w:val="006B2DA7"/>
    <w:rsid w:val="006C3BE9"/>
    <w:rsid w:val="006C5697"/>
    <w:rsid w:val="006F5454"/>
    <w:rsid w:val="006F6B4D"/>
    <w:rsid w:val="0070402A"/>
    <w:rsid w:val="007478B3"/>
    <w:rsid w:val="007768B3"/>
    <w:rsid w:val="007873FD"/>
    <w:rsid w:val="0079392F"/>
    <w:rsid w:val="007B2300"/>
    <w:rsid w:val="007B7897"/>
    <w:rsid w:val="007C2B05"/>
    <w:rsid w:val="007C3AC6"/>
    <w:rsid w:val="00824E25"/>
    <w:rsid w:val="00834AB5"/>
    <w:rsid w:val="00837C00"/>
    <w:rsid w:val="00845B64"/>
    <w:rsid w:val="00857117"/>
    <w:rsid w:val="00876BA6"/>
    <w:rsid w:val="008A5683"/>
    <w:rsid w:val="008B1492"/>
    <w:rsid w:val="008B42E0"/>
    <w:rsid w:val="008D07FC"/>
    <w:rsid w:val="008D23F3"/>
    <w:rsid w:val="008D2666"/>
    <w:rsid w:val="008D6621"/>
    <w:rsid w:val="009175DC"/>
    <w:rsid w:val="0092634F"/>
    <w:rsid w:val="00932A53"/>
    <w:rsid w:val="00935871"/>
    <w:rsid w:val="00937FAC"/>
    <w:rsid w:val="00980B4E"/>
    <w:rsid w:val="009C3830"/>
    <w:rsid w:val="009C6703"/>
    <w:rsid w:val="00A1706D"/>
    <w:rsid w:val="00A23CB1"/>
    <w:rsid w:val="00A329FE"/>
    <w:rsid w:val="00A332A2"/>
    <w:rsid w:val="00A4237C"/>
    <w:rsid w:val="00A641DE"/>
    <w:rsid w:val="00AA47FD"/>
    <w:rsid w:val="00AE0F04"/>
    <w:rsid w:val="00B01DF9"/>
    <w:rsid w:val="00B138AF"/>
    <w:rsid w:val="00B236FA"/>
    <w:rsid w:val="00B30B15"/>
    <w:rsid w:val="00B33F16"/>
    <w:rsid w:val="00B4187D"/>
    <w:rsid w:val="00B75083"/>
    <w:rsid w:val="00B823F0"/>
    <w:rsid w:val="00BB2691"/>
    <w:rsid w:val="00BB6EBB"/>
    <w:rsid w:val="00BE12A5"/>
    <w:rsid w:val="00C810AE"/>
    <w:rsid w:val="00C85FF4"/>
    <w:rsid w:val="00CA0A4E"/>
    <w:rsid w:val="00CB201D"/>
    <w:rsid w:val="00CB5377"/>
    <w:rsid w:val="00CB7897"/>
    <w:rsid w:val="00D42FF2"/>
    <w:rsid w:val="00D61335"/>
    <w:rsid w:val="00D70935"/>
    <w:rsid w:val="00D7191B"/>
    <w:rsid w:val="00DB509C"/>
    <w:rsid w:val="00DC79BA"/>
    <w:rsid w:val="00DD71CE"/>
    <w:rsid w:val="00DF2133"/>
    <w:rsid w:val="00E2191C"/>
    <w:rsid w:val="00E2344A"/>
    <w:rsid w:val="00E66639"/>
    <w:rsid w:val="00E74ED4"/>
    <w:rsid w:val="00ED071F"/>
    <w:rsid w:val="00ED1CC4"/>
    <w:rsid w:val="00ED7885"/>
    <w:rsid w:val="00EF0722"/>
    <w:rsid w:val="00F132BB"/>
    <w:rsid w:val="00F36653"/>
    <w:rsid w:val="00F60994"/>
    <w:rsid w:val="00F71030"/>
    <w:rsid w:val="00FA6474"/>
    <w:rsid w:val="00FB646E"/>
    <w:rsid w:val="00FF0435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D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7350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350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01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1D0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0761D0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C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CC4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2DA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DA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B2DA7"/>
    <w:rPr>
      <w:vertAlign w:val="superscript"/>
    </w:rPr>
  </w:style>
  <w:style w:type="paragraph" w:styleId="Revision">
    <w:name w:val="Revision"/>
    <w:hidden/>
    <w:uiPriority w:val="99"/>
    <w:semiHidden/>
    <w:rsid w:val="00A329F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875</ap:Words>
  <ap:Characters>4990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Tijdpad Besluit veilige jaarwisseling en Wet veilige jaarwisseling</vt:lpstr>
    </vt:vector>
  </ap:TitlesOfParts>
  <ap:LinksUpToDate>false</ap:LinksUpToDate>
  <ap:CharactersWithSpaces>5854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2026-03-16T12:47:00.0000000Z</dcterms:created>
  <dcterms:modified xsi:type="dcterms:W3CDTF">2026-03-16T12:47:00.0000000Z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Tijdpad Besluit veilige jaarwisseling en Wet veilige jaarwisseling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E.C.E. Spoelma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