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0DF" w:rsidP="008670DF" w:rsidRDefault="008670DF" w14:paraId="340D933F" w14:textId="65364E3E">
      <w:pPr>
        <w:spacing w:line="240" w:lineRule="auto"/>
      </w:pPr>
      <w:r>
        <w:t>AH 1353</w:t>
      </w:r>
    </w:p>
    <w:p w:rsidR="008670DF" w:rsidP="008670DF" w:rsidRDefault="008670DF" w14:paraId="7F96F259" w14:textId="0973AB68">
      <w:pPr>
        <w:spacing w:line="240" w:lineRule="auto"/>
      </w:pPr>
      <w:r>
        <w:t>2026Z03244</w:t>
      </w:r>
    </w:p>
    <w:p w:rsidR="008670DF" w:rsidP="008670DF" w:rsidRDefault="008670DF" w14:paraId="0E34F2CA" w14:textId="7398865A">
      <w:pPr>
        <w:spacing w:line="240" w:lineRule="auto"/>
      </w:pPr>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17 maart 2026)</w:t>
      </w:r>
    </w:p>
    <w:p w:rsidR="008670DF" w:rsidP="008670DF" w:rsidRDefault="008670DF" w14:paraId="05B93B25" w14:textId="77777777">
      <w:pPr>
        <w:spacing w:line="240" w:lineRule="auto"/>
      </w:pPr>
    </w:p>
    <w:p w:rsidRPr="008670DF" w:rsidR="008670DF" w:rsidP="008670DF" w:rsidRDefault="008670DF" w14:paraId="6A957B72" w14:textId="6329062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1234</w:t>
      </w:r>
    </w:p>
    <w:p w:rsidRPr="00A95907" w:rsidR="008670DF" w:rsidP="008670DF" w:rsidRDefault="008670DF" w14:paraId="07D6AE5C" w14:textId="77777777">
      <w:pPr>
        <w:spacing w:line="240" w:lineRule="auto"/>
        <w:rPr>
          <w:b/>
          <w:bCs/>
        </w:rPr>
      </w:pPr>
      <w:r w:rsidRPr="00A95907">
        <w:rPr>
          <w:b/>
          <w:bCs/>
        </w:rPr>
        <w:t>Vraag 1</w:t>
      </w:r>
    </w:p>
    <w:p w:rsidRPr="001D65A0" w:rsidR="008670DF" w:rsidP="008670DF" w:rsidRDefault="008670DF" w14:paraId="51EBA410" w14:textId="77777777">
      <w:pPr>
        <w:spacing w:line="240" w:lineRule="auto"/>
        <w:rPr>
          <w:b/>
          <w:bCs/>
        </w:rPr>
      </w:pPr>
      <w:r w:rsidRPr="001D65A0">
        <w:rPr>
          <w:b/>
          <w:bCs/>
        </w:rPr>
        <w:t>Bent u bekend met de berichten “Verboden trucs in legale online casino’s: massaclaim in de maak”</w:t>
      </w:r>
      <w:r w:rsidRPr="001D65A0">
        <w:rPr>
          <w:rStyle w:val="Voetnootmarkering"/>
          <w:b/>
          <w:bCs/>
        </w:rPr>
        <w:footnoteReference w:id="1"/>
      </w:r>
      <w:r w:rsidRPr="001D65A0">
        <w:rPr>
          <w:b/>
          <w:bCs/>
        </w:rPr>
        <w:t xml:space="preserve"> en “Consumenten voor totaalverbod gokreclame én betere bescherming”</w:t>
      </w:r>
      <w:r w:rsidRPr="001D65A0">
        <w:rPr>
          <w:rStyle w:val="Voetnootmarkering"/>
          <w:b/>
          <w:bCs/>
        </w:rPr>
        <w:footnoteReference w:id="2"/>
      </w:r>
      <w:r w:rsidRPr="001D65A0">
        <w:rPr>
          <w:b/>
          <w:bCs/>
        </w:rPr>
        <w:t>?</w:t>
      </w:r>
      <w:r w:rsidRPr="001D65A0">
        <w:rPr>
          <w:b/>
          <w:bCs/>
        </w:rPr>
        <w:br/>
      </w:r>
    </w:p>
    <w:p w:rsidRPr="00A95907" w:rsidR="008670DF" w:rsidP="008670DF" w:rsidRDefault="008670DF" w14:paraId="5801CCD5" w14:textId="77777777">
      <w:pPr>
        <w:spacing w:line="240" w:lineRule="auto"/>
        <w:rPr>
          <w:b/>
          <w:bCs/>
        </w:rPr>
      </w:pPr>
      <w:r w:rsidRPr="00A95907">
        <w:rPr>
          <w:b/>
          <w:bCs/>
        </w:rPr>
        <w:t xml:space="preserve">Antwoord op vraag 1 </w:t>
      </w:r>
    </w:p>
    <w:p w:rsidRPr="00A95907" w:rsidR="008670DF" w:rsidP="008670DF" w:rsidRDefault="008670DF" w14:paraId="581BEB1B" w14:textId="77777777">
      <w:pPr>
        <w:spacing w:line="240" w:lineRule="auto"/>
      </w:pPr>
      <w:r w:rsidRPr="00A95907">
        <w:t>Ja.</w:t>
      </w:r>
    </w:p>
    <w:p w:rsidRPr="00A95907" w:rsidR="008670DF" w:rsidP="008670DF" w:rsidRDefault="008670DF" w14:paraId="421761F2" w14:textId="77777777">
      <w:pPr>
        <w:spacing w:line="240" w:lineRule="auto"/>
      </w:pPr>
    </w:p>
    <w:p w:rsidRPr="00A95907" w:rsidR="008670DF" w:rsidP="008670DF" w:rsidRDefault="008670DF" w14:paraId="1615536A" w14:textId="77777777">
      <w:pPr>
        <w:spacing w:line="240" w:lineRule="auto"/>
        <w:rPr>
          <w:b/>
          <w:bCs/>
        </w:rPr>
      </w:pPr>
      <w:r w:rsidRPr="00A95907">
        <w:rPr>
          <w:b/>
          <w:bCs/>
        </w:rPr>
        <w:t>Vraag 2</w:t>
      </w:r>
    </w:p>
    <w:p w:rsidRPr="001D65A0" w:rsidR="008670DF" w:rsidP="008670DF" w:rsidRDefault="008670DF" w14:paraId="4B2DBC75" w14:textId="77777777">
      <w:pPr>
        <w:spacing w:line="240" w:lineRule="auto"/>
        <w:rPr>
          <w:b/>
          <w:bCs/>
        </w:rPr>
      </w:pPr>
      <w:r w:rsidRPr="001D65A0">
        <w:rPr>
          <w:b/>
          <w:bCs/>
        </w:rPr>
        <w:t>Hoe weegt u het feit dat 84% van door de Consumentenbond onderzochte populatie een totaalverbod op gokreclame steunt en 88% betere bescherming tegen dark patterns verlangt?</w:t>
      </w:r>
      <w:r w:rsidRPr="001D65A0">
        <w:rPr>
          <w:b/>
          <w:bCs/>
        </w:rPr>
        <w:br/>
      </w:r>
    </w:p>
    <w:p w:rsidRPr="00A95907" w:rsidR="008670DF" w:rsidP="008670DF" w:rsidRDefault="008670DF" w14:paraId="34A3C220" w14:textId="77777777">
      <w:pPr>
        <w:spacing w:line="240" w:lineRule="auto"/>
        <w:rPr>
          <w:b/>
          <w:bCs/>
        </w:rPr>
      </w:pPr>
      <w:r w:rsidRPr="00A95907">
        <w:rPr>
          <w:b/>
          <w:bCs/>
        </w:rPr>
        <w:t xml:space="preserve">Antwoord op vraag 2 </w:t>
      </w:r>
    </w:p>
    <w:p w:rsidRPr="00A95907" w:rsidR="008670DF" w:rsidP="008670DF" w:rsidRDefault="008670DF" w14:paraId="095B1581" w14:textId="77777777">
      <w:pPr>
        <w:spacing w:line="240" w:lineRule="auto"/>
      </w:pPr>
      <w:r w:rsidRPr="001D65A0">
        <w:t>De in het bericht van de Consumentenbond genoemde cijfers geven een belangrijk signaal af over maatschappelijke zorgen rond gokken. Ik neem dergelijke signalen serieus en betrek deze bij de uitwerking van de door mijn voorganger aangekondigde maatregelen rond kansspelen op afstand.</w:t>
      </w:r>
      <w:r w:rsidRPr="001D65A0">
        <w:rPr>
          <w:rStyle w:val="Voetnootmarkering"/>
        </w:rPr>
        <w:footnoteReference w:id="3"/>
      </w:r>
      <w:r w:rsidRPr="00A95907">
        <w:t xml:space="preserve"> </w:t>
      </w:r>
    </w:p>
    <w:p w:rsidRPr="00A95907" w:rsidR="008670DF" w:rsidP="008670DF" w:rsidRDefault="008670DF" w14:paraId="06549B1B" w14:textId="77777777">
      <w:pPr>
        <w:spacing w:line="240" w:lineRule="auto"/>
      </w:pPr>
    </w:p>
    <w:p w:rsidRPr="00A95907" w:rsidR="008670DF" w:rsidP="008670DF" w:rsidRDefault="008670DF" w14:paraId="76CF18D9" w14:textId="77777777">
      <w:pPr>
        <w:spacing w:line="240" w:lineRule="auto"/>
        <w:rPr>
          <w:b/>
          <w:bCs/>
        </w:rPr>
      </w:pPr>
      <w:r w:rsidRPr="00A95907">
        <w:rPr>
          <w:b/>
          <w:bCs/>
        </w:rPr>
        <w:t>Vraag 3</w:t>
      </w:r>
    </w:p>
    <w:p w:rsidRPr="001D65A0" w:rsidR="008670DF" w:rsidP="008670DF" w:rsidRDefault="008670DF" w14:paraId="01F925F6" w14:textId="77777777">
      <w:pPr>
        <w:spacing w:line="240" w:lineRule="auto"/>
        <w:rPr>
          <w:b/>
          <w:bCs/>
        </w:rPr>
      </w:pPr>
      <w:r w:rsidRPr="001D65A0">
        <w:rPr>
          <w:b/>
          <w:bCs/>
        </w:rPr>
        <w:t>Kunt u expliciet aangeven of u van oordeel bent dat de Wet kansspelen op afstand, zoals deze sinds 2021 wordt uitgevoerd, onvoldoende bescherming biedt aan kwetsbare spelers en waarop u dat oordeel baseert?</w:t>
      </w:r>
      <w:r w:rsidRPr="001D65A0">
        <w:rPr>
          <w:b/>
          <w:bCs/>
        </w:rPr>
        <w:br/>
      </w:r>
    </w:p>
    <w:p w:rsidRPr="00A95907" w:rsidR="008670DF" w:rsidP="008670DF" w:rsidRDefault="008670DF" w14:paraId="4E31FBD9" w14:textId="77777777">
      <w:pPr>
        <w:spacing w:line="240" w:lineRule="auto"/>
        <w:rPr>
          <w:b/>
          <w:bCs/>
        </w:rPr>
      </w:pPr>
      <w:r w:rsidRPr="00A95907">
        <w:rPr>
          <w:b/>
          <w:bCs/>
        </w:rPr>
        <w:lastRenderedPageBreak/>
        <w:t xml:space="preserve">Antwoord op vraag 3 </w:t>
      </w:r>
    </w:p>
    <w:p w:rsidRPr="00A95907" w:rsidR="008670DF" w:rsidP="008670DF" w:rsidRDefault="008670DF" w14:paraId="6E97977D" w14:textId="77777777">
      <w:pPr>
        <w:spacing w:line="240" w:lineRule="auto"/>
      </w:pPr>
      <w:r w:rsidRPr="001D65A0">
        <w:t>De Wet op de Kansspelen, zoals deze in 2021 is gewijzigd met de Wet kansspelen op afstand (hierna: Wet koa), biedt onvoldoende bescherming aan kwetsbare spelers. Dit is ook de algemene conclusie in de evaluatie van de Wet koa.</w:t>
      </w:r>
      <w:r w:rsidRPr="001D65A0">
        <w:rPr>
          <w:rStyle w:val="Voetnootmarkering"/>
        </w:rPr>
        <w:footnoteReference w:id="4"/>
      </w:r>
      <w:r w:rsidRPr="00A95907">
        <w:t xml:space="preserve"> Daarin concluderen de onderzoekers dat de invoering van de Wet koa tot op heden (nog) niet heeft bijgedragen aan een verantwoord en controleerbaar kansspelaanbod. Ook heeft het beleid volgens de onderzoekers geleid tot een grote groep nieuwe spelers, waaronder relatief veel jongvolwassenen. De Wet koa heeft wel geleid tot een betrouwbaar aanbod en tot een mate van controleerbaarheid en controle die groter is dan bij illegaal aanbod het geval is, aldus de onderzoekers. Daarnaast blijkt uit een analyse van TNO dat online gokken een systeem is met een sterke neiging tot escalatie, aangedreven door positieve feedbackloops in zowel vraag als aanbod. Volgens TNO zijn de beschermende maatregelen tegen onmatig speelgedrag en ter preventie van verslaving niet in staat gebleken deze zelfversterkende feedbackloops afdoende te bedwingen.</w:t>
      </w:r>
      <w:r w:rsidRPr="00A95907">
        <w:rPr>
          <w:rStyle w:val="Voetnootmarkering"/>
        </w:rPr>
        <w:footnoteReference w:id="5"/>
      </w:r>
      <w:r w:rsidRPr="00A95907">
        <w:t xml:space="preserve">  </w:t>
      </w:r>
    </w:p>
    <w:p w:rsidRPr="00A95907" w:rsidR="008670DF" w:rsidP="008670DF" w:rsidRDefault="008670DF" w14:paraId="489B7738" w14:textId="77777777">
      <w:pPr>
        <w:spacing w:line="240" w:lineRule="auto"/>
      </w:pPr>
    </w:p>
    <w:p w:rsidRPr="00A95907" w:rsidR="008670DF" w:rsidDel="00022283" w:rsidP="008670DF" w:rsidRDefault="008670DF" w14:paraId="0F396CE6" w14:textId="77777777">
      <w:pPr>
        <w:spacing w:line="240" w:lineRule="auto"/>
        <w:rPr>
          <w:b/>
          <w:bCs/>
        </w:rPr>
      </w:pPr>
      <w:r w:rsidRPr="00A95907" w:rsidDel="00022283">
        <w:rPr>
          <w:b/>
          <w:bCs/>
        </w:rPr>
        <w:t>Vraag 4</w:t>
      </w:r>
    </w:p>
    <w:p w:rsidRPr="001D65A0" w:rsidR="008670DF" w:rsidDel="00022283" w:rsidP="008670DF" w:rsidRDefault="008670DF" w14:paraId="291366F5" w14:textId="77777777">
      <w:pPr>
        <w:spacing w:line="240" w:lineRule="auto"/>
        <w:rPr>
          <w:b/>
          <w:bCs/>
        </w:rPr>
      </w:pPr>
      <w:r w:rsidRPr="001D65A0" w:rsidDel="00022283">
        <w:rPr>
          <w:b/>
          <w:bCs/>
        </w:rPr>
        <w:t>Bent u het ermee eens dat de belofte van “veilig en gecontroleerd” online gokken niet is waargemaakt, nu structureel sprake is van toenemende gokverslavingen, ernstige financiële schade bij gedupeerde burgers en het gebruik van gedragsbeïnvloedende technieken door legale aanbieders?</w:t>
      </w:r>
      <w:r w:rsidRPr="001D65A0" w:rsidDel="00022283">
        <w:rPr>
          <w:b/>
          <w:bCs/>
        </w:rPr>
        <w:br/>
      </w:r>
    </w:p>
    <w:p w:rsidRPr="00A95907" w:rsidR="008670DF" w:rsidP="008670DF" w:rsidRDefault="008670DF" w14:paraId="68618FB5" w14:textId="77777777">
      <w:pPr>
        <w:spacing w:line="240" w:lineRule="auto"/>
        <w:rPr>
          <w:b/>
          <w:bCs/>
        </w:rPr>
      </w:pPr>
      <w:r w:rsidRPr="00A95907">
        <w:rPr>
          <w:b/>
          <w:bCs/>
        </w:rPr>
        <w:t>Antwoord op vraag 4</w:t>
      </w:r>
    </w:p>
    <w:p w:rsidRPr="00A95907" w:rsidR="008670DF" w:rsidP="008670DF" w:rsidRDefault="008670DF" w14:paraId="01D2F045" w14:textId="77777777">
      <w:pPr>
        <w:spacing w:line="240" w:lineRule="auto"/>
      </w:pPr>
      <w:r w:rsidRPr="00A95907">
        <w:t xml:space="preserve">Zoals ik hiervoor in het antwoord op vraag 3 heb genoemd, biedt de Wet koa onvoldoende bescherming aan kwetsbare spelers. De Wet koa ging uit van de eigen verantwoordelijkheid van de speler en de bescherming beperkte zich daarbij tot consumenten en het voorkomen van kansspelverslaving. De toen gekozen insteek blijkt problematisch te zijn, zo blijkt uit de evaluatie van de Wet koa, en betere bescherming is nodig. </w:t>
      </w:r>
    </w:p>
    <w:p w:rsidRPr="00A95907" w:rsidR="008670DF" w:rsidP="008670DF" w:rsidRDefault="008670DF" w14:paraId="14582E8E" w14:textId="77777777">
      <w:pPr>
        <w:spacing w:line="240" w:lineRule="auto"/>
      </w:pPr>
    </w:p>
    <w:p w:rsidRPr="00A95907" w:rsidR="008670DF" w:rsidP="008670DF" w:rsidRDefault="008670DF" w14:paraId="15FECCDE" w14:textId="77777777">
      <w:pPr>
        <w:spacing w:line="240" w:lineRule="auto"/>
        <w:rPr>
          <w:b/>
          <w:bCs/>
        </w:rPr>
      </w:pPr>
      <w:r w:rsidRPr="00A95907">
        <w:rPr>
          <w:b/>
          <w:bCs/>
        </w:rPr>
        <w:t>Vraag 5</w:t>
      </w:r>
    </w:p>
    <w:p w:rsidRPr="001D65A0" w:rsidR="008670DF" w:rsidP="008670DF" w:rsidRDefault="008670DF" w14:paraId="6B060B81" w14:textId="77777777">
      <w:pPr>
        <w:spacing w:line="240" w:lineRule="auto"/>
        <w:rPr>
          <w:b/>
          <w:bCs/>
        </w:rPr>
      </w:pPr>
      <w:r w:rsidRPr="001D65A0">
        <w:rPr>
          <w:b/>
          <w:bCs/>
        </w:rPr>
        <w:t>Deelt u de opvatting dat het toepassen van dergelijke gedragsbeïnvloedende technieken door vergunninghoudende gokbedrijven onverenigbaar is met hun zorgplicht, juist omdat zij aantoonbaar bijdragen aan problematisch speelgedrag?</w:t>
      </w:r>
      <w:r w:rsidRPr="001D65A0">
        <w:rPr>
          <w:b/>
          <w:bCs/>
        </w:rPr>
        <w:br/>
      </w:r>
    </w:p>
    <w:p w:rsidRPr="00A95907" w:rsidR="008670DF" w:rsidP="008670DF" w:rsidRDefault="008670DF" w14:paraId="61F4502B" w14:textId="77777777">
      <w:pPr>
        <w:spacing w:line="240" w:lineRule="auto"/>
        <w:rPr>
          <w:b/>
          <w:bCs/>
        </w:rPr>
      </w:pPr>
      <w:r w:rsidRPr="00A95907">
        <w:rPr>
          <w:b/>
          <w:bCs/>
        </w:rPr>
        <w:t>Antwoord op vraag 5</w:t>
      </w:r>
    </w:p>
    <w:p w:rsidRPr="00A95907" w:rsidR="008670DF" w:rsidP="008670DF" w:rsidRDefault="008670DF" w14:paraId="74B468A5" w14:textId="77777777">
      <w:pPr>
        <w:spacing w:line="240" w:lineRule="auto"/>
      </w:pPr>
      <w:r w:rsidRPr="001D65A0">
        <w:lastRenderedPageBreak/>
        <w:t>Onderzoeksbureau Behavioural Insights heeft in opdracht van de Ksa onderzoek gedaan naar gedragsbeïnvloeding op bepaalde online kansspelplatformen. Uit het rapport, dat in september 2025 is opgeleverd, komt naar voren dat online kansspelaanbieders zowel op positieve als negatieve wijze gebruik maken van gedragsbeïnvloeding om het gedrag van consumenten te sturen. Positieve gedragsbeïnvloeding zijn bijvoorbeeld ontwerptechnieken om mensen te helpen weloverwogen keuzes te maken. Negatief bijvoorbeeld als de beslisomgeving wordt ingericht met als doel om mensen zo veel mogelijk te laten inzetten of zo lang mogelijk te laten spelen. Dit laatste is kwalijk en onwenselijk in het kader van bescherming van mensen tegen gokschade.</w:t>
      </w:r>
    </w:p>
    <w:p w:rsidRPr="00A95907" w:rsidR="008670DF" w:rsidP="008670DF" w:rsidRDefault="008670DF" w14:paraId="481F78C7" w14:textId="77777777">
      <w:pPr>
        <w:spacing w:line="240" w:lineRule="auto"/>
      </w:pPr>
    </w:p>
    <w:p w:rsidRPr="00A95907" w:rsidR="008670DF" w:rsidP="008670DF" w:rsidRDefault="008670DF" w14:paraId="7A69476D" w14:textId="77777777">
      <w:pPr>
        <w:spacing w:line="240" w:lineRule="auto"/>
        <w:rPr>
          <w:b/>
          <w:bCs/>
        </w:rPr>
      </w:pPr>
      <w:r w:rsidRPr="00A95907">
        <w:rPr>
          <w:b/>
          <w:bCs/>
        </w:rPr>
        <w:t>Vraag 6</w:t>
      </w:r>
    </w:p>
    <w:p w:rsidRPr="001D65A0" w:rsidR="008670DF" w:rsidP="008670DF" w:rsidRDefault="008670DF" w14:paraId="33E61856" w14:textId="77777777">
      <w:pPr>
        <w:spacing w:line="240" w:lineRule="auto"/>
        <w:rPr>
          <w:b/>
          <w:bCs/>
        </w:rPr>
      </w:pPr>
      <w:r w:rsidRPr="001D65A0">
        <w:rPr>
          <w:b/>
          <w:bCs/>
        </w:rPr>
        <w:t>Is het ontbreken van een expliciet wettelijk verbod op dark patterns een lacune in de bescherming van burgers die actief zijn op online gokplatforms? Zo ja, hoe en op welke wijze en termijn bent u van plan dit probleem aan te pakken?</w:t>
      </w:r>
      <w:r w:rsidRPr="001D65A0">
        <w:rPr>
          <w:b/>
          <w:bCs/>
        </w:rPr>
        <w:br/>
      </w:r>
    </w:p>
    <w:p w:rsidRPr="00A95907" w:rsidR="008670DF" w:rsidP="008670DF" w:rsidRDefault="008670DF" w14:paraId="1D4058E9" w14:textId="77777777">
      <w:pPr>
        <w:spacing w:line="240" w:lineRule="auto"/>
        <w:rPr>
          <w:b/>
          <w:bCs/>
        </w:rPr>
      </w:pPr>
      <w:r w:rsidRPr="00A95907">
        <w:rPr>
          <w:b/>
          <w:bCs/>
        </w:rPr>
        <w:t xml:space="preserve">Antwoord op vraag 6 </w:t>
      </w:r>
    </w:p>
    <w:p w:rsidRPr="00A95907" w:rsidR="008670DF" w:rsidP="008670DF" w:rsidRDefault="008670DF" w14:paraId="489FA8ED" w14:textId="77777777">
      <w:pPr>
        <w:spacing w:line="240" w:lineRule="auto"/>
      </w:pPr>
      <w:r w:rsidRPr="001D65A0">
        <w:t>Bij de uitwerking van de aangekondigde maatregelen wordt ook gekeken naar de gedragsbeïnvloedende technieken die worden toegepast en of het noodzakelijk is om daar de wet- en regelgeving op aan te passen. Hier kan ik nu nog niet op vooruitlopen.</w:t>
      </w:r>
    </w:p>
    <w:p w:rsidRPr="00A95907" w:rsidR="008670DF" w:rsidP="008670DF" w:rsidRDefault="008670DF" w14:paraId="30207479" w14:textId="77777777">
      <w:pPr>
        <w:spacing w:line="240" w:lineRule="auto"/>
      </w:pPr>
    </w:p>
    <w:p w:rsidRPr="00A95907" w:rsidR="008670DF" w:rsidP="008670DF" w:rsidRDefault="008670DF" w14:paraId="682120C5" w14:textId="77777777">
      <w:pPr>
        <w:spacing w:line="240" w:lineRule="auto"/>
        <w:rPr>
          <w:b/>
          <w:bCs/>
        </w:rPr>
      </w:pPr>
      <w:r w:rsidRPr="00A95907">
        <w:rPr>
          <w:b/>
          <w:bCs/>
        </w:rPr>
        <w:t>Vraag 7</w:t>
      </w:r>
    </w:p>
    <w:p w:rsidRPr="001D65A0" w:rsidR="008670DF" w:rsidP="008670DF" w:rsidRDefault="008670DF" w14:paraId="59F30519" w14:textId="77777777">
      <w:pPr>
        <w:spacing w:line="240" w:lineRule="auto"/>
        <w:rPr>
          <w:b/>
          <w:bCs/>
        </w:rPr>
      </w:pPr>
      <w:r w:rsidRPr="001D65A0">
        <w:rPr>
          <w:b/>
          <w:bCs/>
        </w:rPr>
        <w:t>Hoe beoordeelt u de vaststelling van de Consumentenbond dat meerdere legale aanbieders werken met oneerlijke standaardinstellingen en extreem hoge speellimieten, en kunt u bevestigen of dit naar uw oordeel in strijd is met geldende wet- en regelgeving?</w:t>
      </w:r>
    </w:p>
    <w:p w:rsidRPr="00A95907" w:rsidR="008670DF" w:rsidP="008670DF" w:rsidRDefault="008670DF" w14:paraId="5B17809F" w14:textId="77777777">
      <w:pPr>
        <w:spacing w:line="240" w:lineRule="auto"/>
      </w:pPr>
    </w:p>
    <w:p w:rsidRPr="00A95907" w:rsidR="008670DF" w:rsidP="008670DF" w:rsidRDefault="008670DF" w14:paraId="2FAE4D39" w14:textId="77777777">
      <w:pPr>
        <w:spacing w:line="240" w:lineRule="auto"/>
        <w:rPr>
          <w:b/>
          <w:bCs/>
        </w:rPr>
      </w:pPr>
      <w:r w:rsidRPr="00A95907">
        <w:rPr>
          <w:b/>
          <w:bCs/>
        </w:rPr>
        <w:t>Vraag 8</w:t>
      </w:r>
    </w:p>
    <w:p w:rsidRPr="001D65A0" w:rsidR="008670DF" w:rsidP="008670DF" w:rsidRDefault="008670DF" w14:paraId="4CD5480B" w14:textId="77777777">
      <w:pPr>
        <w:spacing w:line="240" w:lineRule="auto"/>
        <w:rPr>
          <w:b/>
          <w:bCs/>
        </w:rPr>
      </w:pPr>
      <w:r w:rsidRPr="001D65A0">
        <w:rPr>
          <w:b/>
          <w:bCs/>
        </w:rPr>
        <w:t>Kunt u concreet aangeven welke maximale speellimieten en welke uitgangspunten voor standaardinstellingen momenteel wettelijk of beleidsmatig gelden, en waarom deze niet hebben voorkomen dat spelers gemiddeld duizenden euro’s verliezen?</w:t>
      </w:r>
    </w:p>
    <w:p w:rsidR="008670DF" w:rsidP="008670DF" w:rsidRDefault="008670DF" w14:paraId="2D399AA6" w14:textId="77777777">
      <w:pPr>
        <w:spacing w:line="240" w:lineRule="auto"/>
      </w:pPr>
    </w:p>
    <w:p w:rsidRPr="00A95907" w:rsidR="008670DF" w:rsidP="008670DF" w:rsidRDefault="008670DF" w14:paraId="15EEA52E" w14:textId="77777777">
      <w:pPr>
        <w:spacing w:line="240" w:lineRule="auto"/>
      </w:pPr>
    </w:p>
    <w:p w:rsidRPr="00A95907" w:rsidR="008670DF" w:rsidP="008670DF" w:rsidRDefault="008670DF" w14:paraId="7F438523" w14:textId="77777777">
      <w:pPr>
        <w:spacing w:line="240" w:lineRule="auto"/>
        <w:rPr>
          <w:b/>
          <w:bCs/>
        </w:rPr>
      </w:pPr>
      <w:r w:rsidRPr="00A95907">
        <w:rPr>
          <w:b/>
          <w:bCs/>
        </w:rPr>
        <w:t>Antwoord op vraag 7 en 8</w:t>
      </w:r>
    </w:p>
    <w:p w:rsidRPr="00A95907" w:rsidR="008670DF" w:rsidP="008670DF" w:rsidRDefault="008670DF" w14:paraId="5C578F17" w14:textId="77777777">
      <w:pPr>
        <w:spacing w:line="240" w:lineRule="auto"/>
      </w:pPr>
      <w:r w:rsidRPr="00A95907">
        <w:t xml:space="preserve">Het onderzoek van de Consumentenbond waarin extreem hoge speellimieten en oneerlijke standaardinstellingen werden vastgesteld is gepubliceerd in november </w:t>
      </w:r>
      <w:r w:rsidRPr="00A95907">
        <w:lastRenderedPageBreak/>
        <w:t>2023. Inmiddels is de regelgeving op dit onderwerp aangepast en zijn op 1 oktober 2024, vooruitlopend op de evaluatie van de Wet koa, maatregelen ingevoerd op het gebied van speellimieten en spelersbescherming.</w:t>
      </w:r>
      <w:r w:rsidRPr="00A95907">
        <w:rPr>
          <w:rStyle w:val="Voetnootmarkering"/>
        </w:rPr>
        <w:footnoteReference w:id="6"/>
      </w:r>
      <w:r w:rsidRPr="00A95907">
        <w:t xml:space="preserve"> Op basis van de Regeling speellimieten en bewuster speelgedrag en de Beleidsregel Verantwoord Spelen 2024 van de Ksa</w:t>
      </w:r>
      <w:r w:rsidRPr="00A95907" w:rsidDel="003B2773">
        <w:t xml:space="preserve"> </w:t>
      </w:r>
      <w:r w:rsidRPr="00A95907">
        <w:t>gelden stortingslimieten waarbij spelers worden verplicht contact op te nemen met de vergunninghouder wanneer zij een maandelijkse stortingslimiet van 350 euro of hoger willen instellen (150 euro voor jongvolwassenen tot 24 jaar) en waarbij de vergunninghouder verplicht is de financiële draagkracht van een speler na te gaan wanneer deze meer dan 700 euro in de maand stort (300 euro voor jongvolwassenen tot 24 jaar). Daarnaast geldt op basis van deze maatregelen dat het instellen van limieten plaats dient te vinden in een neutrale keuzearchitectuur, waarbij de speler zo min mogelijk wordt beïnvloed door gedragsbeïnvloedingstechnieken. Oneerlijke standaardinstellingen of extreem hoge speellimieten zijn binnen deze regelgeving niet meer toegestaan. Verder dienen limieten verplicht in euro’s te worden weergegeven en gelden verplichte pop-ups tijdens het spelen. Uit de effectmetingen van de Ksa blijkt dat deze maatregelen effect hebben omdat spelers bij vergunde aanbieders minder hoge limieten instellen en minder verliezen na de genoemde wijziging van de regelgeving. Dit is uiteengezet in de brief aan uw Kamer op 3 juli 2025.</w:t>
      </w:r>
      <w:r w:rsidRPr="00A95907">
        <w:rPr>
          <w:rStyle w:val="Voetnootmarkering"/>
        </w:rPr>
        <w:footnoteReference w:id="7"/>
      </w:r>
      <w:r w:rsidRPr="00A95907">
        <w:t xml:space="preserve"> </w:t>
      </w:r>
    </w:p>
    <w:p w:rsidRPr="00A95907" w:rsidR="008670DF" w:rsidP="008670DF" w:rsidRDefault="008670DF" w14:paraId="26195D78" w14:textId="77777777">
      <w:pPr>
        <w:spacing w:line="240" w:lineRule="auto"/>
      </w:pPr>
    </w:p>
    <w:p w:rsidRPr="00A95907" w:rsidR="008670DF" w:rsidP="008670DF" w:rsidRDefault="008670DF" w14:paraId="36237E97" w14:textId="77777777">
      <w:pPr>
        <w:spacing w:line="240" w:lineRule="auto"/>
      </w:pPr>
      <w:r w:rsidRPr="00A95907">
        <w:t>De Ksa houdt toezicht op de naleving van deze regelgeving en treedt op bij overtredingen, zoals bij de recente bindende aanwijzing voor Hillside in het kader van de zorgplicht en nagaan van de draagkracht van spelers.</w:t>
      </w:r>
      <w:r w:rsidRPr="00A95907">
        <w:rPr>
          <w:rStyle w:val="Voetnootmarkering"/>
        </w:rPr>
        <w:footnoteReference w:id="8"/>
      </w:r>
    </w:p>
    <w:p w:rsidRPr="00A95907" w:rsidR="008670DF" w:rsidP="008670DF" w:rsidRDefault="008670DF" w14:paraId="0ABC30F7" w14:textId="77777777">
      <w:pPr>
        <w:spacing w:line="240" w:lineRule="auto"/>
      </w:pPr>
    </w:p>
    <w:p w:rsidRPr="00A95907" w:rsidR="008670DF" w:rsidP="008670DF" w:rsidRDefault="008670DF" w14:paraId="70AF197E" w14:textId="77777777">
      <w:pPr>
        <w:spacing w:line="240" w:lineRule="auto"/>
        <w:rPr>
          <w:b/>
          <w:bCs/>
        </w:rPr>
      </w:pPr>
      <w:r w:rsidRPr="00A95907">
        <w:rPr>
          <w:b/>
          <w:bCs/>
        </w:rPr>
        <w:t>Vraag 9</w:t>
      </w:r>
    </w:p>
    <w:p w:rsidRPr="001D65A0" w:rsidR="008670DF" w:rsidP="008670DF" w:rsidRDefault="008670DF" w14:paraId="0871E599" w14:textId="77777777">
      <w:pPr>
        <w:spacing w:line="240" w:lineRule="auto"/>
        <w:rPr>
          <w:b/>
          <w:bCs/>
        </w:rPr>
      </w:pPr>
      <w:r w:rsidRPr="001D65A0">
        <w:rPr>
          <w:b/>
          <w:bCs/>
        </w:rPr>
        <w:t>Hoe vaak heeft de Kansspelautoriteit sinds 2021 handhavend opgetreden tegen legale aanbieders wegens schending van de zorgplicht, en kunt u daarbij per jaar aangeven hoeveel waarschuwingen, boetes en vergunningmaatregelen zijn opgelegd? Acht u deze handhavingspraktijk, bezien in het licht van de huidige maatschappelijke schade en de lopende massaclaim, voldoende afschrikwekkend, en zo ja, waarom?</w:t>
      </w:r>
    </w:p>
    <w:p w:rsidRPr="00A95907" w:rsidR="008670DF" w:rsidP="008670DF" w:rsidRDefault="008670DF" w14:paraId="1481C493" w14:textId="77777777">
      <w:pPr>
        <w:spacing w:line="240" w:lineRule="auto"/>
        <w:rPr>
          <w:b/>
          <w:bCs/>
        </w:rPr>
      </w:pPr>
    </w:p>
    <w:p w:rsidRPr="00A95907" w:rsidR="008670DF" w:rsidP="008670DF" w:rsidRDefault="008670DF" w14:paraId="515EF266" w14:textId="77777777">
      <w:pPr>
        <w:spacing w:line="240" w:lineRule="auto"/>
        <w:rPr>
          <w:b/>
          <w:bCs/>
        </w:rPr>
      </w:pPr>
      <w:r w:rsidRPr="00A95907">
        <w:rPr>
          <w:b/>
          <w:bCs/>
        </w:rPr>
        <w:t xml:space="preserve">Antwoord op vraag 9 </w:t>
      </w:r>
    </w:p>
    <w:p w:rsidRPr="001D65A0" w:rsidR="008670DF" w:rsidP="008670DF" w:rsidRDefault="008670DF" w14:paraId="42861955" w14:textId="77777777">
      <w:pPr>
        <w:spacing w:line="240" w:lineRule="auto"/>
      </w:pPr>
      <w:r w:rsidRPr="001D65A0">
        <w:t>In 2023, 2024 en 2025 heeft de Ksa het volgende aantal waarschuwingen gegeven en boetes opgelegd aan vergunde aanbieders:</w:t>
      </w:r>
    </w:p>
    <w:p w:rsidRPr="001D65A0" w:rsidR="008670DF" w:rsidP="008670DF" w:rsidRDefault="008670DF" w14:paraId="2D86A966" w14:textId="77777777">
      <w:pPr>
        <w:spacing w:line="240" w:lineRule="auto"/>
      </w:pPr>
    </w:p>
    <w:tbl>
      <w:tblPr>
        <w:tblW w:w="0" w:type="auto"/>
        <w:shd w:val="clear" w:color="auto" w:fill="FFFFFF" w:themeFill="background1"/>
        <w:tblCellMar>
          <w:left w:w="0" w:type="dxa"/>
          <w:right w:w="0" w:type="dxa"/>
        </w:tblCellMar>
        <w:tblLook w:val="04A0" w:firstRow="1" w:lastRow="0" w:firstColumn="1" w:lastColumn="0" w:noHBand="0" w:noVBand="1"/>
      </w:tblPr>
      <w:tblGrid>
        <w:gridCol w:w="3183"/>
        <w:gridCol w:w="1568"/>
        <w:gridCol w:w="1414"/>
        <w:gridCol w:w="1356"/>
      </w:tblGrid>
      <w:tr w:rsidRPr="001D65A0" w:rsidR="008670DF" w:rsidTr="00E427C4" w14:paraId="13D1F440" w14:textId="77777777">
        <w:tc>
          <w:tcPr>
            <w:tcW w:w="3417"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221D6787" w14:textId="77777777">
            <w:pPr>
              <w:spacing w:line="240" w:lineRule="auto"/>
            </w:pPr>
            <w:r w:rsidRPr="001D65A0">
              <w:lastRenderedPageBreak/>
              <w:t>Interventie</w:t>
            </w:r>
          </w:p>
        </w:tc>
        <w:tc>
          <w:tcPr>
            <w:tcW w:w="1716"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5D1965BB" w14:textId="77777777">
            <w:pPr>
              <w:spacing w:line="240" w:lineRule="auto"/>
            </w:pPr>
            <w:r w:rsidRPr="001D65A0">
              <w:t>2025</w:t>
            </w:r>
          </w:p>
        </w:tc>
        <w:tc>
          <w:tcPr>
            <w:tcW w:w="153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32609FE9" w14:textId="77777777">
            <w:pPr>
              <w:spacing w:line="240" w:lineRule="auto"/>
            </w:pPr>
            <w:r w:rsidRPr="001D65A0">
              <w:t>2024</w:t>
            </w:r>
          </w:p>
        </w:tc>
        <w:tc>
          <w:tcPr>
            <w:tcW w:w="1469"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3FE3737A" w14:textId="77777777">
            <w:pPr>
              <w:spacing w:line="240" w:lineRule="auto"/>
            </w:pPr>
            <w:r w:rsidRPr="001D65A0">
              <w:t>2023</w:t>
            </w:r>
          </w:p>
        </w:tc>
      </w:tr>
      <w:tr w:rsidRPr="001D65A0" w:rsidR="008670DF" w:rsidTr="00E427C4" w14:paraId="0A2E0402" w14:textId="77777777">
        <w:tc>
          <w:tcPr>
            <w:tcW w:w="3417"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7894086C" w14:textId="77777777">
            <w:pPr>
              <w:spacing w:line="240" w:lineRule="auto"/>
            </w:pPr>
            <w:r w:rsidRPr="001D65A0">
              <w:t>Waarschuwingen</w:t>
            </w:r>
          </w:p>
        </w:tc>
        <w:tc>
          <w:tcPr>
            <w:tcW w:w="171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62141AE2" w14:textId="77777777">
            <w:pPr>
              <w:spacing w:line="240" w:lineRule="auto"/>
            </w:pPr>
            <w:r w:rsidRPr="001D65A0">
              <w:t>38</w:t>
            </w:r>
          </w:p>
        </w:tc>
        <w:tc>
          <w:tcPr>
            <w:tcW w:w="153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38582F7C" w14:textId="77777777">
            <w:pPr>
              <w:spacing w:line="240" w:lineRule="auto"/>
            </w:pPr>
            <w:r w:rsidRPr="001D65A0">
              <w:t>37</w:t>
            </w:r>
          </w:p>
        </w:tc>
        <w:tc>
          <w:tcPr>
            <w:tcW w:w="146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2A228AA7" w14:textId="77777777">
            <w:pPr>
              <w:spacing w:line="240" w:lineRule="auto"/>
            </w:pPr>
            <w:r w:rsidRPr="001D65A0">
              <w:t>16</w:t>
            </w:r>
          </w:p>
        </w:tc>
      </w:tr>
      <w:tr w:rsidRPr="00A95907" w:rsidR="008670DF" w:rsidTr="00E427C4" w14:paraId="7224F97B" w14:textId="77777777">
        <w:tc>
          <w:tcPr>
            <w:tcW w:w="3417"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225C8450" w14:textId="77777777">
            <w:pPr>
              <w:spacing w:line="240" w:lineRule="auto"/>
            </w:pPr>
            <w:r w:rsidRPr="001D65A0">
              <w:t>Boetes</w:t>
            </w:r>
          </w:p>
        </w:tc>
        <w:tc>
          <w:tcPr>
            <w:tcW w:w="171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524CC4C2" w14:textId="77777777">
            <w:pPr>
              <w:spacing w:line="240" w:lineRule="auto"/>
            </w:pPr>
            <w:r w:rsidRPr="001D65A0">
              <w:t>5</w:t>
            </w:r>
          </w:p>
        </w:tc>
        <w:tc>
          <w:tcPr>
            <w:tcW w:w="153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1D65A0" w:rsidR="008670DF" w:rsidP="00E427C4" w:rsidRDefault="008670DF" w14:paraId="66251C31" w14:textId="77777777">
            <w:pPr>
              <w:spacing w:line="240" w:lineRule="auto"/>
            </w:pPr>
            <w:r w:rsidRPr="001D65A0">
              <w:t>2</w:t>
            </w:r>
          </w:p>
        </w:tc>
        <w:tc>
          <w:tcPr>
            <w:tcW w:w="146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A95907" w:rsidR="008670DF" w:rsidP="00E427C4" w:rsidRDefault="008670DF" w14:paraId="38B77C36" w14:textId="77777777">
            <w:pPr>
              <w:spacing w:line="240" w:lineRule="auto"/>
            </w:pPr>
            <w:r w:rsidRPr="001D65A0">
              <w:t>8</w:t>
            </w:r>
          </w:p>
        </w:tc>
      </w:tr>
    </w:tbl>
    <w:p w:rsidRPr="00A95907" w:rsidR="008670DF" w:rsidP="008670DF" w:rsidRDefault="008670DF" w14:paraId="0F83EA09" w14:textId="77777777">
      <w:pPr>
        <w:spacing w:line="240" w:lineRule="auto"/>
      </w:pPr>
    </w:p>
    <w:p w:rsidRPr="00A95907" w:rsidR="008670DF" w:rsidP="008670DF" w:rsidRDefault="008670DF" w14:paraId="52B6029B" w14:textId="77777777">
      <w:pPr>
        <w:spacing w:line="240" w:lineRule="auto"/>
      </w:pPr>
      <w:r w:rsidRPr="00A95907">
        <w:t>Een groot deel van het aantal waarschuwingen aan de legale aanbieders had betrekking op de zorgplicht. Ook hebben alle vijf boetes in 2025 betrekking gehad op overtredingen van de zorgplicht. Gezien de lange doorlooptijden van boetetrajecten, hebben de boetes van 2025 betrekking op overtredingen van de zorgplicht die plaatsvonden na de opening van de markt in 2021 t/m 2023. Een aantal onderzoekdossiers in het kader van de zorgplicht wacht nog op een mogelijke handhavingsactie van de Ksa. Naast waarschuwingen en boetes maakt de Ksa ook gebruik van lasten onder dwangsom, aanwijzingen en normoverdragende gesprekken als handhavingsopties om ervoor te zorgen dat de legale aanbieders zich houden aan de zorgplichtregels. Als in de vraagstelling met ‘vergunningsmaatregelen’ intrekking van de vergunning wordt bedoeld, dan is het antwoord dat dit niet heeft plaatsgevonden.</w:t>
      </w:r>
    </w:p>
    <w:p w:rsidRPr="00A95907" w:rsidR="008670DF" w:rsidP="008670DF" w:rsidRDefault="008670DF" w14:paraId="2B8EDC03" w14:textId="77777777">
      <w:pPr>
        <w:spacing w:line="240" w:lineRule="auto"/>
      </w:pPr>
    </w:p>
    <w:p w:rsidRPr="00A95907" w:rsidR="008670DF" w:rsidP="008670DF" w:rsidRDefault="008670DF" w14:paraId="229B218E" w14:textId="77777777">
      <w:pPr>
        <w:spacing w:line="240" w:lineRule="auto"/>
      </w:pPr>
      <w:r w:rsidRPr="00A95907">
        <w:t>Het is aan de Ksa of en hoe zij in een individueel geval handhaven. Ik kan geen uitspraken doen over of de huidige handhavingspraktijk al dan niet voldoende afschrikwekkend is. Wel erken ik dat het instrumentarium van de Ksa voor toezicht en handhaving op vergunde aanbieders verbetering behoeft. In het traject tot wijziging van wet- en regelgeving van online kansspelen wordt dit meegenomen. Daarnaast kan de aanscherping van de zorgplicht waaraan ik eveneens werk ook bijdragen aan verbeterde toezicht en handhaving.</w:t>
      </w:r>
    </w:p>
    <w:p w:rsidRPr="00A95907" w:rsidR="008670DF" w:rsidP="008670DF" w:rsidRDefault="008670DF" w14:paraId="3462FC7C" w14:textId="77777777">
      <w:pPr>
        <w:spacing w:line="240" w:lineRule="auto"/>
      </w:pPr>
      <w:r w:rsidRPr="00A95907">
        <w:t xml:space="preserve"> </w:t>
      </w:r>
    </w:p>
    <w:p w:rsidRPr="00A95907" w:rsidR="008670DF" w:rsidP="008670DF" w:rsidRDefault="008670DF" w14:paraId="547CE7DA" w14:textId="77777777">
      <w:pPr>
        <w:spacing w:line="240" w:lineRule="auto"/>
        <w:rPr>
          <w:b/>
          <w:bCs/>
        </w:rPr>
      </w:pPr>
      <w:r w:rsidRPr="00A95907">
        <w:rPr>
          <w:b/>
          <w:bCs/>
        </w:rPr>
        <w:t>Vraag 10</w:t>
      </w:r>
    </w:p>
    <w:p w:rsidRPr="001D65A0" w:rsidR="008670DF" w:rsidP="008670DF" w:rsidRDefault="008670DF" w14:paraId="56D788FC" w14:textId="77777777">
      <w:pPr>
        <w:spacing w:line="240" w:lineRule="auto"/>
        <w:rPr>
          <w:b/>
          <w:bCs/>
        </w:rPr>
      </w:pPr>
      <w:r w:rsidRPr="001D65A0">
        <w:rPr>
          <w:b/>
          <w:bCs/>
        </w:rPr>
        <w:t>Deelt u de juridische opvatting dat het structureel schenden van de zorgplicht en het toepassen van verboden of misleidende technieken kan worden aangemerkt als onrechtmatig handelen, met als mogelijke consequentie ongeldigverklaring van contracten en schadevergoeding aan gedupeerden?</w:t>
      </w:r>
      <w:r w:rsidRPr="001D65A0">
        <w:rPr>
          <w:b/>
          <w:bCs/>
        </w:rPr>
        <w:br/>
      </w:r>
    </w:p>
    <w:p w:rsidRPr="00A95907" w:rsidR="008670DF" w:rsidP="008670DF" w:rsidRDefault="008670DF" w14:paraId="25AF0FE1" w14:textId="77777777">
      <w:pPr>
        <w:spacing w:line="240" w:lineRule="auto"/>
        <w:rPr>
          <w:b/>
          <w:bCs/>
        </w:rPr>
      </w:pPr>
      <w:r w:rsidRPr="00A95907">
        <w:rPr>
          <w:b/>
          <w:bCs/>
        </w:rPr>
        <w:t xml:space="preserve">Antwoord op vraag 10 </w:t>
      </w:r>
    </w:p>
    <w:p w:rsidRPr="00A95907" w:rsidR="008670DF" w:rsidP="008670DF" w:rsidRDefault="008670DF" w14:paraId="4800E688" w14:textId="77777777">
      <w:pPr>
        <w:spacing w:line="240" w:lineRule="auto"/>
      </w:pPr>
      <w:r w:rsidRPr="001D65A0">
        <w:t>Dit zal per individueel geval moeten worden bekeken en hangt af van hetgeen, bijvoorbeeld ongeldigverklaring van contracten en schadevergoeding, daadwerkelijk wordt geëist in een juridische procedure. Een oordeel hierover is aan de rechter.</w:t>
      </w:r>
      <w:r w:rsidRPr="00A95907">
        <w:t xml:space="preserve"> In het kader van het traject tot wijziging van wet- en regelgeving op het gebied van kansspelen op afstand onderzoek ik in hoeverre de rechtspositie van spelers van online kansspelen kan worden verbeterd bij (gestelde) schending van de zorgplichtregels en regels rond verslavingspreventie.</w:t>
      </w:r>
    </w:p>
    <w:p w:rsidRPr="00A95907" w:rsidR="008670DF" w:rsidP="008670DF" w:rsidRDefault="008670DF" w14:paraId="6598C74C" w14:textId="77777777">
      <w:pPr>
        <w:spacing w:line="240" w:lineRule="auto"/>
      </w:pPr>
    </w:p>
    <w:p w:rsidRPr="00A95907" w:rsidR="008670DF" w:rsidP="008670DF" w:rsidRDefault="008670DF" w14:paraId="31228AEC" w14:textId="77777777">
      <w:pPr>
        <w:spacing w:line="240" w:lineRule="auto"/>
        <w:rPr>
          <w:b/>
          <w:bCs/>
        </w:rPr>
      </w:pPr>
      <w:r w:rsidRPr="00A95907">
        <w:rPr>
          <w:b/>
          <w:bCs/>
        </w:rPr>
        <w:t>Vraag 11</w:t>
      </w:r>
    </w:p>
    <w:p w:rsidRPr="001D65A0" w:rsidR="008670DF" w:rsidP="008670DF" w:rsidRDefault="008670DF" w14:paraId="1538512F" w14:textId="77777777">
      <w:pPr>
        <w:spacing w:line="240" w:lineRule="auto"/>
        <w:rPr>
          <w:b/>
          <w:bCs/>
        </w:rPr>
      </w:pPr>
      <w:r w:rsidRPr="001D65A0">
        <w:rPr>
          <w:b/>
          <w:bCs/>
        </w:rPr>
        <w:t>Welke concrete gevolgen zou een rechterlijke vaststelling van dergelijk onrechtmatig handelen volgens u moeten hebben voor de vergunningverlening, verlenging of intrekking bij betrokken aanbieders?</w:t>
      </w:r>
      <w:r w:rsidRPr="001D65A0">
        <w:rPr>
          <w:b/>
          <w:bCs/>
        </w:rPr>
        <w:br/>
      </w:r>
    </w:p>
    <w:p w:rsidRPr="00A95907" w:rsidR="008670DF" w:rsidP="008670DF" w:rsidRDefault="008670DF" w14:paraId="2C8F3C8F" w14:textId="77777777">
      <w:pPr>
        <w:spacing w:line="240" w:lineRule="auto"/>
        <w:rPr>
          <w:b/>
          <w:bCs/>
        </w:rPr>
      </w:pPr>
      <w:r w:rsidRPr="00A95907">
        <w:rPr>
          <w:b/>
          <w:bCs/>
        </w:rPr>
        <w:t xml:space="preserve">Antwoord op vraag 11 </w:t>
      </w:r>
    </w:p>
    <w:p w:rsidRPr="00A95907" w:rsidR="008670DF" w:rsidP="008670DF" w:rsidRDefault="008670DF" w14:paraId="0E13148A" w14:textId="77777777">
      <w:pPr>
        <w:spacing w:line="240" w:lineRule="auto"/>
      </w:pPr>
      <w:r w:rsidRPr="001D65A0">
        <w:t>Het is niet aan mij is om te besluiten over het schorsen of intrekken van een vergunning. Deze besluiten zijn aan de Ksa, als onafhankelijk toezichthouder en zelfstandig bestuursorgaan.</w:t>
      </w:r>
      <w:r w:rsidRPr="00A95907">
        <w:t xml:space="preserve"> </w:t>
      </w:r>
    </w:p>
    <w:p w:rsidRPr="00A95907" w:rsidR="008670DF" w:rsidP="008670DF" w:rsidRDefault="008670DF" w14:paraId="0D07BCC4" w14:textId="77777777">
      <w:pPr>
        <w:spacing w:line="240" w:lineRule="auto"/>
      </w:pPr>
    </w:p>
    <w:p w:rsidRPr="00A95907" w:rsidR="008670DF" w:rsidP="008670DF" w:rsidRDefault="008670DF" w14:paraId="7CE15B61" w14:textId="77777777">
      <w:pPr>
        <w:spacing w:line="240" w:lineRule="auto"/>
        <w:rPr>
          <w:highlight w:val="yellow"/>
        </w:rPr>
      </w:pPr>
      <w:r w:rsidRPr="001D65A0">
        <w:t>Zoals ook in de beantwoording van eerdere Kamervragen is genoemd, kan de Ksa  besluiten een vergunning in te trekken indien nieuwe informatie of antecedenten met betrekking tot een vergunninghouder leiden tot het inzicht dat de vergunning toentertijd niet zou zijn verstrekt.</w:t>
      </w:r>
      <w:r w:rsidRPr="001D65A0">
        <w:rPr>
          <w:rStyle w:val="Voetnootmarkering"/>
        </w:rPr>
        <w:footnoteReference w:id="9"/>
      </w:r>
      <w:r w:rsidRPr="00A95907">
        <w:t xml:space="preserve"> Daarnaast zal de Ksa de toezichtservaring over de voorgaande vergunningsperiode met betrekking tot een vergunninghouder meewegen in de beoordeling van verlengingsaanvragen. Onder andere worden overtredingen en het gedrag van vergunninghouders tijdens de huidige vergunningsperiode mee gewogen in de beoordeling.</w:t>
      </w:r>
    </w:p>
    <w:p w:rsidRPr="00A95907" w:rsidR="008670DF" w:rsidP="008670DF" w:rsidRDefault="008670DF" w14:paraId="6C7B9092" w14:textId="77777777">
      <w:pPr>
        <w:spacing w:line="240" w:lineRule="auto"/>
        <w:rPr>
          <w:b/>
          <w:bCs/>
        </w:rPr>
      </w:pPr>
    </w:p>
    <w:p w:rsidRPr="00A95907" w:rsidR="008670DF" w:rsidP="008670DF" w:rsidRDefault="008670DF" w14:paraId="5B662673" w14:textId="77777777">
      <w:pPr>
        <w:spacing w:line="240" w:lineRule="auto"/>
        <w:rPr>
          <w:b/>
          <w:bCs/>
        </w:rPr>
      </w:pPr>
      <w:r w:rsidRPr="00A95907">
        <w:rPr>
          <w:b/>
          <w:bCs/>
        </w:rPr>
        <w:t>Vraag 12</w:t>
      </w:r>
    </w:p>
    <w:p w:rsidR="008670DF" w:rsidP="008670DF" w:rsidRDefault="008670DF" w14:paraId="78DDFBE4" w14:textId="77777777">
      <w:pPr>
        <w:spacing w:line="240" w:lineRule="auto"/>
        <w:rPr>
          <w:b/>
          <w:bCs/>
        </w:rPr>
      </w:pPr>
      <w:r w:rsidRPr="001D65A0">
        <w:rPr>
          <w:b/>
          <w:bCs/>
        </w:rPr>
        <w:t>Kunt u concreet aangeven welke aanvullende wettelijke maatregelen u op korte termijn zult nemen om de zorgplicht van online kansspelaanbieders afdwingbaar te versterken, en op welke termijn de Kamer hierover voorstellen kan verwachten?</w:t>
      </w:r>
    </w:p>
    <w:p w:rsidR="008670DF" w:rsidP="008670DF" w:rsidRDefault="008670DF" w14:paraId="77154C2A" w14:textId="77777777">
      <w:pPr>
        <w:spacing w:line="240" w:lineRule="auto"/>
        <w:rPr>
          <w:b/>
          <w:bCs/>
        </w:rPr>
      </w:pPr>
    </w:p>
    <w:p w:rsidRPr="001D65A0" w:rsidR="008670DF" w:rsidP="008670DF" w:rsidRDefault="008670DF" w14:paraId="0717EEA8" w14:textId="77777777">
      <w:pPr>
        <w:spacing w:line="240" w:lineRule="auto"/>
        <w:rPr>
          <w:b/>
          <w:bCs/>
        </w:rPr>
      </w:pPr>
    </w:p>
    <w:p w:rsidRPr="00A95907" w:rsidR="008670DF" w:rsidP="008670DF" w:rsidRDefault="008670DF" w14:paraId="3C2B5F33" w14:textId="77777777">
      <w:pPr>
        <w:spacing w:line="240" w:lineRule="auto"/>
        <w:rPr>
          <w:b/>
          <w:bCs/>
        </w:rPr>
      </w:pPr>
    </w:p>
    <w:p w:rsidRPr="00A95907" w:rsidR="008670DF" w:rsidP="008670DF" w:rsidRDefault="008670DF" w14:paraId="66EFFBE5" w14:textId="77777777">
      <w:pPr>
        <w:spacing w:line="240" w:lineRule="auto"/>
        <w:rPr>
          <w:b/>
          <w:bCs/>
        </w:rPr>
      </w:pPr>
      <w:r w:rsidRPr="00A95907">
        <w:rPr>
          <w:b/>
          <w:bCs/>
        </w:rPr>
        <w:t xml:space="preserve">Antwoord op vraag 12 </w:t>
      </w:r>
    </w:p>
    <w:p w:rsidRPr="00A95907" w:rsidR="008670DF" w:rsidP="008670DF" w:rsidRDefault="008670DF" w14:paraId="1F9F6E43" w14:textId="77777777">
      <w:pPr>
        <w:spacing w:line="240" w:lineRule="auto"/>
      </w:pPr>
      <w:r w:rsidRPr="001D65A0">
        <w:t>Momenteel werk ik de aangekondigde maatregelen rond kansspelen op afstand uit, waaronder aanscherping van de zorgplicht. Mijn voorganger heeft met de Kamer het streven gedeeld om uw Kamer dit voorjaar te informeren over richtinggevende keuzes die in het kader van de maatregelen zijn gemaakt. Daarbij wordt uw Kamer ook geïnformeerd over de planning van het wetgevingstraject.</w:t>
      </w:r>
      <w:r w:rsidRPr="00A95907">
        <w:t xml:space="preserve"> Wat betreft de zorgplicht geldt dat een onafhankelijke expertgroep werkt aan het doen van aanbevelingen op dit terrein. Deze aanbevelingen worden in de zomer van 2026 verwacht en meegenomen in het wetgevingstraject.</w:t>
      </w:r>
    </w:p>
    <w:p w:rsidRPr="00A95907" w:rsidR="008670DF" w:rsidP="008670DF" w:rsidRDefault="008670DF" w14:paraId="4255D3A9" w14:textId="77777777">
      <w:pPr>
        <w:spacing w:line="240" w:lineRule="auto"/>
      </w:pPr>
    </w:p>
    <w:p w:rsidRPr="00A95907" w:rsidR="008670DF" w:rsidP="008670DF" w:rsidRDefault="008670DF" w14:paraId="71A5D3A2" w14:textId="77777777">
      <w:pPr>
        <w:spacing w:line="240" w:lineRule="auto"/>
      </w:pPr>
      <w:r w:rsidRPr="00A95907">
        <w:t> </w:t>
      </w:r>
      <w:r w:rsidRPr="00A95907">
        <w:br/>
      </w:r>
    </w:p>
    <w:p w:rsidR="008670DF" w:rsidP="008670DF" w:rsidRDefault="008670DF" w14:paraId="01B4D482" w14:textId="77777777">
      <w:pPr>
        <w:spacing w:line="240" w:lineRule="auto"/>
      </w:pPr>
      <w:r w:rsidRPr="00A95907">
        <w:t xml:space="preserve"> </w:t>
      </w:r>
      <w:r w:rsidRPr="00A95907">
        <w:br/>
      </w:r>
    </w:p>
    <w:p w:rsidRPr="005C5606" w:rsidR="008670DF" w:rsidP="008670DF" w:rsidRDefault="008670DF" w14:paraId="11492D03" w14:textId="77777777">
      <w:pPr>
        <w:spacing w:line="240" w:lineRule="auto"/>
      </w:pPr>
    </w:p>
    <w:p w:rsidR="008670DF" w:rsidP="008670DF" w:rsidRDefault="008670DF" w14:paraId="3F507EE5" w14:textId="77777777">
      <w:pPr>
        <w:spacing w:line="240" w:lineRule="auto"/>
      </w:pPr>
    </w:p>
    <w:p w:rsidR="00723C46" w:rsidRDefault="00723C46" w14:paraId="0E20E785" w14:textId="77777777"/>
    <w:sectPr w:rsidR="00723C46" w:rsidSect="008670D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FC4E" w14:textId="77777777" w:rsidR="008670DF" w:rsidRDefault="008670DF" w:rsidP="008670DF">
      <w:pPr>
        <w:spacing w:after="0" w:line="240" w:lineRule="auto"/>
      </w:pPr>
      <w:r>
        <w:separator/>
      </w:r>
    </w:p>
  </w:endnote>
  <w:endnote w:type="continuationSeparator" w:id="0">
    <w:p w14:paraId="079F0FC3" w14:textId="77777777" w:rsidR="008670DF" w:rsidRDefault="008670DF" w:rsidP="0086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8765" w14:textId="77777777" w:rsidR="008670DF" w:rsidRPr="008670DF" w:rsidRDefault="008670DF" w:rsidP="008670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0681" w14:textId="77777777" w:rsidR="008670DF" w:rsidRPr="008670DF" w:rsidRDefault="008670DF" w:rsidP="008670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724F" w14:textId="77777777" w:rsidR="008670DF" w:rsidRPr="008670DF" w:rsidRDefault="008670DF" w:rsidP="008670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8A7A" w14:textId="77777777" w:rsidR="008670DF" w:rsidRDefault="008670DF" w:rsidP="008670DF">
      <w:pPr>
        <w:spacing w:after="0" w:line="240" w:lineRule="auto"/>
      </w:pPr>
      <w:r>
        <w:separator/>
      </w:r>
    </w:p>
  </w:footnote>
  <w:footnote w:type="continuationSeparator" w:id="0">
    <w:p w14:paraId="5A671232" w14:textId="77777777" w:rsidR="008670DF" w:rsidRDefault="008670DF" w:rsidP="008670DF">
      <w:pPr>
        <w:spacing w:after="0" w:line="240" w:lineRule="auto"/>
      </w:pPr>
      <w:r>
        <w:continuationSeparator/>
      </w:r>
    </w:p>
  </w:footnote>
  <w:footnote w:id="1">
    <w:p w14:paraId="7CF6922B" w14:textId="77777777" w:rsidR="008670DF" w:rsidRPr="001B3E62" w:rsidRDefault="008670DF" w:rsidP="008670DF">
      <w:pPr>
        <w:pStyle w:val="Voetnoottekst"/>
        <w:rPr>
          <w:rFonts w:ascii="Verdana" w:hAnsi="Verdana"/>
          <w:sz w:val="16"/>
          <w:szCs w:val="16"/>
        </w:rPr>
      </w:pPr>
      <w:r w:rsidRPr="001B3E62">
        <w:rPr>
          <w:rStyle w:val="Voetnootmarkering"/>
          <w:rFonts w:ascii="Verdana" w:hAnsi="Verdana"/>
          <w:sz w:val="16"/>
          <w:szCs w:val="16"/>
        </w:rPr>
        <w:footnoteRef/>
      </w:r>
      <w:r w:rsidRPr="001B3E62">
        <w:rPr>
          <w:rFonts w:ascii="Verdana" w:hAnsi="Verdana"/>
          <w:sz w:val="16"/>
          <w:szCs w:val="16"/>
        </w:rPr>
        <w:t xml:space="preserve"> </w:t>
      </w:r>
      <w:bookmarkStart w:id="0" w:name="_Hlk222127608"/>
      <w:r w:rsidRPr="001B3E62">
        <w:rPr>
          <w:rFonts w:ascii="Verdana" w:hAnsi="Verdana"/>
          <w:sz w:val="16"/>
          <w:szCs w:val="16"/>
        </w:rPr>
        <w:t>Algemeen Dagblad, 12 februari 2026, Verboden trucs in legale online casino’s: massaclaim in de maak (</w:t>
      </w:r>
      <w:hyperlink r:id="rId1" w:history="1">
        <w:r w:rsidRPr="0067232B">
          <w:rPr>
            <w:rStyle w:val="Hyperlink"/>
            <w:rFonts w:ascii="Verdana" w:hAnsi="Verdana"/>
            <w:sz w:val="16"/>
            <w:szCs w:val="16"/>
          </w:rPr>
          <w:t>https://www.ad.nl/geld/verboden-trucs-in-legale-online-casinos-massaclaim-in-de-maak~a5f6f9f5/</w:t>
        </w:r>
      </w:hyperlink>
      <w:r w:rsidRPr="001B3E62">
        <w:rPr>
          <w:rFonts w:ascii="Verdana" w:hAnsi="Verdana"/>
          <w:sz w:val="16"/>
          <w:szCs w:val="16"/>
        </w:rPr>
        <w:t>).</w:t>
      </w:r>
      <w:bookmarkEnd w:id="0"/>
    </w:p>
  </w:footnote>
  <w:footnote w:id="2">
    <w:p w14:paraId="1A5277DB" w14:textId="77777777" w:rsidR="008670DF" w:rsidRPr="007453B0" w:rsidRDefault="008670DF" w:rsidP="008670DF">
      <w:pPr>
        <w:pStyle w:val="Voetnoottekst"/>
        <w:rPr>
          <w:rFonts w:ascii="Verdana" w:hAnsi="Verdana"/>
          <w:sz w:val="16"/>
          <w:szCs w:val="16"/>
        </w:rPr>
      </w:pPr>
      <w:r w:rsidRPr="001B3E62">
        <w:rPr>
          <w:rStyle w:val="Voetnootmarkering"/>
          <w:rFonts w:ascii="Verdana" w:hAnsi="Verdana"/>
          <w:sz w:val="16"/>
          <w:szCs w:val="16"/>
        </w:rPr>
        <w:footnoteRef/>
      </w:r>
      <w:r w:rsidRPr="001B3E62">
        <w:rPr>
          <w:rFonts w:ascii="Verdana" w:hAnsi="Verdana"/>
          <w:sz w:val="16"/>
          <w:szCs w:val="16"/>
        </w:rPr>
        <w:t xml:space="preserve"> </w:t>
      </w:r>
      <w:bookmarkStart w:id="1" w:name="_Hlk222127668"/>
      <w:r w:rsidRPr="001B3E62">
        <w:rPr>
          <w:rFonts w:ascii="Verdana" w:hAnsi="Verdana"/>
          <w:sz w:val="16"/>
          <w:szCs w:val="16"/>
        </w:rPr>
        <w:t>Consumentenbond, 12 februari 2026, Consumenten voor totaalverbod gokreclame én betere bescherming (https://www.consumentenbond.nl/nieuws/2026/consumenten-voor-totaalverbod-gokreclame-en-</w:t>
      </w:r>
      <w:r w:rsidRPr="007453B0">
        <w:rPr>
          <w:rFonts w:ascii="Verdana" w:hAnsi="Verdana"/>
          <w:sz w:val="16"/>
          <w:szCs w:val="16"/>
        </w:rPr>
        <w:t>betere-bescherming).</w:t>
      </w:r>
      <w:bookmarkEnd w:id="1"/>
    </w:p>
  </w:footnote>
  <w:footnote w:id="3">
    <w:p w14:paraId="68CCC653" w14:textId="77777777" w:rsidR="008670DF" w:rsidRPr="007453B0" w:rsidRDefault="008670DF" w:rsidP="008670DF">
      <w:pPr>
        <w:pStyle w:val="Voetnoottekst"/>
        <w:rPr>
          <w:rFonts w:ascii="Verdana" w:hAnsi="Verdana"/>
          <w:sz w:val="16"/>
          <w:szCs w:val="16"/>
        </w:rPr>
      </w:pPr>
      <w:r w:rsidRPr="007453B0">
        <w:rPr>
          <w:rStyle w:val="Voetnootmarkering"/>
          <w:rFonts w:ascii="Verdana" w:hAnsi="Verdana"/>
          <w:sz w:val="16"/>
          <w:szCs w:val="16"/>
        </w:rPr>
        <w:footnoteRef/>
      </w:r>
      <w:r w:rsidRPr="007453B0">
        <w:rPr>
          <w:rFonts w:ascii="Verdana" w:hAnsi="Verdana"/>
          <w:sz w:val="16"/>
          <w:szCs w:val="16"/>
        </w:rPr>
        <w:t xml:space="preserve"> </w:t>
      </w:r>
      <w:r w:rsidRPr="007453B0">
        <w:rPr>
          <w:rFonts w:ascii="Verdana" w:hAnsi="Verdana"/>
          <w:i/>
          <w:iCs/>
          <w:sz w:val="16"/>
          <w:szCs w:val="16"/>
        </w:rPr>
        <w:t>Kamerstukken II</w:t>
      </w:r>
      <w:r w:rsidRPr="007453B0">
        <w:rPr>
          <w:rFonts w:ascii="Verdana" w:hAnsi="Verdana"/>
          <w:sz w:val="16"/>
          <w:szCs w:val="16"/>
        </w:rPr>
        <w:t xml:space="preserve"> 2024/25, 24 557, nr. 245.</w:t>
      </w:r>
    </w:p>
  </w:footnote>
  <w:footnote w:id="4">
    <w:p w14:paraId="12E16015" w14:textId="77777777" w:rsidR="008670DF" w:rsidRPr="007453B0" w:rsidRDefault="008670DF" w:rsidP="008670DF">
      <w:pPr>
        <w:pStyle w:val="Voetnoottekst"/>
        <w:rPr>
          <w:rFonts w:ascii="Verdana" w:hAnsi="Verdana"/>
          <w:sz w:val="16"/>
          <w:szCs w:val="16"/>
        </w:rPr>
      </w:pPr>
      <w:r w:rsidRPr="007453B0">
        <w:rPr>
          <w:rStyle w:val="Voetnootmarkering"/>
          <w:rFonts w:ascii="Verdana" w:hAnsi="Verdana"/>
          <w:sz w:val="16"/>
          <w:szCs w:val="16"/>
        </w:rPr>
        <w:footnoteRef/>
      </w:r>
      <w:r w:rsidRPr="007453B0">
        <w:rPr>
          <w:rFonts w:ascii="Verdana" w:hAnsi="Verdana"/>
          <w:sz w:val="16"/>
          <w:szCs w:val="16"/>
        </w:rPr>
        <w:t xml:space="preserve"> Dialogic (2024). Drie jaar online gokken, Evaluatie van de Wet kansspelen op afstand, p. 165. Bijlage bij </w:t>
      </w:r>
      <w:r w:rsidRPr="007453B0">
        <w:rPr>
          <w:rFonts w:ascii="Verdana" w:hAnsi="Verdana"/>
          <w:i/>
          <w:iCs/>
          <w:sz w:val="16"/>
          <w:szCs w:val="16"/>
        </w:rPr>
        <w:t>Kamerstukken II</w:t>
      </w:r>
      <w:r w:rsidRPr="007453B0">
        <w:rPr>
          <w:rFonts w:ascii="Verdana" w:hAnsi="Verdana"/>
          <w:sz w:val="16"/>
          <w:szCs w:val="16"/>
        </w:rPr>
        <w:t xml:space="preserve"> 2024/25, 24 557, nr. 245. </w:t>
      </w:r>
    </w:p>
  </w:footnote>
  <w:footnote w:id="5">
    <w:p w14:paraId="6B2FB7C1" w14:textId="77777777" w:rsidR="008670DF" w:rsidRPr="007453B0" w:rsidRDefault="008670DF" w:rsidP="008670DF">
      <w:pPr>
        <w:pStyle w:val="Voetnoottekst"/>
        <w:rPr>
          <w:i/>
          <w:iCs/>
        </w:rPr>
      </w:pPr>
      <w:r w:rsidRPr="007453B0">
        <w:rPr>
          <w:rStyle w:val="Voetnootmarkering"/>
          <w:rFonts w:ascii="Verdana" w:hAnsi="Verdana"/>
          <w:sz w:val="16"/>
          <w:szCs w:val="16"/>
        </w:rPr>
        <w:footnoteRef/>
      </w:r>
      <w:r w:rsidRPr="007453B0">
        <w:rPr>
          <w:rFonts w:ascii="Verdana" w:hAnsi="Verdana"/>
          <w:sz w:val="16"/>
          <w:szCs w:val="16"/>
        </w:rPr>
        <w:t xml:space="preserve"> Bijlage bij: </w:t>
      </w:r>
      <w:r w:rsidRPr="007453B0">
        <w:rPr>
          <w:rFonts w:ascii="Verdana" w:hAnsi="Verdana"/>
          <w:i/>
          <w:iCs/>
          <w:sz w:val="16"/>
          <w:szCs w:val="16"/>
        </w:rPr>
        <w:t xml:space="preserve">Kamerstukken II </w:t>
      </w:r>
      <w:r w:rsidRPr="007453B0">
        <w:rPr>
          <w:rFonts w:ascii="Verdana" w:hAnsi="Verdana"/>
          <w:sz w:val="16"/>
          <w:szCs w:val="16"/>
        </w:rPr>
        <w:t>2024/25, 24 557, nr. 245.</w:t>
      </w:r>
    </w:p>
  </w:footnote>
  <w:footnote w:id="6">
    <w:p w14:paraId="20A954CF" w14:textId="77777777" w:rsidR="008670DF" w:rsidRPr="00116743" w:rsidRDefault="008670DF" w:rsidP="008670DF">
      <w:pPr>
        <w:pStyle w:val="Voetnoottekst"/>
        <w:rPr>
          <w:rFonts w:ascii="Verdana" w:hAnsi="Verdana"/>
          <w:sz w:val="16"/>
          <w:szCs w:val="16"/>
        </w:rPr>
      </w:pPr>
      <w:r w:rsidRPr="00116743">
        <w:rPr>
          <w:rStyle w:val="Voetnootmarkering"/>
          <w:rFonts w:ascii="Verdana" w:hAnsi="Verdana"/>
          <w:sz w:val="16"/>
          <w:szCs w:val="16"/>
        </w:rPr>
        <w:footnoteRef/>
      </w:r>
      <w:r w:rsidRPr="00116743">
        <w:rPr>
          <w:rFonts w:ascii="Verdana" w:hAnsi="Verdana"/>
          <w:sz w:val="16"/>
          <w:szCs w:val="16"/>
        </w:rPr>
        <w:t xml:space="preserve"> Regeling speellimieten en bewuster speelgedrag, Staatscourant 2024, 19648 en Beleidsregel verantwoord spelen 2024; Staatscourant 2024, 18177.</w:t>
      </w:r>
    </w:p>
  </w:footnote>
  <w:footnote w:id="7">
    <w:p w14:paraId="1B27600B" w14:textId="77777777" w:rsidR="008670DF" w:rsidRPr="003B2773" w:rsidRDefault="008670DF" w:rsidP="008670DF">
      <w:pPr>
        <w:pStyle w:val="Voetnoottekst"/>
        <w:rPr>
          <w:rFonts w:ascii="Verdana" w:hAnsi="Verdana"/>
          <w:sz w:val="16"/>
          <w:szCs w:val="16"/>
        </w:rPr>
      </w:pPr>
      <w:r w:rsidRPr="00116743">
        <w:rPr>
          <w:rStyle w:val="Voetnootmarkering"/>
          <w:rFonts w:ascii="Verdana" w:hAnsi="Verdana"/>
          <w:sz w:val="16"/>
          <w:szCs w:val="16"/>
        </w:rPr>
        <w:footnoteRef/>
      </w:r>
      <w:r w:rsidRPr="00116743">
        <w:rPr>
          <w:rFonts w:ascii="Verdana" w:hAnsi="Verdana"/>
          <w:sz w:val="16"/>
          <w:szCs w:val="16"/>
        </w:rPr>
        <w:t xml:space="preserve"> </w:t>
      </w:r>
      <w:r w:rsidRPr="00116743">
        <w:rPr>
          <w:rFonts w:ascii="Verdana" w:hAnsi="Verdana"/>
          <w:i/>
          <w:iCs/>
          <w:sz w:val="16"/>
          <w:szCs w:val="16"/>
        </w:rPr>
        <w:t>Kamerstukken II</w:t>
      </w:r>
      <w:r w:rsidRPr="00116743">
        <w:rPr>
          <w:rFonts w:ascii="Verdana" w:hAnsi="Verdana"/>
          <w:sz w:val="16"/>
          <w:szCs w:val="16"/>
        </w:rPr>
        <w:t xml:space="preserve"> 2024/25, 24 557, nr. 273.</w:t>
      </w:r>
    </w:p>
  </w:footnote>
  <w:footnote w:id="8">
    <w:p w14:paraId="509C4D7A" w14:textId="77777777" w:rsidR="008670DF" w:rsidRDefault="008670DF" w:rsidP="008670DF">
      <w:pPr>
        <w:pStyle w:val="Voetnoottekst"/>
      </w:pPr>
      <w:r>
        <w:rPr>
          <w:rStyle w:val="Voetnootmarkering"/>
        </w:rPr>
        <w:footnoteRef/>
      </w:r>
      <w:r>
        <w:t xml:space="preserve"> </w:t>
      </w:r>
      <w:hyperlink r:id="rId2" w:history="1">
        <w:r w:rsidRPr="0011759A">
          <w:rPr>
            <w:rStyle w:val="Hyperlink"/>
          </w:rPr>
          <w:t>Bindende aanwijzing voor Hillside om zorgplicht te versterken | Kansspelautoriteit</w:t>
        </w:r>
      </w:hyperlink>
    </w:p>
  </w:footnote>
  <w:footnote w:id="9">
    <w:p w14:paraId="1755261A" w14:textId="77777777" w:rsidR="008670DF" w:rsidRPr="00AA65DB" w:rsidRDefault="008670DF" w:rsidP="008670DF">
      <w:pPr>
        <w:pStyle w:val="Voetnoottekst"/>
      </w:pPr>
      <w:r>
        <w:rPr>
          <w:rStyle w:val="Voetnootmarkering"/>
        </w:rPr>
        <w:footnoteRef/>
      </w:r>
      <w:r>
        <w:t xml:space="preserve"> </w:t>
      </w:r>
      <w:r w:rsidRPr="00A55D88">
        <w:rPr>
          <w:rFonts w:ascii="Verdana" w:hAnsi="Verdana"/>
          <w:i/>
          <w:iCs/>
          <w:sz w:val="16"/>
          <w:szCs w:val="16"/>
        </w:rPr>
        <w:t>Kamerstukken II</w:t>
      </w:r>
      <w:r w:rsidRPr="00A55D88">
        <w:rPr>
          <w:rFonts w:ascii="Verdana" w:hAnsi="Verdana"/>
          <w:sz w:val="16"/>
          <w:szCs w:val="16"/>
        </w:rPr>
        <w:t xml:space="preserve"> 2024/25, </w:t>
      </w:r>
      <w:r>
        <w:rPr>
          <w:rFonts w:ascii="Verdana" w:hAnsi="Verdana"/>
          <w:sz w:val="16"/>
          <w:szCs w:val="16"/>
        </w:rPr>
        <w:t>Aanhangsel 2718.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3E1A" w14:textId="77777777" w:rsidR="008670DF" w:rsidRPr="008670DF" w:rsidRDefault="008670DF" w:rsidP="008670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38CF" w14:textId="77777777" w:rsidR="008670DF" w:rsidRPr="008670DF" w:rsidRDefault="008670DF" w:rsidP="008670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2FB5" w14:textId="77777777" w:rsidR="008670DF" w:rsidRPr="008670DF" w:rsidRDefault="008670DF" w:rsidP="008670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DF"/>
    <w:rsid w:val="00723C46"/>
    <w:rsid w:val="008670DF"/>
    <w:rsid w:val="00C87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1D13"/>
  <w15:chartTrackingRefBased/>
  <w15:docId w15:val="{0E36B204-E90F-4F94-BABB-EAA0DF82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7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7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70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70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70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70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70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70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70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70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70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70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70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70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70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70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70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70DF"/>
    <w:rPr>
      <w:rFonts w:eastAsiaTheme="majorEastAsia" w:cstheme="majorBidi"/>
      <w:color w:val="272727" w:themeColor="text1" w:themeTint="D8"/>
    </w:rPr>
  </w:style>
  <w:style w:type="paragraph" w:styleId="Titel">
    <w:name w:val="Title"/>
    <w:basedOn w:val="Standaard"/>
    <w:next w:val="Standaard"/>
    <w:link w:val="TitelChar"/>
    <w:uiPriority w:val="10"/>
    <w:qFormat/>
    <w:rsid w:val="00867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70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70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70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70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70DF"/>
    <w:rPr>
      <w:i/>
      <w:iCs/>
      <w:color w:val="404040" w:themeColor="text1" w:themeTint="BF"/>
    </w:rPr>
  </w:style>
  <w:style w:type="paragraph" w:styleId="Lijstalinea">
    <w:name w:val="List Paragraph"/>
    <w:basedOn w:val="Standaard"/>
    <w:uiPriority w:val="34"/>
    <w:qFormat/>
    <w:rsid w:val="008670DF"/>
    <w:pPr>
      <w:ind w:left="720"/>
      <w:contextualSpacing/>
    </w:pPr>
  </w:style>
  <w:style w:type="character" w:styleId="Intensievebenadrukking">
    <w:name w:val="Intense Emphasis"/>
    <w:basedOn w:val="Standaardalinea-lettertype"/>
    <w:uiPriority w:val="21"/>
    <w:qFormat/>
    <w:rsid w:val="008670DF"/>
    <w:rPr>
      <w:i/>
      <w:iCs/>
      <w:color w:val="2F5496" w:themeColor="accent1" w:themeShade="BF"/>
    </w:rPr>
  </w:style>
  <w:style w:type="paragraph" w:styleId="Duidelijkcitaat">
    <w:name w:val="Intense Quote"/>
    <w:basedOn w:val="Standaard"/>
    <w:next w:val="Standaard"/>
    <w:link w:val="DuidelijkcitaatChar"/>
    <w:uiPriority w:val="30"/>
    <w:qFormat/>
    <w:rsid w:val="00867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70DF"/>
    <w:rPr>
      <w:i/>
      <w:iCs/>
      <w:color w:val="2F5496" w:themeColor="accent1" w:themeShade="BF"/>
    </w:rPr>
  </w:style>
  <w:style w:type="character" w:styleId="Intensieveverwijzing">
    <w:name w:val="Intense Reference"/>
    <w:basedOn w:val="Standaardalinea-lettertype"/>
    <w:uiPriority w:val="32"/>
    <w:qFormat/>
    <w:rsid w:val="008670DF"/>
    <w:rPr>
      <w:b/>
      <w:bCs/>
      <w:smallCaps/>
      <w:color w:val="2F5496" w:themeColor="accent1" w:themeShade="BF"/>
      <w:spacing w:val="5"/>
    </w:rPr>
  </w:style>
  <w:style w:type="character" w:styleId="Hyperlink">
    <w:name w:val="Hyperlink"/>
    <w:basedOn w:val="Standaardalinea-lettertype"/>
    <w:uiPriority w:val="99"/>
    <w:unhideWhenUsed/>
    <w:rsid w:val="008670DF"/>
    <w:rPr>
      <w:color w:val="0563C1" w:themeColor="hyperlink"/>
      <w:u w:val="single"/>
    </w:rPr>
  </w:style>
  <w:style w:type="paragraph" w:customStyle="1" w:styleId="Referentiegegevens">
    <w:name w:val="Referentiegegevens"/>
    <w:basedOn w:val="Standaard"/>
    <w:next w:val="Standaard"/>
    <w:rsid w:val="008670D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670D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670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670D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8670D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8670DF"/>
    <w:rPr>
      <w:kern w:val="0"/>
      <w:sz w:val="20"/>
      <w:szCs w:val="20"/>
      <w14:ligatures w14:val="none"/>
    </w:rPr>
  </w:style>
  <w:style w:type="character" w:styleId="Voetnootmarkering">
    <w:name w:val="footnote reference"/>
    <w:basedOn w:val="Standaardalinea-lettertype"/>
    <w:uiPriority w:val="99"/>
    <w:semiHidden/>
    <w:unhideWhenUsed/>
    <w:rsid w:val="008670DF"/>
    <w:rPr>
      <w:vertAlign w:val="superscript"/>
    </w:rPr>
  </w:style>
  <w:style w:type="paragraph" w:styleId="Koptekst">
    <w:name w:val="header"/>
    <w:basedOn w:val="Standaard"/>
    <w:link w:val="KoptekstChar"/>
    <w:uiPriority w:val="99"/>
    <w:unhideWhenUsed/>
    <w:rsid w:val="008670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70DF"/>
  </w:style>
  <w:style w:type="paragraph" w:styleId="Voettekst">
    <w:name w:val="footer"/>
    <w:basedOn w:val="Standaard"/>
    <w:link w:val="VoettekstChar"/>
    <w:uiPriority w:val="99"/>
    <w:unhideWhenUsed/>
    <w:rsid w:val="008670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7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kansspelautoriteit.nl/bindende-aanwijzing-voor-hillside-om-zorgplicht-te-versterken" TargetMode="External"/><Relationship Id="rId1" Type="http://schemas.openxmlformats.org/officeDocument/2006/relationships/hyperlink" Target="https://www.ad.nl/geld/verboden-trucs-in-legale-online-casinos-massaclaim-in-de-maak~a5f6f9f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1775</ap:Words>
  <ap:Characters>9765</ap:Characters>
  <ap:DocSecurity>0</ap:DocSecurity>
  <ap:Lines>81</ap:Lines>
  <ap:Paragraphs>23</ap:Paragraphs>
  <ap:ScaleCrop>false</ap:ScaleCrop>
  <ap:LinksUpToDate>false</ap:LinksUpToDate>
  <ap:CharactersWithSpaces>11517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2026-03-17T13:28:00.0000000Z</dcterms:created>
  <dcterms:modified xsi:type="dcterms:W3CDTF">2026-03-17T13:29:00.0000000Z</dcterms:modified>
  <version/>
  <category/>
</coreProperties>
</file>