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53F" w:rsidP="0018353F" w:rsidRDefault="0018353F" w14:paraId="74AFB4C4" w14:textId="158584BE">
      <w:pPr>
        <w:pStyle w:val="Geenafstand"/>
      </w:pPr>
      <w:r>
        <w:t>AH 1356</w:t>
      </w:r>
    </w:p>
    <w:p w:rsidR="0018353F" w:rsidP="0018353F" w:rsidRDefault="0018353F" w14:paraId="0B17C267" w14:textId="1285E061">
      <w:pPr>
        <w:pStyle w:val="Geenafstand"/>
      </w:pPr>
      <w:r>
        <w:t>2026Z03619</w:t>
      </w:r>
    </w:p>
    <w:p w:rsidR="0018353F" w:rsidP="0018353F" w:rsidRDefault="0018353F" w14:paraId="41CEAE9F" w14:textId="77777777">
      <w:pPr>
        <w:pStyle w:val="Geenafstand"/>
      </w:pPr>
    </w:p>
    <w:p w:rsidR="0018353F" w:rsidP="0018353F" w:rsidRDefault="0018353F" w14:paraId="04126062" w14:textId="08D02892">
      <w:pPr>
        <w:pStyle w:val="Geenafstand"/>
        <w:rPr>
          <w:sz w:val="24"/>
          <w:szCs w:val="24"/>
        </w:rPr>
      </w:pPr>
      <w:r w:rsidRPr="0018353F">
        <w:rPr>
          <w:sz w:val="24"/>
          <w:szCs w:val="24"/>
        </w:rPr>
        <w:t xml:space="preserve">Antwoord van minister </w:t>
      </w:r>
      <w:proofErr w:type="spellStart"/>
      <w:r w:rsidRPr="0018353F">
        <w:rPr>
          <w:sz w:val="24"/>
          <w:szCs w:val="24"/>
        </w:rPr>
        <w:t>Sjoerdsma</w:t>
      </w:r>
      <w:proofErr w:type="spellEnd"/>
      <w:r w:rsidRPr="0018353F">
        <w:rPr>
          <w:sz w:val="24"/>
          <w:szCs w:val="24"/>
        </w:rPr>
        <w:t xml:space="preserve"> (Buitenlandse Handel en Ontwikkelingssamenwerking) (ontvangen </w:t>
      </w:r>
      <w:r>
        <w:rPr>
          <w:sz w:val="24"/>
          <w:szCs w:val="24"/>
        </w:rPr>
        <w:t xml:space="preserve"> 17 maart 2026)</w:t>
      </w:r>
    </w:p>
    <w:p w:rsidR="0018353F" w:rsidP="0018353F" w:rsidRDefault="0018353F" w14:paraId="097D472E" w14:textId="77777777">
      <w:pPr>
        <w:pStyle w:val="Geenafstand"/>
      </w:pPr>
    </w:p>
    <w:p w:rsidR="0018353F" w:rsidP="0018353F" w:rsidRDefault="0018353F" w14:paraId="13B6AE5B" w14:textId="77777777">
      <w:pPr>
        <w:spacing w:line="276" w:lineRule="auto"/>
      </w:pPr>
      <w:r w:rsidRPr="00BBF241">
        <w:rPr>
          <w:b/>
          <w:bCs/>
        </w:rPr>
        <w:t>Vraag 1</w:t>
      </w:r>
    </w:p>
    <w:p w:rsidR="0018353F" w:rsidP="0018353F" w:rsidRDefault="0018353F" w14:paraId="624B82F1" w14:textId="77777777">
      <w:pPr>
        <w:spacing w:line="276" w:lineRule="auto"/>
      </w:pPr>
      <w:r w:rsidRPr="001032EB">
        <w:t>Bent u bekend met het bericht ‘Hamas heeft ook bij Nederlandse hulporganisaties zoals Oxfam Novib stevige vinger in de pap’?</w:t>
      </w:r>
      <w:r>
        <w:rPr>
          <w:rStyle w:val="Voetnootmarkering"/>
        </w:rPr>
        <w:footnoteReference w:id="1"/>
      </w:r>
    </w:p>
    <w:p w:rsidR="0018353F" w:rsidP="0018353F" w:rsidRDefault="0018353F" w14:paraId="05EB4600" w14:textId="77777777">
      <w:pPr>
        <w:spacing w:line="276" w:lineRule="auto"/>
        <w:rPr>
          <w:b/>
        </w:rPr>
      </w:pPr>
    </w:p>
    <w:p w:rsidR="0018353F" w:rsidP="0018353F" w:rsidRDefault="0018353F" w14:paraId="2DE91770" w14:textId="77777777">
      <w:pPr>
        <w:spacing w:line="276" w:lineRule="auto"/>
      </w:pPr>
      <w:r w:rsidRPr="00BBF241">
        <w:rPr>
          <w:b/>
          <w:bCs/>
        </w:rPr>
        <w:t>Antwoord</w:t>
      </w:r>
    </w:p>
    <w:p w:rsidR="0018353F" w:rsidP="0018353F" w:rsidRDefault="0018353F" w14:paraId="6234E852" w14:textId="77777777">
      <w:pPr>
        <w:spacing w:line="276" w:lineRule="auto"/>
      </w:pPr>
      <w:r>
        <w:t>Ja.</w:t>
      </w:r>
    </w:p>
    <w:p w:rsidR="0018353F" w:rsidP="0018353F" w:rsidRDefault="0018353F" w14:paraId="22C17A51" w14:textId="77777777">
      <w:pPr>
        <w:spacing w:line="276" w:lineRule="auto"/>
      </w:pPr>
    </w:p>
    <w:p w:rsidR="0018353F" w:rsidP="0018353F" w:rsidRDefault="0018353F" w14:paraId="737E37CF" w14:textId="77777777">
      <w:pPr>
        <w:spacing w:line="276" w:lineRule="auto"/>
      </w:pPr>
      <w:r w:rsidRPr="00BBF241">
        <w:rPr>
          <w:b/>
          <w:bCs/>
        </w:rPr>
        <w:t>Vraag 2</w:t>
      </w:r>
    </w:p>
    <w:p w:rsidRPr="001C572F" w:rsidR="0018353F" w:rsidP="0018353F" w:rsidRDefault="0018353F" w14:paraId="4C2FFDDB" w14:textId="77777777">
      <w:pPr>
        <w:spacing w:line="276" w:lineRule="auto"/>
      </w:pPr>
      <w:r>
        <w:t>Klopt het dat Nederlands belastinggeld mogelijk bij Hamas terecht is gekomen zoals NGO Monitor, een Israëlische waakhond, stelt? Zo ja, hoe groot acht u de kans dat dit is gebeurd en hoe beoordeelt u dit feit? Zo nee, wat is er volgens uw informatie wel gebeurd?</w:t>
      </w:r>
    </w:p>
    <w:p w:rsidR="0018353F" w:rsidP="0018353F" w:rsidRDefault="0018353F" w14:paraId="682A858F" w14:textId="77777777">
      <w:pPr>
        <w:spacing w:line="276" w:lineRule="auto"/>
      </w:pPr>
    </w:p>
    <w:p w:rsidR="0018353F" w:rsidP="0018353F" w:rsidRDefault="0018353F" w14:paraId="4252B855" w14:textId="77777777">
      <w:pPr>
        <w:spacing w:line="276" w:lineRule="auto"/>
        <w:rPr>
          <w:b/>
          <w:bCs/>
        </w:rPr>
      </w:pPr>
      <w:r w:rsidRPr="00BBF241">
        <w:rPr>
          <w:b/>
          <w:bCs/>
        </w:rPr>
        <w:t>Antwoord</w:t>
      </w:r>
    </w:p>
    <w:p w:rsidR="0018353F" w:rsidP="0018353F" w:rsidRDefault="0018353F" w14:paraId="7A76789B" w14:textId="77777777">
      <w:pPr>
        <w:spacing w:line="276" w:lineRule="auto"/>
      </w:pPr>
      <w:r w:rsidRPr="005709BB">
        <w:t xml:space="preserve">Er is geen informatie voorhanden die de aantijgingen van NGO Monitor steunt. </w:t>
      </w:r>
    </w:p>
    <w:p w:rsidR="0018353F" w:rsidP="0018353F" w:rsidRDefault="0018353F" w14:paraId="2DFDC972" w14:textId="77777777">
      <w:pPr>
        <w:spacing w:line="276" w:lineRule="auto"/>
      </w:pPr>
      <w:r>
        <w:t>Het kabinet heeft vertrouwen in de neutraliteit en onafhankelijkheid van het werk van partnerorganisaties waar Nederland mee werkt. Dit zijn professionele organisaties met een bewezen goede staat van dienst, óók in buitengewoon moeilijke contexten als Gaza waar risico’s nooit volledig uit te bannen zijn.</w:t>
      </w:r>
      <w:r w:rsidRPr="59197254">
        <w:t xml:space="preserve"> </w:t>
      </w:r>
      <w:r w:rsidRPr="005709BB">
        <w:t xml:space="preserve">Direct na 7 oktober 2023 heeft er een doorlichting van de Nederlandse en EU-ontwikkelingshulp voor de Palestijnse Gebieden plaatsgevonden. Hieruit is gebleken dat de </w:t>
      </w:r>
      <w:proofErr w:type="spellStart"/>
      <w:r w:rsidRPr="59197254">
        <w:rPr>
          <w:i/>
          <w:iCs/>
        </w:rPr>
        <w:t>due</w:t>
      </w:r>
      <w:proofErr w:type="spellEnd"/>
      <w:r w:rsidRPr="59197254">
        <w:rPr>
          <w:i/>
          <w:iCs/>
        </w:rPr>
        <w:t xml:space="preserve"> diligence</w:t>
      </w:r>
      <w:r w:rsidRPr="005709BB">
        <w:t>-processen die ervoor waken dat geld niet (in)direct ten goede komt van terroristische organisaties, op orde zijn.</w:t>
      </w:r>
      <w:r>
        <w:t xml:space="preserve"> Dat geldt ook voor de genoemde organisaties in het NGO Monitor rapport</w:t>
      </w:r>
      <w:r w:rsidRPr="59197254">
        <w:t>.</w:t>
      </w:r>
      <w:r w:rsidRPr="005709BB">
        <w:t xml:space="preserve"> Ook zijn er geen signalen naar voren gekomen dat Nederlands of Europees geld terecht is gekomen bij onbedoelde bestemmingen. </w:t>
      </w:r>
      <w:r w:rsidRPr="000D0126">
        <w:t xml:space="preserve">Bij elke subsidieaanvraag wordt er opnieuw op toegezien dat deze </w:t>
      </w:r>
      <w:proofErr w:type="spellStart"/>
      <w:r w:rsidRPr="000D0126">
        <w:t>due</w:t>
      </w:r>
      <w:proofErr w:type="spellEnd"/>
      <w:r w:rsidRPr="000D0126">
        <w:t xml:space="preserve"> diligence-processen (nog steeds) op orde </w:t>
      </w:r>
      <w:r w:rsidRPr="000D0126">
        <w:lastRenderedPageBreak/>
        <w:t xml:space="preserve">zijn. </w:t>
      </w:r>
      <w:r>
        <w:t xml:space="preserve"> </w:t>
      </w:r>
      <w:r w:rsidRPr="005709BB">
        <w:t>Verder wijst het kabinet ook op bestaande kritiek op de handelswijze van NGO Monitor, zoals benoemd in de beantwoording van eerdere Kamervragen over NGO Monito</w:t>
      </w:r>
      <w:r>
        <w:t>r</w:t>
      </w:r>
      <w:r>
        <w:rPr>
          <w:rStyle w:val="Voetnootmarkering"/>
        </w:rPr>
        <w:footnoteReference w:id="2"/>
      </w:r>
      <w:r>
        <w:rPr>
          <w:rStyle w:val="Voetnootmarkering"/>
        </w:rPr>
        <w:footnoteReference w:id="3"/>
      </w:r>
      <w:r w:rsidRPr="59197254">
        <w:t xml:space="preserve"> </w:t>
      </w:r>
      <w:r>
        <w:t xml:space="preserve">en </w:t>
      </w:r>
      <w:r w:rsidRPr="005709BB">
        <w:t xml:space="preserve">de kabinetsreactie op andere rapporten van NGO </w:t>
      </w:r>
      <w:r>
        <w:t>M</w:t>
      </w:r>
      <w:r w:rsidRPr="005709BB">
        <w:t>onitor</w:t>
      </w:r>
      <w:r w:rsidRPr="59197254">
        <w:t>.</w:t>
      </w:r>
      <w:r>
        <w:rPr>
          <w:rStyle w:val="Voetnootmarkering"/>
        </w:rPr>
        <w:footnoteReference w:id="4"/>
      </w:r>
      <w:r>
        <w:rPr>
          <w:rStyle w:val="Voetnootmarkering"/>
        </w:rPr>
        <w:footnoteReference w:id="5"/>
      </w:r>
    </w:p>
    <w:p w:rsidR="0018353F" w:rsidP="0018353F" w:rsidRDefault="0018353F" w14:paraId="7C25ED0E" w14:textId="77777777">
      <w:pPr>
        <w:spacing w:line="276" w:lineRule="auto"/>
        <w:rPr>
          <w:b/>
          <w:bCs/>
        </w:rPr>
      </w:pPr>
    </w:p>
    <w:p w:rsidR="0018353F" w:rsidP="0018353F" w:rsidRDefault="0018353F" w14:paraId="56043FB3" w14:textId="77777777">
      <w:pPr>
        <w:spacing w:line="276" w:lineRule="auto"/>
      </w:pPr>
      <w:r w:rsidRPr="00BBF241">
        <w:rPr>
          <w:b/>
          <w:bCs/>
        </w:rPr>
        <w:t>Vraag 3</w:t>
      </w:r>
    </w:p>
    <w:p w:rsidR="0018353F" w:rsidP="0018353F" w:rsidRDefault="0018353F" w14:paraId="7C0C9B8D" w14:textId="77777777">
      <w:pPr>
        <w:spacing w:line="276" w:lineRule="auto"/>
      </w:pPr>
      <w:r>
        <w:t xml:space="preserve">Deelt u de mening dat het niet de bedoeling kan zijn dat terroristische organisaties zoals Hamas, al dan niet indirect, gefinancierd worden met Nederlands belastinggeld? Zo nee, waarom niet? </w:t>
      </w:r>
    </w:p>
    <w:p w:rsidR="0018353F" w:rsidP="0018353F" w:rsidRDefault="0018353F" w14:paraId="0AB87526" w14:textId="77777777">
      <w:pPr>
        <w:spacing w:line="276" w:lineRule="auto"/>
        <w:rPr>
          <w:b/>
          <w:bCs/>
        </w:rPr>
      </w:pPr>
    </w:p>
    <w:p w:rsidR="0018353F" w:rsidP="0018353F" w:rsidRDefault="0018353F" w14:paraId="6172EF45" w14:textId="77777777">
      <w:pPr>
        <w:spacing w:line="276" w:lineRule="auto"/>
      </w:pPr>
      <w:r w:rsidRPr="00BBF241">
        <w:rPr>
          <w:b/>
          <w:bCs/>
        </w:rPr>
        <w:t>Antwoord</w:t>
      </w:r>
    </w:p>
    <w:p w:rsidR="0018353F" w:rsidP="0018353F" w:rsidRDefault="0018353F" w14:paraId="11521A50" w14:textId="77777777">
      <w:pPr>
        <w:spacing w:line="276" w:lineRule="auto"/>
      </w:pPr>
      <w:r>
        <w:t>Ja.</w:t>
      </w:r>
    </w:p>
    <w:p w:rsidR="0018353F" w:rsidP="0018353F" w:rsidRDefault="0018353F" w14:paraId="15C8264A" w14:textId="77777777">
      <w:pPr>
        <w:spacing w:line="276" w:lineRule="auto"/>
        <w:rPr>
          <w:b/>
          <w:bCs/>
        </w:rPr>
      </w:pPr>
      <w:r>
        <w:rPr>
          <w:b/>
          <w:bCs/>
        </w:rPr>
        <w:br w:type="page"/>
      </w:r>
    </w:p>
    <w:p w:rsidR="0018353F" w:rsidP="0018353F" w:rsidRDefault="0018353F" w14:paraId="3A719357" w14:textId="77777777">
      <w:pPr>
        <w:spacing w:line="276" w:lineRule="auto"/>
      </w:pPr>
      <w:r w:rsidRPr="00BBF241">
        <w:rPr>
          <w:b/>
          <w:bCs/>
        </w:rPr>
        <w:lastRenderedPageBreak/>
        <w:t>Vraag 4</w:t>
      </w:r>
    </w:p>
    <w:p w:rsidR="0018353F" w:rsidP="0018353F" w:rsidRDefault="0018353F" w14:paraId="322E3BC2" w14:textId="77777777">
      <w:pPr>
        <w:spacing w:line="276" w:lineRule="auto"/>
      </w:pPr>
      <w:r>
        <w:t xml:space="preserve">In het coalitieakkoord ‘Aan de slag’ is afgesproken dat er tevens wordt ingezet op samenwerking met andere hulporganisaties in de regio. Welke kansen ziet u om de hulpverlening te </w:t>
      </w:r>
      <w:proofErr w:type="spellStart"/>
      <w:r>
        <w:t>diversificeren</w:t>
      </w:r>
      <w:proofErr w:type="spellEnd"/>
      <w:r>
        <w:t xml:space="preserve"> en bent u bereid om hiermee aan de slag te gaan? Zo nee, waarom niet?</w:t>
      </w:r>
    </w:p>
    <w:p w:rsidR="0018353F" w:rsidP="0018353F" w:rsidRDefault="0018353F" w14:paraId="32B7626F" w14:textId="77777777">
      <w:pPr>
        <w:spacing w:line="276" w:lineRule="auto"/>
      </w:pPr>
    </w:p>
    <w:p w:rsidR="0018353F" w:rsidP="0018353F" w:rsidRDefault="0018353F" w14:paraId="404817D0" w14:textId="77777777">
      <w:pPr>
        <w:spacing w:line="276" w:lineRule="auto"/>
      </w:pPr>
      <w:r w:rsidRPr="00BBF241">
        <w:rPr>
          <w:b/>
          <w:bCs/>
        </w:rPr>
        <w:t>Antwoord</w:t>
      </w:r>
    </w:p>
    <w:p w:rsidR="0018353F" w:rsidP="0018353F" w:rsidRDefault="0018353F" w14:paraId="28C65816" w14:textId="77777777">
      <w:pPr>
        <w:spacing w:line="276" w:lineRule="auto"/>
        <w:rPr>
          <w:rFonts w:eastAsia="Verdana" w:cs="Verdana"/>
        </w:rPr>
      </w:pPr>
      <w:r w:rsidRPr="00BBF241">
        <w:rPr>
          <w:rFonts w:eastAsia="Verdana" w:cs="Verdana"/>
        </w:rPr>
        <w:t xml:space="preserve">Het kabinet blijft zich inzetten voor </w:t>
      </w:r>
      <w:r>
        <w:rPr>
          <w:rFonts w:eastAsia="Verdana" w:cs="Verdana"/>
        </w:rPr>
        <w:t xml:space="preserve">humanitaire hulp in de regio, en zet daarbij in op de ondersteuning van verschillende professionele hulporganisaties, waaronder de Verenigde Naties, de Rode Kruis- en Rode Halve Maanbeweging en de Dutch </w:t>
      </w:r>
      <w:proofErr w:type="spellStart"/>
      <w:r>
        <w:rPr>
          <w:rFonts w:eastAsia="Verdana" w:cs="Verdana"/>
        </w:rPr>
        <w:t>Relief</w:t>
      </w:r>
      <w:proofErr w:type="spellEnd"/>
      <w:r>
        <w:rPr>
          <w:rFonts w:eastAsia="Verdana" w:cs="Verdana"/>
        </w:rPr>
        <w:t xml:space="preserve"> Alliance. Nederland ondersteunt deze organisaties </w:t>
      </w:r>
      <w:r w:rsidRPr="00BBF241">
        <w:rPr>
          <w:rFonts w:eastAsia="Verdana" w:cs="Verdana"/>
        </w:rPr>
        <w:t xml:space="preserve">met </w:t>
      </w:r>
      <w:proofErr w:type="spellStart"/>
      <w:r>
        <w:rPr>
          <w:rFonts w:eastAsia="Verdana" w:cs="Verdana"/>
        </w:rPr>
        <w:t>ongeoormerkte</w:t>
      </w:r>
      <w:proofErr w:type="spellEnd"/>
      <w:r>
        <w:rPr>
          <w:rFonts w:eastAsia="Verdana" w:cs="Verdana"/>
        </w:rPr>
        <w:t>, flexibel inzetbare bijdragen</w:t>
      </w:r>
      <w:r w:rsidRPr="00BBF241">
        <w:rPr>
          <w:rFonts w:eastAsia="Verdana" w:cs="Verdana"/>
        </w:rPr>
        <w:t>. Dit stelt de organisaties in staat snel</w:t>
      </w:r>
      <w:r>
        <w:rPr>
          <w:rFonts w:eastAsia="Verdana" w:cs="Verdana"/>
        </w:rPr>
        <w:t>, wendbaar</w:t>
      </w:r>
      <w:r w:rsidRPr="00BBF241">
        <w:rPr>
          <w:rFonts w:eastAsia="Verdana" w:cs="Verdana"/>
        </w:rPr>
        <w:t xml:space="preserve"> en doelgericht hulp te bieden, </w:t>
      </w:r>
      <w:r>
        <w:rPr>
          <w:rFonts w:eastAsia="Verdana" w:cs="Verdana"/>
        </w:rPr>
        <w:t xml:space="preserve">óók in de Palestijnse gebieden. Daarnaast steunt Nederland ook crisis-specifieke fondsen, namelijk de </w:t>
      </w:r>
      <w:r w:rsidRPr="00083419">
        <w:t>Country-</w:t>
      </w:r>
      <w:proofErr w:type="spellStart"/>
      <w:r w:rsidRPr="00083419">
        <w:t>Based</w:t>
      </w:r>
      <w:proofErr w:type="spellEnd"/>
      <w:r w:rsidRPr="3F6B3F42">
        <w:t xml:space="preserve"> </w:t>
      </w:r>
      <w:proofErr w:type="spellStart"/>
      <w:r w:rsidRPr="00083419">
        <w:t>Pooled</w:t>
      </w:r>
      <w:proofErr w:type="spellEnd"/>
      <w:r w:rsidRPr="00083419">
        <w:t xml:space="preserve"> Funds (</w:t>
      </w:r>
      <w:proofErr w:type="spellStart"/>
      <w:r w:rsidRPr="00083419">
        <w:t>CBPF’s</w:t>
      </w:r>
      <w:proofErr w:type="spellEnd"/>
      <w:r>
        <w:t xml:space="preserve">), waarmee de VN </w:t>
      </w:r>
      <w:r w:rsidRPr="00083419">
        <w:t>snel en gecoördineerd steun kan verlenen aan hulporganisaties die in een door crisis getroffen gebied actief zijn</w:t>
      </w:r>
      <w:r>
        <w:t>, waaronder ook in de Palestijnse gebieden</w:t>
      </w:r>
      <w:r w:rsidRPr="3F6B3F42">
        <w:t xml:space="preserve">. </w:t>
      </w:r>
      <w:r>
        <w:t>Via deze fondsen</w:t>
      </w:r>
      <w:r w:rsidRPr="00083419">
        <w:t xml:space="preserve"> worden middelen gealloceerd aan partners </w:t>
      </w:r>
      <w:r>
        <w:t>die bekend zijn met de context, zoals (internationale) ngo's, de Rode Kruis- en Rode Halve Maanbeweging en de VN</w:t>
      </w:r>
      <w:r w:rsidRPr="3F6B3F42">
        <w:t xml:space="preserve">. </w:t>
      </w:r>
    </w:p>
    <w:p w:rsidR="0018353F" w:rsidP="0018353F" w:rsidRDefault="0018353F" w14:paraId="5C2E0F72" w14:textId="77777777">
      <w:pPr>
        <w:spacing w:line="276" w:lineRule="auto"/>
        <w:rPr>
          <w:highlight w:val="yellow"/>
        </w:rPr>
      </w:pPr>
    </w:p>
    <w:p w:rsidR="0018353F" w:rsidP="0018353F" w:rsidRDefault="0018353F" w14:paraId="6E135EE1" w14:textId="77777777">
      <w:pPr>
        <w:spacing w:line="276" w:lineRule="auto"/>
      </w:pPr>
      <w:r w:rsidRPr="00BBF241">
        <w:rPr>
          <w:b/>
          <w:bCs/>
        </w:rPr>
        <w:t>Vraag 5</w:t>
      </w:r>
    </w:p>
    <w:p w:rsidR="0018353F" w:rsidP="0018353F" w:rsidRDefault="0018353F" w14:paraId="782BCF1A" w14:textId="77777777">
      <w:pPr>
        <w:spacing w:line="276" w:lineRule="auto"/>
      </w:pPr>
      <w:r>
        <w:t xml:space="preserve">Kunt u een overzicht geven van de totale financiële middelen die in de afgelopen vijf jaar vanuit Nederland via de Dutch </w:t>
      </w:r>
      <w:proofErr w:type="spellStart"/>
      <w:r>
        <w:t>Relief</w:t>
      </w:r>
      <w:proofErr w:type="spellEnd"/>
      <w:r>
        <w:t xml:space="preserve"> Alliance (DRA) beschikbaar zijn gesteld voor hulpverlening in de Gazastrook?</w:t>
      </w:r>
    </w:p>
    <w:p w:rsidR="0018353F" w:rsidP="0018353F" w:rsidRDefault="0018353F" w14:paraId="43B511E7" w14:textId="77777777">
      <w:pPr>
        <w:spacing w:line="276" w:lineRule="auto"/>
      </w:pPr>
    </w:p>
    <w:p w:rsidR="0018353F" w:rsidP="0018353F" w:rsidRDefault="0018353F" w14:paraId="147CB5B2" w14:textId="77777777">
      <w:pPr>
        <w:spacing w:line="276" w:lineRule="auto"/>
      </w:pPr>
      <w:r w:rsidRPr="00BBF241">
        <w:rPr>
          <w:b/>
          <w:bCs/>
        </w:rPr>
        <w:t>Antwoord</w:t>
      </w:r>
    </w:p>
    <w:p w:rsidR="0018353F" w:rsidP="0018353F" w:rsidRDefault="0018353F" w14:paraId="0F531AED" w14:textId="77777777">
      <w:pPr>
        <w:spacing w:line="276" w:lineRule="auto"/>
        <w:rPr>
          <w:highlight w:val="yellow"/>
        </w:rPr>
      </w:pPr>
      <w:r>
        <w:t>Ja.</w:t>
      </w:r>
    </w:p>
    <w:p w:rsidR="0018353F" w:rsidP="0018353F" w:rsidRDefault="0018353F" w14:paraId="023C9E7D" w14:textId="77777777">
      <w:pPr>
        <w:spacing w:line="276" w:lineRule="auto"/>
        <w:rPr>
          <w:highlight w:val="yellow"/>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35"/>
        <w:gridCol w:w="1995"/>
        <w:gridCol w:w="1212"/>
      </w:tblGrid>
      <w:tr w:rsidRPr="00E65444" w:rsidR="0018353F" w:rsidTr="00976971" w14:paraId="4E6ADA65" w14:textId="77777777">
        <w:tc>
          <w:tcPr>
            <w:tcW w:w="4035" w:type="dxa"/>
            <w:tcBorders>
              <w:top w:val="single" w:color="83CAEB" w:themeColor="accent1" w:themeTint="66" w:sz="6" w:space="0"/>
              <w:left w:val="outset" w:color="auto" w:sz="6" w:space="0"/>
              <w:bottom w:val="single" w:color="45B0E1" w:themeColor="accent1" w:themeTint="99" w:sz="12" w:space="0"/>
              <w:right w:val="single" w:color="83CAEB" w:themeColor="accent1" w:themeTint="66" w:sz="6" w:space="0"/>
            </w:tcBorders>
            <w:hideMark/>
          </w:tcPr>
          <w:p w:rsidRPr="00E65444" w:rsidR="0018353F" w:rsidP="00976971" w:rsidRDefault="0018353F" w14:paraId="6A98D136" w14:textId="77777777">
            <w:pPr>
              <w:spacing w:line="276" w:lineRule="auto"/>
              <w:rPr>
                <w:b/>
                <w:bCs/>
              </w:rPr>
            </w:pPr>
            <w:r w:rsidRPr="00E65444">
              <w:rPr>
                <w:b/>
                <w:bCs/>
              </w:rPr>
              <w:t>Project </w:t>
            </w:r>
          </w:p>
        </w:tc>
        <w:tc>
          <w:tcPr>
            <w:tcW w:w="1995" w:type="dxa"/>
            <w:tcBorders>
              <w:top w:val="single" w:color="83CAEB" w:themeColor="accent1" w:themeTint="66" w:sz="6" w:space="0"/>
              <w:left w:val="outset" w:color="auto" w:sz="6" w:space="0"/>
              <w:bottom w:val="single" w:color="45B0E1" w:themeColor="accent1" w:themeTint="99" w:sz="12" w:space="0"/>
              <w:right w:val="single" w:color="83CAEB" w:themeColor="accent1" w:themeTint="66" w:sz="6" w:space="0"/>
            </w:tcBorders>
            <w:hideMark/>
          </w:tcPr>
          <w:p w:rsidRPr="00E65444" w:rsidR="0018353F" w:rsidP="00976971" w:rsidRDefault="0018353F" w14:paraId="039F007B" w14:textId="77777777">
            <w:pPr>
              <w:spacing w:line="276" w:lineRule="auto"/>
              <w:rPr>
                <w:b/>
                <w:bCs/>
              </w:rPr>
            </w:pPr>
            <w:r w:rsidRPr="00E65444">
              <w:rPr>
                <w:b/>
                <w:bCs/>
              </w:rPr>
              <w:t>Periode </w:t>
            </w:r>
          </w:p>
        </w:tc>
        <w:tc>
          <w:tcPr>
            <w:tcW w:w="1080" w:type="dxa"/>
            <w:tcBorders>
              <w:top w:val="single" w:color="83CAEB" w:themeColor="accent1" w:themeTint="66" w:sz="6" w:space="0"/>
              <w:left w:val="outset" w:color="auto" w:sz="6" w:space="0"/>
              <w:bottom w:val="single" w:color="45B0E1" w:themeColor="accent1" w:themeTint="99" w:sz="12" w:space="0"/>
              <w:right w:val="single" w:color="83CAEB" w:themeColor="accent1" w:themeTint="66" w:sz="6" w:space="0"/>
            </w:tcBorders>
            <w:hideMark/>
          </w:tcPr>
          <w:p w:rsidRPr="00E65444" w:rsidR="0018353F" w:rsidP="00976971" w:rsidRDefault="0018353F" w14:paraId="05E21C78" w14:textId="77777777">
            <w:pPr>
              <w:spacing w:line="276" w:lineRule="auto"/>
              <w:rPr>
                <w:b/>
                <w:bCs/>
              </w:rPr>
            </w:pPr>
            <w:r w:rsidRPr="00E65444">
              <w:rPr>
                <w:b/>
                <w:bCs/>
              </w:rPr>
              <w:t>Bedrag </w:t>
            </w:r>
          </w:p>
        </w:tc>
      </w:tr>
      <w:tr w:rsidRPr="00E65444" w:rsidR="0018353F" w:rsidTr="00976971" w14:paraId="034DD414"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18353F" w:rsidR="0018353F" w:rsidP="0018353F" w:rsidRDefault="0018353F" w14:paraId="7449345F" w14:textId="77777777">
            <w:pPr>
              <w:pStyle w:val="Lijstalinea"/>
              <w:numPr>
                <w:ilvl w:val="0"/>
                <w:numId w:val="1"/>
              </w:numPr>
              <w:autoSpaceDN w:val="0"/>
              <w:spacing w:line="276" w:lineRule="auto"/>
              <w:rPr>
                <w:lang w:val="en-US"/>
              </w:rPr>
            </w:pPr>
            <w:r w:rsidRPr="0018353F">
              <w:rPr>
                <w:lang w:val="en-US"/>
              </w:rPr>
              <w:t>Gaza Humanitarian Joint response project 2021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376B1EFE" w14:textId="77777777">
            <w:pPr>
              <w:spacing w:line="276" w:lineRule="auto"/>
            </w:pPr>
            <w:r w:rsidRPr="00E65444">
              <w:t>25-06-2021 – 24-12-2021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2390C121" w14:textId="77777777">
            <w:pPr>
              <w:spacing w:line="276" w:lineRule="auto"/>
            </w:pPr>
            <w:r w:rsidRPr="00E65444">
              <w:t>EUR 2mln. </w:t>
            </w:r>
          </w:p>
        </w:tc>
      </w:tr>
      <w:tr w:rsidRPr="00E65444" w:rsidR="0018353F" w:rsidTr="00976971" w14:paraId="555C1C32"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18353F" w:rsidR="0018353F" w:rsidP="0018353F" w:rsidRDefault="0018353F" w14:paraId="5BCDA282" w14:textId="77777777">
            <w:pPr>
              <w:pStyle w:val="Lijstalinea"/>
              <w:numPr>
                <w:ilvl w:val="0"/>
                <w:numId w:val="1"/>
              </w:numPr>
              <w:autoSpaceDN w:val="0"/>
              <w:spacing w:line="276" w:lineRule="auto"/>
              <w:rPr>
                <w:lang w:val="en-US"/>
              </w:rPr>
            </w:pPr>
            <w:r w:rsidRPr="0018353F">
              <w:rPr>
                <w:lang w:val="en-US"/>
              </w:rPr>
              <w:lastRenderedPageBreak/>
              <w:t>Gaza Humanitarian Joint response project 2023-2024 </w:t>
            </w:r>
          </w:p>
          <w:p w:rsidRPr="0018353F" w:rsidR="0018353F" w:rsidP="00976971" w:rsidRDefault="0018353F" w14:paraId="7AE04B9D" w14:textId="77777777">
            <w:pPr>
              <w:spacing w:line="276" w:lineRule="auto"/>
              <w:rPr>
                <w:lang w:val="en-US"/>
              </w:rPr>
            </w:pPr>
            <w:r w:rsidRPr="0018353F">
              <w:rPr>
                <w:lang w:val="en-US"/>
              </w:rPr>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09C1B695" w14:textId="77777777">
            <w:pPr>
              <w:spacing w:line="276" w:lineRule="auto"/>
            </w:pPr>
            <w:r w:rsidRPr="00E65444">
              <w:t>14-10-2023 – 13-10-2024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67861F02" w14:textId="77777777">
            <w:pPr>
              <w:spacing w:line="276" w:lineRule="auto"/>
            </w:pPr>
            <w:r w:rsidRPr="00E65444">
              <w:t>EUR 7mln. </w:t>
            </w:r>
          </w:p>
          <w:p w:rsidRPr="00E65444" w:rsidR="0018353F" w:rsidP="00976971" w:rsidRDefault="0018353F" w14:paraId="1F60885D" w14:textId="77777777">
            <w:pPr>
              <w:spacing w:line="276" w:lineRule="auto"/>
            </w:pPr>
            <w:r w:rsidRPr="00E65444">
              <w:t> </w:t>
            </w:r>
          </w:p>
        </w:tc>
      </w:tr>
      <w:tr w:rsidRPr="00E65444" w:rsidR="0018353F" w:rsidTr="00976971" w14:paraId="311734B2"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18353F" w:rsidR="0018353F" w:rsidP="0018353F" w:rsidRDefault="0018353F" w14:paraId="49B27DC9" w14:textId="77777777">
            <w:pPr>
              <w:pStyle w:val="Lijstalinea"/>
              <w:numPr>
                <w:ilvl w:val="0"/>
                <w:numId w:val="1"/>
              </w:numPr>
              <w:autoSpaceDN w:val="0"/>
              <w:spacing w:line="276" w:lineRule="auto"/>
              <w:rPr>
                <w:lang w:val="en-US"/>
              </w:rPr>
            </w:pPr>
            <w:r w:rsidRPr="0018353F">
              <w:rPr>
                <w:lang w:val="en-US"/>
              </w:rPr>
              <w:t>Gaza Humanitarian Joint response project 2025 </w:t>
            </w:r>
          </w:p>
          <w:p w:rsidRPr="0018353F" w:rsidR="0018353F" w:rsidP="00976971" w:rsidRDefault="0018353F" w14:paraId="5F9056C4" w14:textId="77777777">
            <w:pPr>
              <w:spacing w:line="276" w:lineRule="auto"/>
              <w:rPr>
                <w:lang w:val="en-US"/>
              </w:rPr>
            </w:pPr>
            <w:r w:rsidRPr="0018353F">
              <w:rPr>
                <w:lang w:val="en-US"/>
              </w:rPr>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3F5D99BC" w14:textId="77777777">
            <w:pPr>
              <w:spacing w:line="276" w:lineRule="auto"/>
            </w:pPr>
            <w:r w:rsidRPr="00E65444">
              <w:t>24-01-2025 – 23-10-2025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04DF96CB" w14:textId="77777777">
            <w:pPr>
              <w:spacing w:line="276" w:lineRule="auto"/>
            </w:pPr>
            <w:r w:rsidRPr="00E65444">
              <w:t>EUR 3mln. </w:t>
            </w:r>
          </w:p>
          <w:p w:rsidRPr="00E65444" w:rsidR="0018353F" w:rsidP="00976971" w:rsidRDefault="0018353F" w14:paraId="10A8A6E4" w14:textId="77777777">
            <w:pPr>
              <w:spacing w:line="276" w:lineRule="auto"/>
            </w:pPr>
            <w:r w:rsidRPr="00E65444">
              <w:t> </w:t>
            </w:r>
          </w:p>
        </w:tc>
      </w:tr>
      <w:tr w:rsidRPr="00E65444" w:rsidR="0018353F" w:rsidTr="00976971" w14:paraId="50AFCD50"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18353F" w:rsidR="0018353F" w:rsidP="0018353F" w:rsidRDefault="0018353F" w14:paraId="624D6F86" w14:textId="77777777">
            <w:pPr>
              <w:pStyle w:val="Lijstalinea"/>
              <w:numPr>
                <w:ilvl w:val="0"/>
                <w:numId w:val="1"/>
              </w:numPr>
              <w:autoSpaceDN w:val="0"/>
              <w:spacing w:line="276" w:lineRule="auto"/>
              <w:rPr>
                <w:lang w:val="en-US"/>
              </w:rPr>
            </w:pPr>
            <w:r w:rsidRPr="0018353F">
              <w:rPr>
                <w:lang w:val="en-US"/>
              </w:rPr>
              <w:t>Gaza Humanitarian Joint response project 2025-2026 </w:t>
            </w:r>
          </w:p>
          <w:p w:rsidRPr="0018353F" w:rsidR="0018353F" w:rsidP="00976971" w:rsidRDefault="0018353F" w14:paraId="4FBC3FDF" w14:textId="77777777">
            <w:pPr>
              <w:spacing w:line="276" w:lineRule="auto"/>
              <w:rPr>
                <w:lang w:val="en-US"/>
              </w:rPr>
            </w:pPr>
            <w:r w:rsidRPr="0018353F">
              <w:rPr>
                <w:lang w:val="en-US"/>
              </w:rPr>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03EB1FD6" w14:textId="77777777">
            <w:pPr>
              <w:spacing w:line="276" w:lineRule="auto"/>
            </w:pPr>
            <w:r w:rsidRPr="00E65444">
              <w:t>24-10-2025 – 23-07-2026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6E3115B4" w14:textId="77777777">
            <w:pPr>
              <w:spacing w:line="276" w:lineRule="auto"/>
            </w:pPr>
            <w:r w:rsidRPr="00E65444">
              <w:t>EUR 3mln. (is nog lopend) </w:t>
            </w:r>
          </w:p>
          <w:p w:rsidRPr="00E65444" w:rsidR="0018353F" w:rsidP="00976971" w:rsidRDefault="0018353F" w14:paraId="6C1A86BC" w14:textId="77777777">
            <w:pPr>
              <w:spacing w:line="276" w:lineRule="auto"/>
            </w:pPr>
            <w:r w:rsidRPr="00E65444">
              <w:t> </w:t>
            </w:r>
          </w:p>
        </w:tc>
      </w:tr>
      <w:tr w:rsidRPr="00E65444" w:rsidR="0018353F" w:rsidTr="00976971" w14:paraId="45877075"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03644903" w14:textId="77777777">
            <w:pPr>
              <w:spacing w:line="276" w:lineRule="auto"/>
            </w:pPr>
            <w:r w:rsidRPr="00E65444">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3951AE7D" w14:textId="77777777">
            <w:pPr>
              <w:spacing w:line="276" w:lineRule="auto"/>
            </w:pPr>
            <w:r w:rsidRPr="00E65444">
              <w:rPr>
                <w:b/>
                <w:bCs/>
              </w:rPr>
              <w:t>In totaal:</w:t>
            </w:r>
            <w:r w:rsidRPr="00E65444">
              <w:t>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hideMark/>
          </w:tcPr>
          <w:p w:rsidRPr="00E65444" w:rsidR="0018353F" w:rsidP="00976971" w:rsidRDefault="0018353F" w14:paraId="0D9FC64F" w14:textId="77777777">
            <w:pPr>
              <w:spacing w:line="276" w:lineRule="auto"/>
            </w:pPr>
            <w:r w:rsidRPr="00E65444">
              <w:rPr>
                <w:b/>
                <w:bCs/>
              </w:rPr>
              <w:t>E</w:t>
            </w:r>
            <w:r>
              <w:rPr>
                <w:b/>
                <w:bCs/>
              </w:rPr>
              <w:t>UR</w:t>
            </w:r>
            <w:r w:rsidRPr="00E65444">
              <w:rPr>
                <w:b/>
                <w:bCs/>
              </w:rPr>
              <w:t> 15mln.</w:t>
            </w:r>
            <w:r w:rsidRPr="00E65444">
              <w:t> </w:t>
            </w:r>
          </w:p>
        </w:tc>
      </w:tr>
    </w:tbl>
    <w:p w:rsidR="0018353F" w:rsidP="0018353F" w:rsidRDefault="0018353F" w14:paraId="77F21556" w14:textId="77777777">
      <w:pPr>
        <w:spacing w:line="276" w:lineRule="auto"/>
        <w:rPr>
          <w:highlight w:val="yellow"/>
        </w:rPr>
      </w:pPr>
    </w:p>
    <w:p w:rsidR="0018353F" w:rsidP="0018353F" w:rsidRDefault="0018353F" w14:paraId="1D298678" w14:textId="77777777">
      <w:pPr>
        <w:spacing w:line="276" w:lineRule="auto"/>
      </w:pPr>
      <w:r w:rsidRPr="34B9484D">
        <w:rPr>
          <w:rFonts w:eastAsia="Verdana" w:cs="Verdana"/>
        </w:rPr>
        <w:t>Project nummer 2 was een DRA response voor 2</w:t>
      </w:r>
      <w:r>
        <w:rPr>
          <w:rFonts w:eastAsia="Verdana" w:cs="Verdana"/>
        </w:rPr>
        <w:t xml:space="preserve"> miljoen euro </w:t>
      </w:r>
      <w:r w:rsidRPr="34B9484D">
        <w:rPr>
          <w:rFonts w:eastAsia="Verdana" w:cs="Verdana"/>
        </w:rPr>
        <w:t xml:space="preserve">waarop de DRA op </w:t>
      </w:r>
      <w:r>
        <w:rPr>
          <w:rFonts w:eastAsia="Verdana" w:cs="Verdana"/>
        </w:rPr>
        <w:t xml:space="preserve">14 november 2023 </w:t>
      </w:r>
      <w:r w:rsidRPr="34B9484D">
        <w:rPr>
          <w:rFonts w:eastAsia="Verdana" w:cs="Verdana"/>
        </w:rPr>
        <w:t xml:space="preserve">een </w:t>
      </w:r>
      <w:r>
        <w:rPr>
          <w:rFonts w:eastAsia="Verdana" w:cs="Verdana"/>
        </w:rPr>
        <w:t xml:space="preserve">aanvullende bijdrage van 5 miljoen euro ontving van de </w:t>
      </w:r>
      <w:r w:rsidRPr="34B9484D">
        <w:rPr>
          <w:rFonts w:eastAsia="Verdana" w:cs="Verdana"/>
        </w:rPr>
        <w:t>Nederlandse overheid. Dit betreft een totaalbedrag van 7 miljoen euro en niet 10 miljoen euro zoals wordt vermeld in het rapport van "NGO Monitor".</w:t>
      </w:r>
    </w:p>
    <w:p w:rsidR="0018353F" w:rsidP="0018353F" w:rsidRDefault="0018353F" w14:paraId="5D1877BE" w14:textId="77777777">
      <w:pPr>
        <w:spacing w:line="276" w:lineRule="auto"/>
        <w:rPr>
          <w:rFonts w:eastAsia="Verdana" w:cs="Verdana"/>
        </w:rPr>
      </w:pPr>
    </w:p>
    <w:p w:rsidR="0018353F" w:rsidP="0018353F" w:rsidRDefault="0018353F" w14:paraId="0EB69F2D" w14:textId="77777777">
      <w:pPr>
        <w:spacing w:line="276" w:lineRule="auto"/>
      </w:pPr>
      <w:r w:rsidRPr="00BBF241">
        <w:rPr>
          <w:b/>
          <w:bCs/>
        </w:rPr>
        <w:t>Vraag 6</w:t>
      </w:r>
    </w:p>
    <w:p w:rsidR="0018353F" w:rsidP="0018353F" w:rsidRDefault="0018353F" w14:paraId="0F052B16" w14:textId="77777777">
      <w:pPr>
        <w:spacing w:line="276" w:lineRule="auto"/>
      </w:pPr>
      <w:r>
        <w:t>Welke bedragen zijn er voor de komende jaren begroot of reeds gereserveerd voor de uitvoering van projecten door de DRA in de Gazastrook?</w:t>
      </w:r>
    </w:p>
    <w:p w:rsidR="0018353F" w:rsidP="0018353F" w:rsidRDefault="0018353F" w14:paraId="5452A523" w14:textId="77777777">
      <w:pPr>
        <w:spacing w:line="276" w:lineRule="auto"/>
      </w:pPr>
    </w:p>
    <w:p w:rsidR="0018353F" w:rsidP="0018353F" w:rsidRDefault="0018353F" w14:paraId="019607C2" w14:textId="77777777">
      <w:pPr>
        <w:spacing w:line="276" w:lineRule="auto"/>
      </w:pPr>
      <w:r w:rsidRPr="00BBF241">
        <w:rPr>
          <w:b/>
          <w:bCs/>
        </w:rPr>
        <w:t>Antwoord</w:t>
      </w:r>
    </w:p>
    <w:p w:rsidR="0018353F" w:rsidP="0018353F" w:rsidRDefault="0018353F" w14:paraId="73B4615C" w14:textId="77777777">
      <w:pPr>
        <w:spacing w:line="276" w:lineRule="auto"/>
        <w:rPr>
          <w:highlight w:val="yellow"/>
        </w:rPr>
      </w:pPr>
      <w:r w:rsidRPr="000C5BE6">
        <w:t xml:space="preserve">Zie antwoord op vraag 5. </w:t>
      </w:r>
      <w:r w:rsidRPr="34B9484D">
        <w:rPr>
          <w:rFonts w:eastAsia="Verdana" w:cs="Verdana"/>
        </w:rPr>
        <w:t>Behalve het deels nog uit te voeren project nummer 4</w:t>
      </w:r>
      <w:r>
        <w:rPr>
          <w:rFonts w:eastAsia="Verdana" w:cs="Verdana"/>
        </w:rPr>
        <w:t>,</w:t>
      </w:r>
      <w:r w:rsidRPr="34B9484D">
        <w:rPr>
          <w:rFonts w:eastAsia="Verdana" w:cs="Verdana"/>
        </w:rPr>
        <w:t xml:space="preserve"> zijn er voor de komende jaren geen fondsen begroot of gereserveerd voor de uitvoering van projecten door DRA in de Gazastrook.</w:t>
      </w:r>
      <w:r>
        <w:rPr>
          <w:rFonts w:eastAsia="Verdana" w:cs="Verdana"/>
        </w:rPr>
        <w:t xml:space="preserve"> Het subsidiebeleidskader Humanitaire Hulp 2022-2026 waarmee de DRA gefinancierd wordt loopt in 2026 af. Ik ben voornemens medio dit jaar een nieuw kader te publiceren voor de periode 2027-2031. Subsidies uit dit kader zullen onder andere ten goede komen aan de DRA. Op basis van de hoogste noden, bepaalt de DRA zelf waar deze </w:t>
      </w:r>
      <w:proofErr w:type="spellStart"/>
      <w:r>
        <w:rPr>
          <w:rFonts w:eastAsia="Verdana" w:cs="Verdana"/>
        </w:rPr>
        <w:t>ongeoormerkte</w:t>
      </w:r>
      <w:proofErr w:type="spellEnd"/>
      <w:r>
        <w:rPr>
          <w:rFonts w:eastAsia="Verdana" w:cs="Verdana"/>
        </w:rPr>
        <w:t xml:space="preserve">, flexibele bijdragen worden ingezet. </w:t>
      </w:r>
    </w:p>
    <w:p w:rsidR="0018353F" w:rsidP="0018353F" w:rsidRDefault="0018353F" w14:paraId="6A07F5FD" w14:textId="77777777">
      <w:pPr>
        <w:spacing w:line="276" w:lineRule="auto"/>
        <w:rPr>
          <w:highlight w:val="yellow"/>
        </w:rPr>
      </w:pPr>
    </w:p>
    <w:p w:rsidR="0018353F" w:rsidP="0018353F" w:rsidRDefault="0018353F" w14:paraId="4E74E21F" w14:textId="77777777">
      <w:pPr>
        <w:spacing w:line="276" w:lineRule="auto"/>
      </w:pPr>
      <w:r w:rsidRPr="00BBF241">
        <w:rPr>
          <w:b/>
          <w:bCs/>
        </w:rPr>
        <w:t>Vraag 7</w:t>
      </w:r>
    </w:p>
    <w:p w:rsidR="0018353F" w:rsidP="0018353F" w:rsidRDefault="0018353F" w14:paraId="751398B9" w14:textId="77777777">
      <w:pPr>
        <w:spacing w:line="276" w:lineRule="auto"/>
      </w:pPr>
      <w:r>
        <w:lastRenderedPageBreak/>
        <w:t>Bent u bereid om, mede naar aanleiding van het rapport van NGO Monitor, zorg te dragen voor een striktere en onafhankelijke screening van de partners binnen de DRA om te voorkomen dat hulpfondsen bij aan Hamas gelieerde organisaties terechtkomen?</w:t>
      </w:r>
    </w:p>
    <w:p w:rsidR="0018353F" w:rsidP="0018353F" w:rsidRDefault="0018353F" w14:paraId="0BD6ECC4" w14:textId="77777777">
      <w:pPr>
        <w:spacing w:line="276" w:lineRule="auto"/>
      </w:pPr>
    </w:p>
    <w:p w:rsidR="0018353F" w:rsidP="0018353F" w:rsidRDefault="0018353F" w14:paraId="4F45E2E9" w14:textId="77777777">
      <w:pPr>
        <w:spacing w:line="276" w:lineRule="auto"/>
      </w:pPr>
      <w:r w:rsidRPr="00BBF241">
        <w:rPr>
          <w:b/>
          <w:bCs/>
        </w:rPr>
        <w:t>Antwoord</w:t>
      </w:r>
    </w:p>
    <w:p w:rsidR="0018353F" w:rsidP="0018353F" w:rsidRDefault="0018353F" w14:paraId="471ED7F7" w14:textId="77777777">
      <w:pPr>
        <w:spacing w:line="276" w:lineRule="auto"/>
      </w:pPr>
      <w:r>
        <w:t>Nee. Zie antwoord op vraag 2</w:t>
      </w:r>
    </w:p>
    <w:p w:rsidR="0018353F" w:rsidP="0018353F" w:rsidRDefault="0018353F" w14:paraId="054FF7F9" w14:textId="77777777">
      <w:pPr>
        <w:spacing w:line="276" w:lineRule="auto"/>
      </w:pPr>
    </w:p>
    <w:p w:rsidR="0018353F" w:rsidP="0018353F" w:rsidRDefault="0018353F" w14:paraId="67E8CBBE" w14:textId="77777777">
      <w:pPr>
        <w:spacing w:line="276" w:lineRule="auto"/>
      </w:pPr>
      <w:r w:rsidRPr="00BBF241">
        <w:rPr>
          <w:b/>
          <w:bCs/>
        </w:rPr>
        <w:t>Vraag 8</w:t>
      </w:r>
    </w:p>
    <w:p w:rsidR="0018353F" w:rsidP="0018353F" w:rsidRDefault="0018353F" w14:paraId="68DD3261" w14:textId="77777777">
      <w:pPr>
        <w:spacing w:line="276" w:lineRule="auto"/>
      </w:pPr>
      <w:r>
        <w:t>Wat is uw reactie op de bevinding dat de door Nederland gefinancierde niet-gouvernementele organisatie (ngo)'s significant meer berichten op sociale media plaatsen over Israël dan over alle andere wereldconflicten samen?</w:t>
      </w:r>
    </w:p>
    <w:p w:rsidR="0018353F" w:rsidP="0018353F" w:rsidRDefault="0018353F" w14:paraId="08E2A4D5" w14:textId="77777777">
      <w:pPr>
        <w:spacing w:line="276" w:lineRule="auto"/>
      </w:pPr>
    </w:p>
    <w:p w:rsidR="0018353F" w:rsidP="0018353F" w:rsidRDefault="0018353F" w14:paraId="79DA40F0" w14:textId="77777777">
      <w:pPr>
        <w:spacing w:line="276" w:lineRule="auto"/>
      </w:pPr>
      <w:r w:rsidRPr="00BBF241">
        <w:rPr>
          <w:b/>
          <w:bCs/>
        </w:rPr>
        <w:t>Antwoord</w:t>
      </w:r>
    </w:p>
    <w:p w:rsidR="0018353F" w:rsidP="0018353F" w:rsidRDefault="0018353F" w14:paraId="44FA34EB" w14:textId="77777777">
      <w:pPr>
        <w:spacing w:line="276" w:lineRule="auto"/>
      </w:pPr>
      <w:r w:rsidRPr="0049484F">
        <w:t xml:space="preserve">Het is aan </w:t>
      </w:r>
      <w:r>
        <w:t>de ngo’s</w:t>
      </w:r>
      <w:r w:rsidRPr="0049484F">
        <w:t xml:space="preserve"> om</w:t>
      </w:r>
      <w:r>
        <w:t xml:space="preserve"> zelfstandig</w:t>
      </w:r>
      <w:r w:rsidRPr="0049484F">
        <w:t xml:space="preserve"> keuzes te maken over hun publieke communicatie, waaronder het al dan niet plaatsen van berichten op sociale media</w:t>
      </w:r>
      <w:r>
        <w:t>. Die ruimte is een fundamenteel onderdeel van hun onafhankelijkheid en valt onder de vrijheid van meningsuiting. Het ministerie kan alleen afspraken maken met ngo’s over de publieke communicatie rond door Nederland gefinancierde specifieke activiteiten.</w:t>
      </w:r>
    </w:p>
    <w:p w:rsidR="002C3023" w:rsidRDefault="002C3023" w14:paraId="4DCCED6B" w14:textId="77777777"/>
    <w:sectPr w:rsidR="002C3023" w:rsidSect="0018353F">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257C" w14:textId="77777777" w:rsidR="0018353F" w:rsidRDefault="0018353F" w:rsidP="0018353F">
      <w:pPr>
        <w:spacing w:after="0" w:line="240" w:lineRule="auto"/>
      </w:pPr>
      <w:r>
        <w:separator/>
      </w:r>
    </w:p>
  </w:endnote>
  <w:endnote w:type="continuationSeparator" w:id="0">
    <w:p w14:paraId="29A3F40A" w14:textId="77777777" w:rsidR="0018353F" w:rsidRDefault="0018353F" w:rsidP="0018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9DD5" w14:textId="77777777" w:rsidR="0018353F" w:rsidRPr="0018353F" w:rsidRDefault="0018353F" w:rsidP="00183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A57A" w14:textId="77777777" w:rsidR="0018353F" w:rsidRPr="0018353F" w:rsidRDefault="0018353F" w:rsidP="001835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E0F8" w14:textId="77777777" w:rsidR="0018353F" w:rsidRPr="0018353F" w:rsidRDefault="0018353F" w:rsidP="00183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51DC" w14:textId="77777777" w:rsidR="0018353F" w:rsidRDefault="0018353F" w:rsidP="0018353F">
      <w:pPr>
        <w:spacing w:after="0" w:line="240" w:lineRule="auto"/>
      </w:pPr>
      <w:r>
        <w:separator/>
      </w:r>
    </w:p>
  </w:footnote>
  <w:footnote w:type="continuationSeparator" w:id="0">
    <w:p w14:paraId="7C3729DB" w14:textId="77777777" w:rsidR="0018353F" w:rsidRDefault="0018353F" w:rsidP="0018353F">
      <w:pPr>
        <w:spacing w:after="0" w:line="240" w:lineRule="auto"/>
      </w:pPr>
      <w:r>
        <w:continuationSeparator/>
      </w:r>
    </w:p>
  </w:footnote>
  <w:footnote w:id="1">
    <w:p w14:paraId="191F3566" w14:textId="77777777" w:rsidR="0018353F" w:rsidRDefault="0018353F" w:rsidP="0018353F">
      <w:pPr>
        <w:pStyle w:val="Voetnoottekst"/>
      </w:pPr>
      <w:r w:rsidRPr="005E61E3">
        <w:rPr>
          <w:rStyle w:val="Voetnootmarkering"/>
          <w:sz w:val="16"/>
          <w:szCs w:val="16"/>
        </w:rPr>
        <w:footnoteRef/>
      </w:r>
      <w:r>
        <w:t xml:space="preserve"> </w:t>
      </w:r>
      <w:r w:rsidRPr="00BC0417">
        <w:rPr>
          <w:sz w:val="16"/>
          <w:szCs w:val="16"/>
        </w:rPr>
        <w:t>Telegraaf, 21 februari 2026</w:t>
      </w:r>
      <w:r>
        <w:rPr>
          <w:sz w:val="16"/>
          <w:szCs w:val="16"/>
        </w:rPr>
        <w:t>:</w:t>
      </w:r>
      <w:r w:rsidRPr="00BC0417">
        <w:rPr>
          <w:sz w:val="16"/>
          <w:szCs w:val="16"/>
        </w:rPr>
        <w:t xml:space="preserve"> Ook bij Nederlandse hulporganisaties heeft Hamas een stevige vinger in de pap: ’Ze zien ngo’s als instrumenten voor terreur’</w:t>
      </w:r>
    </w:p>
  </w:footnote>
  <w:footnote w:id="2">
    <w:p w14:paraId="5D504BC4" w14:textId="77777777" w:rsidR="0018353F" w:rsidRPr="00083419" w:rsidRDefault="0018353F" w:rsidP="0018353F">
      <w:pPr>
        <w:pStyle w:val="Voetnoottekst"/>
        <w:rPr>
          <w:sz w:val="16"/>
          <w:szCs w:val="16"/>
        </w:rPr>
      </w:pPr>
      <w:r w:rsidRPr="005E61E3">
        <w:rPr>
          <w:rStyle w:val="Voetnootmarkering"/>
          <w:sz w:val="16"/>
          <w:szCs w:val="16"/>
        </w:rPr>
        <w:footnoteRef/>
      </w:r>
      <w:r>
        <w:t xml:space="preserve"> </w:t>
      </w:r>
      <w:r w:rsidRPr="008F4822">
        <w:rPr>
          <w:sz w:val="16"/>
          <w:szCs w:val="16"/>
        </w:rPr>
        <w:t>Beantwoording 2019Z26067</w:t>
      </w:r>
    </w:p>
  </w:footnote>
  <w:footnote w:id="3">
    <w:p w14:paraId="6C778381" w14:textId="77777777" w:rsidR="0018353F" w:rsidRPr="008F4822" w:rsidRDefault="0018353F" w:rsidP="0018353F">
      <w:pPr>
        <w:pStyle w:val="Voetnoottekst"/>
        <w:rPr>
          <w:sz w:val="16"/>
          <w:szCs w:val="16"/>
        </w:rPr>
      </w:pPr>
      <w:r w:rsidRPr="008F4822">
        <w:rPr>
          <w:rStyle w:val="Voetnootmarkering"/>
          <w:sz w:val="16"/>
          <w:szCs w:val="16"/>
        </w:rPr>
        <w:footnoteRef/>
      </w:r>
      <w:r w:rsidRPr="008F4822">
        <w:rPr>
          <w:sz w:val="16"/>
          <w:szCs w:val="16"/>
        </w:rPr>
        <w:t xml:space="preserve"> Beantwoording 2026D04675</w:t>
      </w:r>
    </w:p>
  </w:footnote>
  <w:footnote w:id="4">
    <w:p w14:paraId="3FFCDBE2" w14:textId="77777777" w:rsidR="0018353F" w:rsidRPr="008F4822" w:rsidRDefault="0018353F" w:rsidP="0018353F">
      <w:pPr>
        <w:pStyle w:val="Voetnoottekst"/>
        <w:rPr>
          <w:sz w:val="16"/>
          <w:szCs w:val="16"/>
        </w:rPr>
      </w:pPr>
      <w:r w:rsidRPr="008F4822">
        <w:rPr>
          <w:rStyle w:val="Voetnootmarkering"/>
          <w:sz w:val="16"/>
          <w:szCs w:val="16"/>
        </w:rPr>
        <w:footnoteRef/>
      </w:r>
      <w:r w:rsidRPr="008F4822">
        <w:rPr>
          <w:sz w:val="16"/>
          <w:szCs w:val="16"/>
        </w:rPr>
        <w:t xml:space="preserve"> Kamerstuk 23 432, nr. 559</w:t>
      </w:r>
    </w:p>
  </w:footnote>
  <w:footnote w:id="5">
    <w:p w14:paraId="628C35DB" w14:textId="77777777" w:rsidR="0018353F" w:rsidRPr="008F4822" w:rsidRDefault="0018353F" w:rsidP="0018353F">
      <w:pPr>
        <w:pStyle w:val="Voetnoottekst"/>
      </w:pPr>
      <w:r w:rsidRPr="008F4822">
        <w:rPr>
          <w:rStyle w:val="Voetnootmarkering"/>
          <w:sz w:val="16"/>
          <w:szCs w:val="16"/>
        </w:rPr>
        <w:footnoteRef/>
      </w:r>
      <w:r w:rsidRPr="008F4822">
        <w:rPr>
          <w:sz w:val="16"/>
          <w:szCs w:val="16"/>
        </w:rPr>
        <w:t xml:space="preserve"> Kamerstuk 36 180, nr. 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8899" w14:textId="77777777" w:rsidR="0018353F" w:rsidRPr="0018353F" w:rsidRDefault="0018353F" w:rsidP="00183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3207" w14:textId="77777777" w:rsidR="0018353F" w:rsidRPr="0018353F" w:rsidRDefault="0018353F" w:rsidP="001835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5F1E" w14:textId="77777777" w:rsidR="0018353F" w:rsidRPr="0018353F" w:rsidRDefault="0018353F" w:rsidP="001835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B7DEE"/>
    <w:multiLevelType w:val="hybridMultilevel"/>
    <w:tmpl w:val="07BAC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270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3F"/>
    <w:rsid w:val="000F7ED0"/>
    <w:rsid w:val="0018353F"/>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C851"/>
  <w15:chartTrackingRefBased/>
  <w15:docId w15:val="{E2845F4E-7EE6-41CB-8BCF-FE96D1C1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3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3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35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35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35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35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5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5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5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5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35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35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35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35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35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5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5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53F"/>
    <w:rPr>
      <w:rFonts w:eastAsiaTheme="majorEastAsia" w:cstheme="majorBidi"/>
      <w:color w:val="272727" w:themeColor="text1" w:themeTint="D8"/>
    </w:rPr>
  </w:style>
  <w:style w:type="paragraph" w:styleId="Titel">
    <w:name w:val="Title"/>
    <w:basedOn w:val="Standaard"/>
    <w:next w:val="Standaard"/>
    <w:link w:val="TitelChar"/>
    <w:uiPriority w:val="10"/>
    <w:qFormat/>
    <w:rsid w:val="00183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5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5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5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5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53F"/>
    <w:rPr>
      <w:i/>
      <w:iCs/>
      <w:color w:val="404040" w:themeColor="text1" w:themeTint="BF"/>
    </w:rPr>
  </w:style>
  <w:style w:type="paragraph" w:styleId="Lijstalinea">
    <w:name w:val="List Paragraph"/>
    <w:basedOn w:val="Standaard"/>
    <w:uiPriority w:val="34"/>
    <w:qFormat/>
    <w:rsid w:val="0018353F"/>
    <w:pPr>
      <w:ind w:left="720"/>
      <w:contextualSpacing/>
    </w:pPr>
  </w:style>
  <w:style w:type="character" w:styleId="Intensievebenadrukking">
    <w:name w:val="Intense Emphasis"/>
    <w:basedOn w:val="Standaardalinea-lettertype"/>
    <w:uiPriority w:val="21"/>
    <w:qFormat/>
    <w:rsid w:val="0018353F"/>
    <w:rPr>
      <w:i/>
      <w:iCs/>
      <w:color w:val="0F4761" w:themeColor="accent1" w:themeShade="BF"/>
    </w:rPr>
  </w:style>
  <w:style w:type="paragraph" w:styleId="Duidelijkcitaat">
    <w:name w:val="Intense Quote"/>
    <w:basedOn w:val="Standaard"/>
    <w:next w:val="Standaard"/>
    <w:link w:val="DuidelijkcitaatChar"/>
    <w:uiPriority w:val="30"/>
    <w:qFormat/>
    <w:rsid w:val="00183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353F"/>
    <w:rPr>
      <w:i/>
      <w:iCs/>
      <w:color w:val="0F4761" w:themeColor="accent1" w:themeShade="BF"/>
    </w:rPr>
  </w:style>
  <w:style w:type="character" w:styleId="Intensieveverwijzing">
    <w:name w:val="Intense Reference"/>
    <w:basedOn w:val="Standaardalinea-lettertype"/>
    <w:uiPriority w:val="32"/>
    <w:qFormat/>
    <w:rsid w:val="0018353F"/>
    <w:rPr>
      <w:b/>
      <w:bCs/>
      <w:smallCaps/>
      <w:color w:val="0F4761" w:themeColor="accent1" w:themeShade="BF"/>
      <w:spacing w:val="5"/>
    </w:rPr>
  </w:style>
  <w:style w:type="paragraph" w:customStyle="1" w:styleId="Referentiegegevens">
    <w:name w:val="Referentiegegevens"/>
    <w:basedOn w:val="Standaard"/>
    <w:next w:val="Standaard"/>
    <w:uiPriority w:val="9"/>
    <w:qFormat/>
    <w:rsid w:val="0018353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835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835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35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8353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353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353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353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35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35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353F"/>
    <w:rPr>
      <w:vertAlign w:val="superscript"/>
    </w:rPr>
  </w:style>
  <w:style w:type="paragraph" w:styleId="Geenafstand">
    <w:name w:val="No Spacing"/>
    <w:uiPriority w:val="1"/>
    <w:qFormat/>
    <w:rsid w:val="00183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896</ap:Words>
  <ap:Characters>4930</ap:Characters>
  <ap:DocSecurity>0</ap:DocSecurity>
  <ap:Lines>41</ap:Lines>
  <ap:Paragraphs>11</ap:Paragraphs>
  <ap:ScaleCrop>false</ap:ScaleCrop>
  <ap:LinksUpToDate>false</ap:LinksUpToDate>
  <ap:CharactersWithSpaces>5815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2026-03-17T14:55:00.0000000Z</dcterms:created>
  <dcterms:modified xsi:type="dcterms:W3CDTF">2026-03-17T14:56:00.0000000Z</dcterms:modified>
  <version/>
  <category/>
</coreProperties>
</file>