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2026Z05355</w:t>
        <w:br/>
      </w:r>
      <w:proofErr w:type="spellEnd"/>
    </w:p>
    <w:p>
      <w:pPr>
        <w:pStyle w:val="Normal"/>
        <w:rPr>
          <w:b w:val="1"/>
          <w:bCs w:val="1"/>
        </w:rPr>
      </w:pPr>
      <w:r w:rsidR="250AE766">
        <w:rPr>
          <w:b w:val="0"/>
          <w:bCs w:val="0"/>
        </w:rPr>
        <w:t>(ingezonden 18 maart 2026)</w:t>
        <w:br/>
      </w:r>
    </w:p>
    <w:p>
      <w:r>
        <w:t xml:space="preserve">Vragen van de leden Ceulemans en Boomsma (JA21) aan de minister van Asiel en Migratie over het interview met een asielrechter in NRC Handelsblad.</w:t>
      </w:r>
      <w:r>
        <w:br/>
      </w:r>
    </w:p>
    <w:p>
      <w:r>
        <w:t xml:space="preserve"> </w:t>
      </w:r>
      <w:r>
        <w:br/>
      </w:r>
    </w:p>
    <w:p>
      <w:pPr>
        <w:pStyle w:val="ListParagraph"/>
        <w:numPr>
          <w:ilvl w:val="0"/>
          <w:numId w:val="100500930"/>
        </w:numPr>
        <w:ind w:left="360"/>
      </w:pPr>
      <w:r>
        <w:t xml:space="preserve">Bent u bekend met het recente interview met een asielrechter in NRC Handelsblad? 1)</w:t>
      </w:r>
      <w:r>
        <w:br/>
      </w:r>
    </w:p>
    <w:p>
      <w:pPr>
        <w:pStyle w:val="ListParagraph"/>
        <w:numPr>
          <w:ilvl w:val="0"/>
          <w:numId w:val="100500930"/>
        </w:numPr>
        <w:ind w:left="360"/>
      </w:pPr>
      <w:r>
        <w:t xml:space="preserve">Hoe heeft het aantal prejudiciële verzoeken vanuit Nederland aan het Europees Hof inzake asielkwesties zich de afgelopen tien jaar ontwikkeld?</w:t>
      </w:r>
      <w:r>
        <w:br/>
      </w:r>
    </w:p>
    <w:p>
      <w:pPr>
        <w:pStyle w:val="ListParagraph"/>
        <w:numPr>
          <w:ilvl w:val="0"/>
          <w:numId w:val="100500930"/>
        </w:numPr>
        <w:ind w:left="360"/>
      </w:pPr>
      <w:r>
        <w:t xml:space="preserve">Welk deel van het totale aantal prejudiciële vragen over asielkwesties is de afgelopen tien jaar gesteld vanuit Nederland? </w:t>
      </w:r>
      <w:r>
        <w:br/>
      </w:r>
    </w:p>
    <w:p>
      <w:pPr>
        <w:pStyle w:val="ListParagraph"/>
        <w:numPr>
          <w:ilvl w:val="0"/>
          <w:numId w:val="100500930"/>
        </w:numPr>
        <w:ind w:left="360"/>
      </w:pPr>
      <w:r>
        <w:t xml:space="preserve">Zijn dergelijke verzoeken in voorgaande jaren ook voor een groot deel terug te voeren op één of enkele specifieke rechter(s)?</w:t>
      </w:r>
      <w:r>
        <w:br/>
      </w:r>
    </w:p>
    <w:p>
      <w:pPr>
        <w:pStyle w:val="ListParagraph"/>
        <w:numPr>
          <w:ilvl w:val="0"/>
          <w:numId w:val="100500930"/>
        </w:numPr>
        <w:ind w:left="360"/>
      </w:pPr>
      <w:r>
        <w:t xml:space="preserve">Ziet u grote verschillen in de manier waarop asielzaken worden behandeld door verschillende rechtbanken? Kunt u dit nader toelichten en specificeren?</w:t>
      </w:r>
      <w:r>
        <w:br/>
      </w:r>
    </w:p>
    <w:p>
      <w:pPr>
        <w:pStyle w:val="ListParagraph"/>
        <w:numPr>
          <w:ilvl w:val="0"/>
          <w:numId w:val="100500930"/>
        </w:numPr>
        <w:ind w:left="360"/>
      </w:pPr>
      <w:r>
        <w:t xml:space="preserve">Welke aanpassingen zijn de afgelopen vijf jaar gedaan aan de asielprocedure en/of de beoordeling van asielverzoeken als gevolg van de antwoorden op prejudiciële vragen? Hoe beoordeelt u de aanpassingen?</w:t>
      </w:r>
      <w:r>
        <w:br/>
      </w:r>
    </w:p>
    <w:p>
      <w:pPr>
        <w:pStyle w:val="ListParagraph"/>
        <w:numPr>
          <w:ilvl w:val="0"/>
          <w:numId w:val="100500930"/>
        </w:numPr>
        <w:ind w:left="360"/>
      </w:pPr>
      <w:r>
        <w:t xml:space="preserve">Deelt u de opvatting dat de asielprocedure de afgelopen jaren steeds complexer en tijds- en arbeidsintensiever is geworden, mede als gevolg van prejudiciële vragen en antwoorden en nieuwe jurisprudentie en dat dit onwenselijk is? Welke mogelijkheden ziet u om dit effect tegen te gaan?</w:t>
      </w:r>
      <w:r>
        <w:br/>
      </w:r>
    </w:p>
    <w:p>
      <w:pPr>
        <w:pStyle w:val="ListParagraph"/>
        <w:numPr>
          <w:ilvl w:val="0"/>
          <w:numId w:val="100500930"/>
        </w:numPr>
        <w:ind w:left="360"/>
      </w:pPr>
      <w:r>
        <w:t xml:space="preserve">Welke specifieke aanpassingen van de asielprocedure of de beoordeling van aanvragen als gevolg van prejudiciële vragen acht u onwenselijk, gezien de gevolgen?</w:t>
      </w:r>
      <w:r>
        <w:br/>
      </w:r>
    </w:p>
    <w:p>
      <w:pPr>
        <w:pStyle w:val="ListParagraph"/>
        <w:numPr>
          <w:ilvl w:val="0"/>
          <w:numId w:val="100500930"/>
        </w:numPr>
        <w:ind w:left="360"/>
      </w:pPr>
      <w:r>
        <w:t xml:space="preserve">Zijn er aanpassingen in dit kader waarvan u het wenselijk en mogelijk acht om de wetgeving op Europees niveau aan te passen om onwenselijke gevolgen recht te zetten? Kunt u dit toelichten?</w:t>
      </w:r>
      <w:r>
        <w:br/>
      </w:r>
    </w:p>
    <w:p>
      <w:pPr>
        <w:pStyle w:val="ListParagraph"/>
        <w:numPr>
          <w:ilvl w:val="0"/>
          <w:numId w:val="100500930"/>
        </w:numPr>
        <w:ind w:left="360"/>
      </w:pPr>
      <w:r>
        <w:t xml:space="preserve">Kunt u zo specifiek mogelijk aangeven hoe vaak het gebeurt dat een rechter de Immigratie- en Naturalisatiedienst (IND) opdraagt om een asielzoeker een verblijfsvergunning toe te kennen, zoals in het artikel wordt gemeld? Hoe heeft deze praktijk zich in de afgelopen jaren ontwikkeld?</w:t>
      </w:r>
      <w:r>
        <w:br/>
      </w:r>
    </w:p>
    <w:p>
      <w:pPr>
        <w:pStyle w:val="ListParagraph"/>
        <w:numPr>
          <w:ilvl w:val="0"/>
          <w:numId w:val="100500930"/>
        </w:numPr>
        <w:ind w:left="360"/>
      </w:pPr>
      <w:r>
        <w:t xml:space="preserve">Zijn ook deze besluiten voor een groot deel door te voeren op één of enkele specifieke rechtbank(en)? Om welke verhoudingen gaat het?</w:t>
      </w:r>
      <w:r>
        <w:br/>
      </w:r>
    </w:p>
    <w:p>
      <w:pPr>
        <w:pStyle w:val="ListParagraph"/>
        <w:numPr>
          <w:ilvl w:val="0"/>
          <w:numId w:val="100500930"/>
        </w:numPr>
        <w:ind w:left="360"/>
      </w:pPr>
      <w:r>
        <w:t xml:space="preserve">Wat is de concrete stand van zaken rond de verkenning van de vraag of nationale beleidskaders of aanpassing van wet- en regelgeving kunnen bijdragen aan het inkaderen van jurisprudentie op het gebied van asiel en migratie, waarnaar ook wordt verwezen in de brief van 19 december 2025 aan de informateur in reactie op haar vragen aan de ministers van en voor Asiel en Migratie en waaraan gerefereerd wordt in het artikel van NRC? Wat heeft deze verkenning tot nu toe opgeleverd?</w:t>
      </w:r>
      <w:r>
        <w:br/>
      </w:r>
    </w:p>
    <w:p>
      <w:pPr>
        <w:pStyle w:val="ListParagraph"/>
        <w:numPr>
          <w:ilvl w:val="0"/>
          <w:numId w:val="100500930"/>
        </w:numPr>
        <w:ind w:left="360"/>
      </w:pPr>
      <w:r>
        <w:t xml:space="preserve">Wat is uw oordeel over het feit dat de rechter in het artikel aangeeft dat zij in februari bij een uitspraak heeft voorgesteld dat de IND bij oude zaken niet meer tot de hoogste rechter moet doorprocederen? Vindt u dat het de taak van een rechter is om dergelijke opmerkingen te plaatsen? Welke gevolgen worden hieraan verbonden?</w:t>
      </w:r>
      <w:r>
        <w:br/>
      </w:r>
    </w:p>
    <w:p>
      <w:pPr>
        <w:pStyle w:val="ListParagraph"/>
        <w:numPr>
          <w:ilvl w:val="0"/>
          <w:numId w:val="100500930"/>
        </w:numPr>
        <w:ind w:left="360"/>
      </w:pPr>
      <w:r>
        <w:t xml:space="preserve">Bent u van mening dat met dergelijke oproepen en uitspraken de grens tussen rechtspreken en (politiek) activisme in de rechtszaal vervaagt? Zo nee, waarom niet? Zo ja, deelt u de mening dat dit onwenselijk is en welke mogelijkheden ziet u om dit tegen te gaan?</w:t>
      </w:r>
      <w:r>
        <w:br/>
      </w:r>
    </w:p>
    <w:p>
      <w:r>
        <w:t xml:space="preserve"> </w:t>
      </w:r>
      <w:r>
        <w:br/>
      </w:r>
    </w:p>
    <w:p>
      <w:r>
        <w:t xml:space="preserve">1) NRC Handelsblad, 13 maart 2026, In haar eentje zet deze rechter het hele asielbeleid op scherp (https://www.nrc.nl/nieuws/2026/03/13/in-haar-eentje-zet-deze-rechter-het-hele-asielbeleid-op-scherp-je-moet-veel-meer-kijken-hoe-zijn-de-regels-bedoeld-a4922045).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