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B2C" w:rsidP="00135930" w:rsidRDefault="00EA7B2C" w14:paraId="619CFE14" w14:textId="77777777">
      <w:r>
        <w:t xml:space="preserve">Geachte voorzitter, </w:t>
      </w:r>
    </w:p>
    <w:p w:rsidR="00EA7B2C" w:rsidP="00135930" w:rsidRDefault="00EA7B2C" w14:paraId="59AC6B24" w14:textId="77777777"/>
    <w:p w:rsidR="00135930" w:rsidP="00135930" w:rsidRDefault="00E97B9E" w14:paraId="2868E272" w14:textId="17266C09">
      <w:r>
        <w:t xml:space="preserve">De </w:t>
      </w:r>
      <w:r w:rsidR="00983763">
        <w:t>v</w:t>
      </w:r>
      <w:r>
        <w:t xml:space="preserve">aste commissie </w:t>
      </w:r>
      <w:r w:rsidRPr="00E97B9E">
        <w:t xml:space="preserve">voor Buitenlandse Handel en Ontwikkelingssamenwerking </w:t>
      </w:r>
      <w:r>
        <w:t xml:space="preserve">heeft op 12 februari jl. </w:t>
      </w:r>
      <w:r w:rsidR="00983763">
        <w:t>verzocht</w:t>
      </w:r>
      <w:r>
        <w:t xml:space="preserve"> om een reactie op</w:t>
      </w:r>
      <w:r w:rsidR="00983763">
        <w:t xml:space="preserve"> de</w:t>
      </w:r>
      <w:r>
        <w:t xml:space="preserve"> berichtgeving </w:t>
      </w:r>
      <w:r w:rsidRPr="00E97B9E">
        <w:t>over een grondstoffenalliantie tussen de VS, Japan en de EU</w:t>
      </w:r>
      <w:r w:rsidR="00C63AF2">
        <w:t xml:space="preserve"> (kenmerk </w:t>
      </w:r>
      <w:r w:rsidRPr="00C63AF2" w:rsidR="00C63AF2">
        <w:t>2026Z03158/2026D07217</w:t>
      </w:r>
      <w:r w:rsidR="00C63AF2">
        <w:t>)</w:t>
      </w:r>
      <w:r>
        <w:t xml:space="preserve">. Hierbij gaat u de reactie toe. </w:t>
      </w:r>
    </w:p>
    <w:p w:rsidR="00135930" w:rsidP="00135930" w:rsidRDefault="00135930" w14:paraId="02F913BA" w14:textId="77777777"/>
    <w:p w:rsidRPr="005C4258" w:rsidR="005C4258" w:rsidP="00135930" w:rsidRDefault="005C4258" w14:paraId="2CF39E02" w14:textId="3E8DBB94">
      <w:pPr>
        <w:rPr>
          <w:b/>
          <w:bCs/>
        </w:rPr>
      </w:pPr>
      <w:r>
        <w:rPr>
          <w:b/>
          <w:bCs/>
        </w:rPr>
        <w:t>Critical Minerals Ministerial (CMM)</w:t>
      </w:r>
    </w:p>
    <w:p w:rsidR="00135930" w:rsidP="00135930" w:rsidRDefault="00135930" w14:paraId="2876655E" w14:textId="4AF3F0A8">
      <w:pPr>
        <w:rPr>
          <w:b/>
        </w:rPr>
      </w:pPr>
      <w:r>
        <w:t xml:space="preserve">Op 4 februari jl. organiseerde de Verenigde Staten een </w:t>
      </w:r>
      <w:r w:rsidRPr="77B856B3">
        <w:rPr>
          <w:i/>
          <w:iCs/>
        </w:rPr>
        <w:t xml:space="preserve">Critical Minerals Ministerial </w:t>
      </w:r>
      <w:r>
        <w:t xml:space="preserve">(CMM), waar 55 landen bijeenkwamen om te bespreken hoe de leveringszekerheid van kritieke grondstoffen vergroot kan worden. De vorige minister van Buitenlandse Zaken was namens Nederland aanwezig bij de CMM. </w:t>
      </w:r>
      <w:r w:rsidR="00E97B9E">
        <w:t xml:space="preserve">Op 4 februari is ook een </w:t>
      </w:r>
      <w:r>
        <w:t xml:space="preserve">gezamenlijke persverklaring </w:t>
      </w:r>
      <w:r w:rsidR="00E97B9E">
        <w:t xml:space="preserve">uitgegaan van de </w:t>
      </w:r>
      <w:r>
        <w:t>VS, de EU en Japan</w:t>
      </w:r>
      <w:r w:rsidR="00692C68">
        <w:t>.</w:t>
      </w:r>
      <w:r>
        <w:rPr>
          <w:rStyle w:val="FootnoteReference"/>
        </w:rPr>
        <w:footnoteReference w:id="2"/>
      </w:r>
      <w:r w:rsidRPr="77B856B3">
        <w:rPr>
          <w:b/>
          <w:bCs/>
        </w:rPr>
        <w:t xml:space="preserve"> </w:t>
      </w:r>
    </w:p>
    <w:p w:rsidR="00135930" w:rsidP="00135930" w:rsidRDefault="00135930" w14:paraId="611B93BA" w14:textId="77777777"/>
    <w:p w:rsidR="00135930" w:rsidP="00135930" w:rsidRDefault="00135930" w14:paraId="79FF2979" w14:textId="2C56DCCE">
      <w:r>
        <w:t xml:space="preserve">In deze persverklaring wordt ten eerste </w:t>
      </w:r>
      <w:r w:rsidR="00E97B9E">
        <w:t xml:space="preserve">het streven </w:t>
      </w:r>
      <w:r>
        <w:t xml:space="preserve">aangekondigd dat de EU en de VS binnen 30 dagen een </w:t>
      </w:r>
      <w:r w:rsidRPr="77B856B3">
        <w:rPr>
          <w:i/>
          <w:iCs/>
        </w:rPr>
        <w:t xml:space="preserve">Memorandum of Understanding </w:t>
      </w:r>
      <w:r>
        <w:t>(MoU)</w:t>
      </w:r>
      <w:r w:rsidRPr="77B856B3">
        <w:rPr>
          <w:i/>
          <w:iCs/>
        </w:rPr>
        <w:t xml:space="preserve"> </w:t>
      </w:r>
      <w:r>
        <w:t>zullen</w:t>
      </w:r>
      <w:r w:rsidR="00E97B9E">
        <w:t xml:space="preserve"> ondertekenen</w:t>
      </w:r>
      <w:r>
        <w:t>. Dit zal een niet</w:t>
      </w:r>
      <w:r w:rsidR="006C78C8">
        <w:t xml:space="preserve"> </w:t>
      </w:r>
      <w:r>
        <w:t>juridisch</w:t>
      </w:r>
      <w:r w:rsidR="006C78C8">
        <w:t xml:space="preserve"> </w:t>
      </w:r>
      <w:r>
        <w:t xml:space="preserve">bindende </w:t>
      </w:r>
      <w:r w:rsidR="006C78C8">
        <w:t>afspraak</w:t>
      </w:r>
      <w:r>
        <w:t xml:space="preserve"> zijn, die een raamwerk </w:t>
      </w:r>
      <w:r w:rsidR="006C78C8">
        <w:t>vormt voor</w:t>
      </w:r>
      <w:r>
        <w:t xml:space="preserve"> verdere samenwerking</w:t>
      </w:r>
      <w:r w:rsidR="006C78C8">
        <w:t>.</w:t>
      </w:r>
      <w:r w:rsidR="005C4258">
        <w:t xml:space="preserve"> Gedacht kan worden aan het gezamenlijk</w:t>
      </w:r>
      <w:r>
        <w:t xml:space="preserve"> stimuleren van vraag en </w:t>
      </w:r>
      <w:r w:rsidR="00905A0A">
        <w:t>het</w:t>
      </w:r>
      <w:r>
        <w:t xml:space="preserve"> diversifiëren van het aanbod van kritieke grondstoffen door projecten binnen en buiten de EU te identificeren en te ondersteunen. De EU heeft al vijftien soortgelijke </w:t>
      </w:r>
      <w:proofErr w:type="spellStart"/>
      <w:r>
        <w:t>MoUs</w:t>
      </w:r>
      <w:proofErr w:type="spellEnd"/>
      <w:r>
        <w:t xml:space="preserve"> met andere landen</w:t>
      </w:r>
      <w:r w:rsidR="00960C65">
        <w:t>.</w:t>
      </w:r>
      <w:r>
        <w:rPr>
          <w:rStyle w:val="FootnoteReference"/>
        </w:rPr>
        <w:footnoteReference w:id="3"/>
      </w:r>
      <w:r>
        <w:t xml:space="preserve"> </w:t>
      </w:r>
    </w:p>
    <w:p w:rsidR="00135930" w:rsidP="00135930" w:rsidRDefault="00135930" w14:paraId="4CE6FE2B" w14:textId="77777777"/>
    <w:p w:rsidR="00135930" w:rsidP="00135930" w:rsidRDefault="00135930" w14:paraId="54B19129" w14:textId="41FE49D4">
      <w:r>
        <w:t xml:space="preserve">Daarnaast willen de EU, de VS en Japan </w:t>
      </w:r>
      <w:r w:rsidR="005C4258">
        <w:t xml:space="preserve">hun bestaande </w:t>
      </w:r>
      <w:r w:rsidR="00905A0A">
        <w:t>grondstoffen</w:t>
      </w:r>
      <w:r>
        <w:t xml:space="preserve">samenwerking </w:t>
      </w:r>
      <w:r w:rsidRPr="00213E4C">
        <w:t xml:space="preserve">uitbreiden met concrete </w:t>
      </w:r>
      <w:r w:rsidRPr="007F75F8">
        <w:t>actieplannen</w:t>
      </w:r>
      <w:r w:rsidR="000336F8">
        <w:t>. In die plannen wordt onderzocht of</w:t>
      </w:r>
      <w:r w:rsidRPr="00213E4C">
        <w:t xml:space="preserve"> </w:t>
      </w:r>
      <w:r>
        <w:t xml:space="preserve">samen </w:t>
      </w:r>
      <w:r w:rsidRPr="00213E4C">
        <w:t xml:space="preserve">met gelijkgezinde landen een </w:t>
      </w:r>
      <w:r w:rsidRPr="007F75F8">
        <w:t>plurilateraal handelsinitiatief</w:t>
      </w:r>
      <w:r w:rsidRPr="00213E4C">
        <w:t xml:space="preserve"> </w:t>
      </w:r>
      <w:r w:rsidR="000336F8">
        <w:t>opgezet kan worden</w:t>
      </w:r>
      <w:r>
        <w:t xml:space="preserve">. </w:t>
      </w:r>
      <w:r w:rsidR="00303F15">
        <w:t>Daarbij</w:t>
      </w:r>
      <w:r>
        <w:t xml:space="preserve"> wordt verkend of instrumenten zoals een minimumprijs, een op standaarden gebaseerde markt, subsidies en </w:t>
      </w:r>
      <w:r w:rsidR="00303F15">
        <w:t>mogelijk</w:t>
      </w:r>
      <w:r>
        <w:t xml:space="preserve"> </w:t>
      </w:r>
      <w:proofErr w:type="spellStart"/>
      <w:r>
        <w:t>langetermijnafnamecontracten</w:t>
      </w:r>
      <w:proofErr w:type="spellEnd"/>
      <w:r>
        <w:t xml:space="preserve"> </w:t>
      </w:r>
      <w:r w:rsidR="005C4258">
        <w:t xml:space="preserve">zouden </w:t>
      </w:r>
      <w:r>
        <w:t xml:space="preserve">kunnen worden ingezet om investeringen in nieuwe waardeketens aan te trekken. </w:t>
      </w:r>
    </w:p>
    <w:p w:rsidR="00135930" w:rsidP="00135930" w:rsidRDefault="00135930" w14:paraId="3B1AAE0F" w14:textId="77777777"/>
    <w:p w:rsidR="007E45D5" w:rsidP="00135930" w:rsidRDefault="007E45D5" w14:paraId="45D0FC7A" w14:textId="77777777">
      <w:pPr>
        <w:rPr>
          <w:b/>
          <w:bCs/>
        </w:rPr>
      </w:pPr>
    </w:p>
    <w:p w:rsidR="007E45D5" w:rsidP="00135930" w:rsidRDefault="007E45D5" w14:paraId="2F9D8E81" w14:textId="77777777">
      <w:pPr>
        <w:rPr>
          <w:b/>
          <w:bCs/>
        </w:rPr>
      </w:pPr>
    </w:p>
    <w:p w:rsidRPr="003B7166" w:rsidR="005A3587" w:rsidP="00B05044" w:rsidRDefault="00135930" w14:paraId="396E38DA" w14:textId="60AB6CCA">
      <w:pPr>
        <w:rPr>
          <w:b/>
          <w:bCs/>
        </w:rPr>
      </w:pPr>
      <w:r w:rsidRPr="007F75F8">
        <w:rPr>
          <w:b/>
          <w:bCs/>
        </w:rPr>
        <w:lastRenderedPageBreak/>
        <w:t>Reactie</w:t>
      </w:r>
    </w:p>
    <w:p w:rsidR="007E45D5" w:rsidP="00B05044" w:rsidRDefault="00135930" w14:paraId="471599F1" w14:textId="4E053926">
      <w:r>
        <w:t xml:space="preserve">Momenteel is er nog weinig bekend over de precieze </w:t>
      </w:r>
      <w:r w:rsidR="00A53F69">
        <w:t xml:space="preserve">invulling en </w:t>
      </w:r>
      <w:r>
        <w:t>vormgeving van de actieplannen en het plurilaterale handelsinitiatief.</w:t>
      </w:r>
      <w:r w:rsidR="00B05044">
        <w:t xml:space="preserve"> Wel </w:t>
      </w:r>
      <w:r w:rsidR="0009377C">
        <w:t>vindt</w:t>
      </w:r>
      <w:r w:rsidR="00B05044">
        <w:t xml:space="preserve"> regelmatig een </w:t>
      </w:r>
      <w:r w:rsidR="007E45D5">
        <w:t>gedachte-uitwisseling</w:t>
      </w:r>
      <w:r w:rsidR="00B05044">
        <w:t xml:space="preserve"> </w:t>
      </w:r>
      <w:r w:rsidR="0009377C">
        <w:t>plaats</w:t>
      </w:r>
      <w:r w:rsidR="00B05044">
        <w:t xml:space="preserve"> tussen de Commissie en</w:t>
      </w:r>
      <w:r w:rsidR="0009377C">
        <w:t xml:space="preserve"> de</w:t>
      </w:r>
      <w:r w:rsidR="00B05044">
        <w:t xml:space="preserve"> </w:t>
      </w:r>
      <w:r w:rsidR="0009377C">
        <w:t xml:space="preserve">EU </w:t>
      </w:r>
      <w:r w:rsidR="00B05044">
        <w:t>lidstaten over de voortgang en mogelijke vormgeving van de grondstofinitiatieven. Nederland neemt actief deel aan deze discussies.</w:t>
      </w:r>
      <w:r>
        <w:t xml:space="preserve"> </w:t>
      </w:r>
    </w:p>
    <w:p w:rsidR="003B7166" w:rsidP="00B05044" w:rsidRDefault="003B7166" w14:paraId="6BC13374" w14:textId="77777777"/>
    <w:p w:rsidR="003B7166" w:rsidP="00B05044" w:rsidRDefault="003B7166" w14:paraId="3CF18160" w14:textId="5C15B63C">
      <w:r>
        <w:t>Middels de</w:t>
      </w:r>
      <w:r w:rsidRPr="00C57D21">
        <w:t xml:space="preserve"> Nationale Grondstoffenstrategie (NGS) en de</w:t>
      </w:r>
      <w:r>
        <w:t xml:space="preserve"> EU </w:t>
      </w:r>
      <w:r>
        <w:rPr>
          <w:i/>
          <w:iCs/>
        </w:rPr>
        <w:t xml:space="preserve">Critical Raw Materials Act </w:t>
      </w:r>
      <w:r>
        <w:t>(CRMA)</w:t>
      </w:r>
      <w:r w:rsidRPr="00C57D21">
        <w:t xml:space="preserve"> </w:t>
      </w:r>
      <w:r>
        <w:t xml:space="preserve">werkt het kabinet aan het verhogen van </w:t>
      </w:r>
      <w:r w:rsidRPr="00C57D21">
        <w:t xml:space="preserve">de leveringszekerheid van </w:t>
      </w:r>
      <w:r>
        <w:t xml:space="preserve">kritieke </w:t>
      </w:r>
      <w:r w:rsidRPr="00C57D21">
        <w:t>grondstoffen en materialen</w:t>
      </w:r>
      <w:r>
        <w:t>. De ministeries van Economische Zaken</w:t>
      </w:r>
      <w:r w:rsidR="00245B3A">
        <w:t xml:space="preserve"> (coördinerend op de NGS en CRMA)</w:t>
      </w:r>
      <w:r>
        <w:t xml:space="preserve"> en Klimaat en Buitenlandse Zaken werken daarbij samen.</w:t>
      </w:r>
    </w:p>
    <w:p w:rsidR="007E45D5" w:rsidP="00B05044" w:rsidRDefault="007E45D5" w14:paraId="3EA3807C" w14:textId="77777777"/>
    <w:p w:rsidR="00B05044" w:rsidP="00B05044" w:rsidRDefault="007E45D5" w14:paraId="3EDB324A" w14:textId="041069C6">
      <w:r>
        <w:t>Over het</w:t>
      </w:r>
      <w:r w:rsidR="00135930">
        <w:t xml:space="preserve"> algemeen is </w:t>
      </w:r>
      <w:r w:rsidR="00570A71">
        <w:t>het kabinet van mening</w:t>
      </w:r>
      <w:r w:rsidR="00135930">
        <w:t xml:space="preserve"> dat de afhankelijkheid en leveringszekerheidsrisico’s voor kritieke grondstoffen en materialen een probleem </w:t>
      </w:r>
      <w:r w:rsidR="000C17B7">
        <w:t xml:space="preserve">kunnen </w:t>
      </w:r>
      <w:r w:rsidR="00135930">
        <w:t xml:space="preserve">vormen voor de EU. Het kabinet is derhalve </w:t>
      </w:r>
      <w:r w:rsidR="00A53F69">
        <w:t xml:space="preserve">voorstander van samenwerking </w:t>
      </w:r>
      <w:r w:rsidR="00135930">
        <w:t xml:space="preserve">met gelijkgezinde niet-Europese landen om de leveringszekerheid van kritieke grondstoffen en materialen te vergroten. Het kabinet kijkt in EU-verband nauwgezet naar </w:t>
      </w:r>
      <w:r w:rsidR="00A53F69">
        <w:t xml:space="preserve">de </w:t>
      </w:r>
      <w:r w:rsidR="00135930">
        <w:t xml:space="preserve">verdere uitwerking van de voorstellen voor het MoU, de actieplannen en het plurilateraal handelsinitiatief. </w:t>
      </w:r>
      <w:r w:rsidRPr="00B05044" w:rsidR="00B05044">
        <w:t xml:space="preserve">Voor het kabinet staat </w:t>
      </w:r>
      <w:r w:rsidR="0009377C">
        <w:t xml:space="preserve">daarbij </w:t>
      </w:r>
      <w:r w:rsidRPr="00B05044" w:rsidR="00B05044">
        <w:t xml:space="preserve">voorop dat </w:t>
      </w:r>
      <w:r w:rsidR="0009377C">
        <w:t xml:space="preserve">deze enerzijds daadwerkelijk bijdragen aan het versterken van de leveringszekerheid van kritieke grondstoffen en anderzijds dat </w:t>
      </w:r>
      <w:r w:rsidRPr="00B05044" w:rsidR="00B05044">
        <w:t>de voorgenomen maatregelen rekening houden met de gevolgen voor het Nederlandse bedrijfsleven</w:t>
      </w:r>
      <w:r w:rsidR="006F7894">
        <w:t xml:space="preserve">. </w:t>
      </w:r>
    </w:p>
    <w:p w:rsidR="00FD22FD" w:rsidP="00B05044" w:rsidRDefault="00FD22FD" w14:paraId="56D1D30B" w14:textId="77777777"/>
    <w:p w:rsidR="00FD22FD" w:rsidP="00B05044" w:rsidRDefault="00FD22FD" w14:paraId="1621594E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65"/>
        <w:gridCol w:w="3766"/>
      </w:tblGrid>
      <w:tr w:rsidR="00FD22FD" w:rsidTr="00FD22FD" w14:paraId="24DFC7FD" w14:textId="77777777">
        <w:tc>
          <w:tcPr>
            <w:tcW w:w="3765" w:type="dxa"/>
          </w:tcPr>
          <w:p w:rsidR="00FD22FD" w:rsidP="00B05044" w:rsidRDefault="00FD22FD" w14:paraId="2233844E" w14:textId="77777777">
            <w:r>
              <w:t>De minister van Buitenlandse Handel en Ontwikkelingssamenwerking,</w:t>
            </w:r>
          </w:p>
          <w:p w:rsidR="00FD22FD" w:rsidP="00B05044" w:rsidRDefault="00FD22FD" w14:paraId="74E7C6F5" w14:textId="77777777"/>
          <w:p w:rsidR="00FD22FD" w:rsidP="00B05044" w:rsidRDefault="00FD22FD" w14:paraId="7ECFD010" w14:textId="77777777"/>
          <w:p w:rsidR="00FD22FD" w:rsidP="00B05044" w:rsidRDefault="00FD22FD" w14:paraId="6372BA4F" w14:textId="77777777"/>
          <w:p w:rsidR="00FD22FD" w:rsidP="00B05044" w:rsidRDefault="00FD22FD" w14:paraId="66A647A5" w14:textId="77777777"/>
          <w:p w:rsidR="00FD22FD" w:rsidP="00B05044" w:rsidRDefault="00FD22FD" w14:paraId="64AC5600" w14:textId="77777777"/>
          <w:p w:rsidR="00FD22FD" w:rsidP="00B05044" w:rsidRDefault="00810369" w14:paraId="58CEC461" w14:textId="13484607">
            <w:r w:rsidRPr="00810369">
              <w:t xml:space="preserve">Sjoerd </w:t>
            </w:r>
            <w:proofErr w:type="spellStart"/>
            <w:r w:rsidRPr="00810369">
              <w:t>Wiemer</w:t>
            </w:r>
            <w:proofErr w:type="spellEnd"/>
            <w:r w:rsidRPr="00810369">
              <w:t xml:space="preserve"> Sjoerdsma</w:t>
            </w:r>
          </w:p>
        </w:tc>
        <w:tc>
          <w:tcPr>
            <w:tcW w:w="3766" w:type="dxa"/>
          </w:tcPr>
          <w:p w:rsidR="00FD22FD" w:rsidP="00B05044" w:rsidRDefault="00FD22FD" w14:paraId="7199709F" w14:textId="77777777">
            <w:r>
              <w:t>De minister van Economische Zaken en Klimaat,</w:t>
            </w:r>
          </w:p>
          <w:p w:rsidR="00FD22FD" w:rsidP="00B05044" w:rsidRDefault="00FD22FD" w14:paraId="77A5F121" w14:textId="77777777"/>
          <w:p w:rsidR="00FD22FD" w:rsidP="00B05044" w:rsidRDefault="00FD22FD" w14:paraId="5DF2EA2A" w14:textId="77777777"/>
          <w:p w:rsidR="00FD22FD" w:rsidP="00B05044" w:rsidRDefault="00FD22FD" w14:paraId="7AC7C730" w14:textId="77777777"/>
          <w:p w:rsidR="00FD22FD" w:rsidP="00B05044" w:rsidRDefault="00FD22FD" w14:paraId="31289A0C" w14:textId="77777777"/>
          <w:p w:rsidR="00FD22FD" w:rsidP="00B05044" w:rsidRDefault="00FD22FD" w14:paraId="4E005754" w14:textId="77777777"/>
          <w:p w:rsidR="00FD22FD" w:rsidP="00B05044" w:rsidRDefault="00FD22FD" w14:paraId="0F50ABE9" w14:textId="33F0FE13">
            <w:r>
              <w:t>Heleen Herbert</w:t>
            </w:r>
          </w:p>
        </w:tc>
      </w:tr>
    </w:tbl>
    <w:p w:rsidR="00FD22FD" w:rsidP="00B05044" w:rsidRDefault="00FD22FD" w14:paraId="7ABA1168" w14:textId="77777777"/>
    <w:p w:rsidR="00135930" w:rsidP="00135930" w:rsidRDefault="00135930" w14:paraId="5F2D3B9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35930" w:rsidTr="00FF7183" w14:paraId="46724624" w14:textId="77777777">
        <w:tc>
          <w:tcPr>
            <w:tcW w:w="3620" w:type="dxa"/>
          </w:tcPr>
          <w:p w:rsidR="00135930" w:rsidP="00FF7183" w:rsidRDefault="00135930" w14:paraId="41CD925C" w14:textId="67650D14"/>
        </w:tc>
        <w:tc>
          <w:tcPr>
            <w:tcW w:w="3921" w:type="dxa"/>
          </w:tcPr>
          <w:p w:rsidR="00135930" w:rsidP="00FF7183" w:rsidRDefault="00135930" w14:paraId="0674B5E2" w14:textId="77777777"/>
        </w:tc>
      </w:tr>
    </w:tbl>
    <w:p w:rsidR="00135930" w:rsidP="00135930" w:rsidRDefault="00135930" w14:paraId="28F99EE8" w14:textId="77777777"/>
    <w:p w:rsidR="00AD5D54" w:rsidRDefault="00AD5D54" w14:paraId="597B394A" w14:textId="77777777"/>
    <w:sectPr w:rsidR="00AD5D54" w:rsidSect="00C33951">
      <w:headerReference w:type="default" r:id="rId14"/>
      <w:footerReference w:type="default" r:id="rId15"/>
      <w:headerReference w:type="first" r:id="rId16"/>
      <w:footerReference w:type="first" r:id="rId17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5F1F" w14:textId="77777777" w:rsidR="00EB2A87" w:rsidRDefault="00EB2A87">
      <w:pPr>
        <w:spacing w:line="240" w:lineRule="auto"/>
      </w:pPr>
      <w:r>
        <w:separator/>
      </w:r>
    </w:p>
  </w:endnote>
  <w:endnote w:type="continuationSeparator" w:id="0">
    <w:p w14:paraId="34D5C314" w14:textId="77777777" w:rsidR="00EB2A87" w:rsidRDefault="00EB2A87">
      <w:pPr>
        <w:spacing w:line="240" w:lineRule="auto"/>
      </w:pPr>
      <w:r>
        <w:continuationSeparator/>
      </w:r>
    </w:p>
  </w:endnote>
  <w:endnote w:type="continuationNotice" w:id="1">
    <w:p w14:paraId="1260354D" w14:textId="77777777" w:rsidR="00EB2A87" w:rsidRDefault="00EB2A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charset w:val="00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743046"/>
      <w:docPartObj>
        <w:docPartGallery w:val="Page Numbers (Bottom of Page)"/>
        <w:docPartUnique/>
      </w:docPartObj>
    </w:sdtPr>
    <w:sdtContent>
      <w:p w14:paraId="4BDF48BC" w14:textId="0F0097CF" w:rsidR="00FD22FD" w:rsidRDefault="00FD22F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22C6E" w14:textId="77777777" w:rsidR="00FD22FD" w:rsidRDefault="00FD2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220841"/>
      <w:docPartObj>
        <w:docPartGallery w:val="Page Numbers (Bottom of Page)"/>
        <w:docPartUnique/>
      </w:docPartObj>
    </w:sdtPr>
    <w:sdtContent>
      <w:p w14:paraId="5CD478B5" w14:textId="12049641" w:rsidR="00FD22FD" w:rsidRDefault="00FD22F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75569" w14:textId="77777777" w:rsidR="00FD22FD" w:rsidRDefault="00FD2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127E" w14:textId="77777777" w:rsidR="00EB2A87" w:rsidRDefault="00EB2A87">
      <w:pPr>
        <w:spacing w:line="240" w:lineRule="auto"/>
      </w:pPr>
      <w:r>
        <w:separator/>
      </w:r>
    </w:p>
  </w:footnote>
  <w:footnote w:type="continuationSeparator" w:id="0">
    <w:p w14:paraId="6711D04D" w14:textId="77777777" w:rsidR="00EB2A87" w:rsidRDefault="00EB2A87">
      <w:pPr>
        <w:spacing w:line="240" w:lineRule="auto"/>
      </w:pPr>
      <w:r>
        <w:continuationSeparator/>
      </w:r>
    </w:p>
  </w:footnote>
  <w:footnote w:type="continuationNotice" w:id="1">
    <w:p w14:paraId="57F54553" w14:textId="77777777" w:rsidR="00EB2A87" w:rsidRDefault="00EB2A87">
      <w:pPr>
        <w:spacing w:line="240" w:lineRule="auto"/>
      </w:pPr>
    </w:p>
  </w:footnote>
  <w:footnote w:id="2">
    <w:p w14:paraId="0B51FD3B" w14:textId="4EC18257" w:rsidR="00135930" w:rsidRPr="00BA069F" w:rsidRDefault="00135930" w:rsidP="00135930">
      <w:pPr>
        <w:pStyle w:val="FootnoteText"/>
      </w:pPr>
      <w:r w:rsidRPr="007F75F8">
        <w:rPr>
          <w:rStyle w:val="FootnoteReference"/>
          <w:sz w:val="16"/>
          <w:szCs w:val="16"/>
        </w:rPr>
        <w:footnoteRef/>
      </w:r>
      <w:r w:rsidRPr="007F75F8">
        <w:rPr>
          <w:sz w:val="16"/>
          <w:szCs w:val="16"/>
        </w:rPr>
        <w:t xml:space="preserve"> </w:t>
      </w:r>
      <w:r w:rsidRPr="00311707">
        <w:rPr>
          <w:sz w:val="16"/>
          <w:szCs w:val="16"/>
        </w:rPr>
        <w:t>https://ec.europa.eu/commission/presscorner/detail/da/statement_26_323</w:t>
      </w:r>
      <w:r>
        <w:t xml:space="preserve"> </w:t>
      </w:r>
    </w:p>
  </w:footnote>
  <w:footnote w:id="3">
    <w:p w14:paraId="636C76D4" w14:textId="5609124F" w:rsidR="00135930" w:rsidRPr="007F75F8" w:rsidRDefault="00135930" w:rsidP="00135930">
      <w:pPr>
        <w:pStyle w:val="FootnoteText"/>
        <w:rPr>
          <w:sz w:val="16"/>
          <w:szCs w:val="16"/>
        </w:rPr>
      </w:pPr>
      <w:r w:rsidRPr="007F75F8">
        <w:rPr>
          <w:rStyle w:val="FootnoteReference"/>
          <w:sz w:val="16"/>
          <w:szCs w:val="16"/>
        </w:rPr>
        <w:footnoteRef/>
      </w:r>
      <w:r w:rsidRPr="007F75F8">
        <w:rPr>
          <w:sz w:val="16"/>
          <w:szCs w:val="16"/>
        </w:rPr>
        <w:t xml:space="preserve"> </w:t>
      </w:r>
      <w:r w:rsidRPr="00311707">
        <w:rPr>
          <w:sz w:val="16"/>
          <w:szCs w:val="16"/>
        </w:rPr>
        <w:t>https://single-market-economy.ec.europa.eu/sectors/raw-materials/areas-specific-interest/raw-materials-diplomacy_en</w:t>
      </w:r>
      <w:r w:rsidRPr="007F75F8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394B" w14:textId="488F08CD" w:rsidR="00AD5D54" w:rsidRDefault="00D11B83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97B394F" wp14:editId="51E4D2A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B3980" w14:textId="77777777" w:rsidR="00AD5D54" w:rsidRDefault="00D11B8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97B3981" w14:textId="77777777" w:rsidR="00AD5D54" w:rsidRDefault="00AD5D54">
                          <w:pPr>
                            <w:pStyle w:val="WitregelW2"/>
                          </w:pPr>
                        </w:p>
                        <w:p w14:paraId="597B3982" w14:textId="77777777" w:rsidR="00AD5D54" w:rsidRDefault="00D11B8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97B3983" w14:textId="77777777" w:rsidR="00AD5D54" w:rsidRDefault="00D11B83">
                          <w:pPr>
                            <w:pStyle w:val="Referentiegegevens"/>
                          </w:pPr>
                          <w:r>
                            <w:t>BZ2625172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7B394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7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" filled="f" stroked="f">
              <v:textbox inset="0,0,0,0">
                <w:txbxContent>
                  <w:p w14:paraId="597B3980" w14:textId="77777777" w:rsidR="00AD5D54" w:rsidRDefault="00D11B8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97B3981" w14:textId="77777777" w:rsidR="00AD5D54" w:rsidRDefault="00AD5D54">
                    <w:pPr>
                      <w:pStyle w:val="WitregelW2"/>
                    </w:pPr>
                  </w:p>
                  <w:p w14:paraId="597B3982" w14:textId="77777777" w:rsidR="00AD5D54" w:rsidRDefault="00D11B8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97B3983" w14:textId="77777777" w:rsidR="00AD5D54" w:rsidRDefault="00D11B83">
                    <w:pPr>
                      <w:pStyle w:val="Referentiegegevens"/>
                    </w:pPr>
                    <w:r>
                      <w:t>BZ2625172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597B3953" wp14:editId="03957B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B3992" w14:textId="77777777" w:rsidR="00D11B83" w:rsidRDefault="00D11B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B3953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597B3992" w14:textId="77777777" w:rsidR="00D11B83" w:rsidRDefault="00D11B8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394D" w14:textId="2602BAD4" w:rsidR="00AD5D54" w:rsidRDefault="00D11B8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97B3955" wp14:editId="597B395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B3985" w14:textId="77777777" w:rsidR="00D11B83" w:rsidRDefault="00D11B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7B395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97B3985" w14:textId="77777777" w:rsidR="00D11B83" w:rsidRDefault="00D11B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597B3957" wp14:editId="597B395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B3966" w14:textId="77777777" w:rsidR="00AD5D54" w:rsidRDefault="00D11B8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B3957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97B3966" w14:textId="77777777" w:rsidR="00AD5D54" w:rsidRDefault="00D11B8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97B3959" wp14:editId="597B395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D5D54" w14:paraId="597B3969" w14:textId="77777777">
                            <w:tc>
                              <w:tcPr>
                                <w:tcW w:w="678" w:type="dxa"/>
                              </w:tcPr>
                              <w:p w14:paraId="597B3967" w14:textId="77777777" w:rsidR="00AD5D54" w:rsidRDefault="00D11B8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97B3968" w14:textId="38A8B5B6" w:rsidR="00AD5D54" w:rsidRDefault="0052177A">
                                <w:r>
                                  <w:t>18</w:t>
                                </w:r>
                                <w:r w:rsidR="0009377C">
                                  <w:t xml:space="preserve"> maart</w:t>
                                </w:r>
                                <w:r w:rsidR="00D11B83">
                                  <w:t xml:space="preserve"> 2026</w:t>
                                </w:r>
                              </w:p>
                            </w:tc>
                          </w:tr>
                          <w:tr w:rsidR="00AD5D54" w14:paraId="597B396E" w14:textId="77777777">
                            <w:tc>
                              <w:tcPr>
                                <w:tcW w:w="678" w:type="dxa"/>
                              </w:tcPr>
                              <w:p w14:paraId="597B396A" w14:textId="77777777" w:rsidR="00AD5D54" w:rsidRDefault="00D11B83">
                                <w:r>
                                  <w:t>Betreft</w:t>
                                </w:r>
                              </w:p>
                              <w:p w14:paraId="597B396B" w14:textId="77777777" w:rsidR="00AD5D54" w:rsidRDefault="00AD5D54"/>
                            </w:tc>
                            <w:tc>
                              <w:tcPr>
                                <w:tcW w:w="6851" w:type="dxa"/>
                              </w:tcPr>
                              <w:p w14:paraId="597B396C" w14:textId="77777777" w:rsidR="00AD5D54" w:rsidRDefault="00D11B83">
                                <w:r>
                                  <w:t>Reactie op de grondstoffenalliantie tussen VS, Japan en de EU</w:t>
                                </w:r>
                              </w:p>
                              <w:p w14:paraId="597B396D" w14:textId="77777777" w:rsidR="00AD5D54" w:rsidRDefault="00AD5D54"/>
                            </w:tc>
                          </w:tr>
                        </w:tbl>
                        <w:p w14:paraId="597B396F" w14:textId="77777777" w:rsidR="00AD5D54" w:rsidRDefault="00AD5D54"/>
                        <w:p w14:paraId="597B3970" w14:textId="77777777" w:rsidR="00AD5D54" w:rsidRDefault="00AD5D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B3959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D5D54" w14:paraId="597B3969" w14:textId="77777777">
                      <w:tc>
                        <w:tcPr>
                          <w:tcW w:w="678" w:type="dxa"/>
                        </w:tcPr>
                        <w:p w14:paraId="597B3967" w14:textId="77777777" w:rsidR="00AD5D54" w:rsidRDefault="00D11B8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97B3968" w14:textId="38A8B5B6" w:rsidR="00AD5D54" w:rsidRDefault="0052177A">
                          <w:r>
                            <w:t>18</w:t>
                          </w:r>
                          <w:r w:rsidR="0009377C">
                            <w:t xml:space="preserve"> maart</w:t>
                          </w:r>
                          <w:r w:rsidR="00D11B83">
                            <w:t xml:space="preserve"> 2026</w:t>
                          </w:r>
                        </w:p>
                      </w:tc>
                    </w:tr>
                    <w:tr w:rsidR="00AD5D54" w14:paraId="597B396E" w14:textId="77777777">
                      <w:tc>
                        <w:tcPr>
                          <w:tcW w:w="678" w:type="dxa"/>
                        </w:tcPr>
                        <w:p w14:paraId="597B396A" w14:textId="77777777" w:rsidR="00AD5D54" w:rsidRDefault="00D11B83">
                          <w:r>
                            <w:t>Betreft</w:t>
                          </w:r>
                        </w:p>
                        <w:p w14:paraId="597B396B" w14:textId="77777777" w:rsidR="00AD5D54" w:rsidRDefault="00AD5D54"/>
                      </w:tc>
                      <w:tc>
                        <w:tcPr>
                          <w:tcW w:w="6851" w:type="dxa"/>
                        </w:tcPr>
                        <w:p w14:paraId="597B396C" w14:textId="77777777" w:rsidR="00AD5D54" w:rsidRDefault="00D11B83">
                          <w:r>
                            <w:t>Reactie op de grondstoffenalliantie tussen VS, Japan en de EU</w:t>
                          </w:r>
                        </w:p>
                        <w:p w14:paraId="597B396D" w14:textId="77777777" w:rsidR="00AD5D54" w:rsidRDefault="00AD5D54"/>
                      </w:tc>
                    </w:tr>
                  </w:tbl>
                  <w:p w14:paraId="597B396F" w14:textId="77777777" w:rsidR="00AD5D54" w:rsidRDefault="00AD5D54"/>
                  <w:p w14:paraId="597B3970" w14:textId="77777777" w:rsidR="00AD5D54" w:rsidRDefault="00AD5D5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97B395B" wp14:editId="0C47346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3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B3972" w14:textId="4A1071C6" w:rsidR="00AD5D54" w:rsidRDefault="00D11B83" w:rsidP="0052177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97B3973" w14:textId="3D05D31C" w:rsidR="00AD5D54" w:rsidRPr="00FD22FD" w:rsidRDefault="00FD22FD">
                          <w:pPr>
                            <w:pStyle w:val="Referentiegegevens"/>
                          </w:pPr>
                          <w:r w:rsidRPr="00FD22FD">
                            <w:t>Rijnstraat 8</w:t>
                          </w:r>
                        </w:p>
                        <w:p w14:paraId="1A4F380D" w14:textId="076B34DD" w:rsidR="00FD22FD" w:rsidRPr="00FD22FD" w:rsidRDefault="00FD22FD" w:rsidP="00FD22F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D22FD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0E0598C3" w14:textId="3537704A" w:rsidR="00FD22FD" w:rsidRPr="00FD22FD" w:rsidRDefault="00FD22FD" w:rsidP="00FD22F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D22FD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7CB5E34" w14:textId="18C7E452" w:rsidR="00FD22FD" w:rsidRPr="00FD22FD" w:rsidRDefault="00FD22FD" w:rsidP="00FD22F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D22FD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97B3974" w14:textId="77777777" w:rsidR="00AD5D54" w:rsidRPr="00FD22FD" w:rsidRDefault="00D11B8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FD22F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97B3975" w14:textId="77777777" w:rsidR="00AD5D54" w:rsidRPr="00FD22FD" w:rsidRDefault="00AD5D5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97B3976" w14:textId="77777777" w:rsidR="00AD5D54" w:rsidRDefault="00D11B8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97B3977" w14:textId="77777777" w:rsidR="00AD5D54" w:rsidRDefault="00D11B83">
                          <w:pPr>
                            <w:pStyle w:val="Referentiegegevens"/>
                          </w:pPr>
                          <w:r>
                            <w:t>BZ2625172</w:t>
                          </w:r>
                        </w:p>
                        <w:p w14:paraId="597B3978" w14:textId="77777777" w:rsidR="00AD5D54" w:rsidRDefault="00AD5D54">
                          <w:pPr>
                            <w:pStyle w:val="WitregelW1"/>
                          </w:pPr>
                        </w:p>
                        <w:p w14:paraId="597B3979" w14:textId="77777777" w:rsidR="00AD5D54" w:rsidRDefault="00D11B8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97B397A" w14:textId="77777777" w:rsidR="00AD5D54" w:rsidRDefault="00D11B83">
                          <w:pPr>
                            <w:pStyle w:val="Referentiegegevens"/>
                          </w:pPr>
                          <w:r>
                            <w:t>2026Z03158/2026D07217</w:t>
                          </w:r>
                        </w:p>
                        <w:p w14:paraId="597B397B" w14:textId="77777777" w:rsidR="00AD5D54" w:rsidRDefault="00AD5D54">
                          <w:pPr>
                            <w:pStyle w:val="WitregelW1"/>
                          </w:pPr>
                        </w:p>
                        <w:p w14:paraId="597B397C" w14:textId="77777777" w:rsidR="00AD5D54" w:rsidRDefault="00D11B8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97B397D" w14:textId="77777777" w:rsidR="00AD5D54" w:rsidRDefault="00D11B8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7B395B" id="41b10cd4-80a4-11ea-b356-6230a4311406" o:spid="_x0000_s1031" type="#_x0000_t202" style="position:absolute;margin-left:466.5pt;margin-top:155pt;width:10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" filled="f" stroked="f">
              <v:textbox inset="0,0,0,0">
                <w:txbxContent>
                  <w:p w14:paraId="597B3972" w14:textId="4A1071C6" w:rsidR="00AD5D54" w:rsidRDefault="00D11B83" w:rsidP="0052177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97B3973" w14:textId="3D05D31C" w:rsidR="00AD5D54" w:rsidRPr="00FD22FD" w:rsidRDefault="00FD22FD">
                    <w:pPr>
                      <w:pStyle w:val="Referentiegegevens"/>
                    </w:pPr>
                    <w:r w:rsidRPr="00FD22FD">
                      <w:t>Rijnstraat 8</w:t>
                    </w:r>
                  </w:p>
                  <w:p w14:paraId="1A4F380D" w14:textId="076B34DD" w:rsidR="00FD22FD" w:rsidRPr="00FD22FD" w:rsidRDefault="00FD22FD" w:rsidP="00FD22F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FD22FD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0E0598C3" w14:textId="3537704A" w:rsidR="00FD22FD" w:rsidRPr="00FD22FD" w:rsidRDefault="00FD22FD" w:rsidP="00FD22F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FD22FD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7CB5E34" w14:textId="18C7E452" w:rsidR="00FD22FD" w:rsidRPr="00FD22FD" w:rsidRDefault="00FD22FD" w:rsidP="00FD22F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FD22FD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97B3974" w14:textId="77777777" w:rsidR="00AD5D54" w:rsidRPr="00FD22FD" w:rsidRDefault="00D11B83">
                    <w:pPr>
                      <w:pStyle w:val="Referentiegegevens"/>
                      <w:rPr>
                        <w:lang w:val="da-DK"/>
                      </w:rPr>
                    </w:pPr>
                    <w:r w:rsidRPr="00FD22FD">
                      <w:rPr>
                        <w:lang w:val="da-DK"/>
                      </w:rPr>
                      <w:t>www.minbuza.nl</w:t>
                    </w:r>
                  </w:p>
                  <w:p w14:paraId="597B3975" w14:textId="77777777" w:rsidR="00AD5D54" w:rsidRPr="00FD22FD" w:rsidRDefault="00AD5D5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97B3976" w14:textId="77777777" w:rsidR="00AD5D54" w:rsidRDefault="00D11B8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97B3977" w14:textId="77777777" w:rsidR="00AD5D54" w:rsidRDefault="00D11B83">
                    <w:pPr>
                      <w:pStyle w:val="Referentiegegevens"/>
                    </w:pPr>
                    <w:r>
                      <w:t>BZ2625172</w:t>
                    </w:r>
                  </w:p>
                  <w:p w14:paraId="597B3978" w14:textId="77777777" w:rsidR="00AD5D54" w:rsidRDefault="00AD5D54">
                    <w:pPr>
                      <w:pStyle w:val="WitregelW1"/>
                    </w:pPr>
                  </w:p>
                  <w:p w14:paraId="597B3979" w14:textId="77777777" w:rsidR="00AD5D54" w:rsidRDefault="00D11B8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97B397A" w14:textId="77777777" w:rsidR="00AD5D54" w:rsidRDefault="00D11B83">
                    <w:pPr>
                      <w:pStyle w:val="Referentiegegevens"/>
                    </w:pPr>
                    <w:r>
                      <w:t>2026Z03158/2026D07217</w:t>
                    </w:r>
                  </w:p>
                  <w:p w14:paraId="597B397B" w14:textId="77777777" w:rsidR="00AD5D54" w:rsidRDefault="00AD5D54">
                    <w:pPr>
                      <w:pStyle w:val="WitregelW1"/>
                    </w:pPr>
                  </w:p>
                  <w:p w14:paraId="597B397C" w14:textId="77777777" w:rsidR="00AD5D54" w:rsidRDefault="00D11B8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97B397D" w14:textId="77777777" w:rsidR="00AD5D54" w:rsidRDefault="00D11B8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597B395F" wp14:editId="51C6214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B398B" w14:textId="77777777" w:rsidR="00D11B83" w:rsidRDefault="00D11B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B395F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97B398B" w14:textId="77777777" w:rsidR="00D11B83" w:rsidRDefault="00D11B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597B3961" wp14:editId="597B396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B398D" w14:textId="77777777" w:rsidR="00D11B83" w:rsidRDefault="00D11B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B3961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97B398D" w14:textId="77777777" w:rsidR="00D11B83" w:rsidRDefault="00D11B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597B3963" wp14:editId="597B396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B397F" w14:textId="77777777" w:rsidR="00AD5D54" w:rsidRDefault="00D11B8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7B3985" wp14:editId="597B398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B3963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97B397F" w14:textId="77777777" w:rsidR="00AD5D54" w:rsidRDefault="00D11B8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7B3985" wp14:editId="597B398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09D147"/>
    <w:multiLevelType w:val="multilevel"/>
    <w:tmpl w:val="5147F6F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097739B"/>
    <w:multiLevelType w:val="multilevel"/>
    <w:tmpl w:val="F85C89A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B6A01EB"/>
    <w:multiLevelType w:val="multilevel"/>
    <w:tmpl w:val="E10031C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B7470D8"/>
    <w:multiLevelType w:val="multilevel"/>
    <w:tmpl w:val="BB02CF5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20BC7BC"/>
    <w:multiLevelType w:val="multilevel"/>
    <w:tmpl w:val="6AB62C9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92167CD"/>
    <w:multiLevelType w:val="hybridMultilevel"/>
    <w:tmpl w:val="BF243ECC"/>
    <w:lvl w:ilvl="0" w:tplc="167A9D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169950">
    <w:abstractNumId w:val="3"/>
  </w:num>
  <w:num w:numId="2" w16cid:durableId="1537541032">
    <w:abstractNumId w:val="4"/>
  </w:num>
  <w:num w:numId="3" w16cid:durableId="740177952">
    <w:abstractNumId w:val="2"/>
  </w:num>
  <w:num w:numId="4" w16cid:durableId="426194804">
    <w:abstractNumId w:val="1"/>
  </w:num>
  <w:num w:numId="5" w16cid:durableId="1181774050">
    <w:abstractNumId w:val="0"/>
  </w:num>
  <w:num w:numId="6" w16cid:durableId="1752044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54"/>
    <w:rsid w:val="000336F8"/>
    <w:rsid w:val="00060CA3"/>
    <w:rsid w:val="00064538"/>
    <w:rsid w:val="000747F8"/>
    <w:rsid w:val="0009377C"/>
    <w:rsid w:val="00094CF9"/>
    <w:rsid w:val="000A2AFB"/>
    <w:rsid w:val="000C17B7"/>
    <w:rsid w:val="000D3F07"/>
    <w:rsid w:val="000E5251"/>
    <w:rsid w:val="00135930"/>
    <w:rsid w:val="00193394"/>
    <w:rsid w:val="001B5A95"/>
    <w:rsid w:val="001E1E80"/>
    <w:rsid w:val="001E659E"/>
    <w:rsid w:val="00213E4C"/>
    <w:rsid w:val="00237D43"/>
    <w:rsid w:val="00245B3A"/>
    <w:rsid w:val="00284174"/>
    <w:rsid w:val="002C73B0"/>
    <w:rsid w:val="002E380B"/>
    <w:rsid w:val="002F4DF1"/>
    <w:rsid w:val="002F50D1"/>
    <w:rsid w:val="00303B06"/>
    <w:rsid w:val="00303F15"/>
    <w:rsid w:val="00311707"/>
    <w:rsid w:val="00396C4F"/>
    <w:rsid w:val="00397E1B"/>
    <w:rsid w:val="003B7166"/>
    <w:rsid w:val="003F1C20"/>
    <w:rsid w:val="004121F1"/>
    <w:rsid w:val="00421104"/>
    <w:rsid w:val="004701D7"/>
    <w:rsid w:val="004A453F"/>
    <w:rsid w:val="004E22C6"/>
    <w:rsid w:val="004E283D"/>
    <w:rsid w:val="0052177A"/>
    <w:rsid w:val="00570A71"/>
    <w:rsid w:val="00574CA0"/>
    <w:rsid w:val="005A3587"/>
    <w:rsid w:val="005B10FC"/>
    <w:rsid w:val="005C0C4B"/>
    <w:rsid w:val="005C4258"/>
    <w:rsid w:val="0060511C"/>
    <w:rsid w:val="006062D8"/>
    <w:rsid w:val="0063244B"/>
    <w:rsid w:val="006712BB"/>
    <w:rsid w:val="00692C68"/>
    <w:rsid w:val="006C78C8"/>
    <w:rsid w:val="006D6C8A"/>
    <w:rsid w:val="006F5287"/>
    <w:rsid w:val="006F5F6F"/>
    <w:rsid w:val="006F7894"/>
    <w:rsid w:val="0071315D"/>
    <w:rsid w:val="00752364"/>
    <w:rsid w:val="00781763"/>
    <w:rsid w:val="007B1211"/>
    <w:rsid w:val="007D770B"/>
    <w:rsid w:val="007E45D5"/>
    <w:rsid w:val="007F3AA9"/>
    <w:rsid w:val="00810369"/>
    <w:rsid w:val="0082761E"/>
    <w:rsid w:val="00854876"/>
    <w:rsid w:val="0088473D"/>
    <w:rsid w:val="0088745F"/>
    <w:rsid w:val="00892450"/>
    <w:rsid w:val="008925D3"/>
    <w:rsid w:val="008A4566"/>
    <w:rsid w:val="008B30BE"/>
    <w:rsid w:val="008B3A96"/>
    <w:rsid w:val="008C10A7"/>
    <w:rsid w:val="008D502A"/>
    <w:rsid w:val="008F4E4B"/>
    <w:rsid w:val="00905A0A"/>
    <w:rsid w:val="009165B6"/>
    <w:rsid w:val="009421D8"/>
    <w:rsid w:val="00960C65"/>
    <w:rsid w:val="00983763"/>
    <w:rsid w:val="009C39BF"/>
    <w:rsid w:val="00A53F69"/>
    <w:rsid w:val="00A973FD"/>
    <w:rsid w:val="00AC79B6"/>
    <w:rsid w:val="00AD5D54"/>
    <w:rsid w:val="00AE2AB8"/>
    <w:rsid w:val="00B05044"/>
    <w:rsid w:val="00B063EC"/>
    <w:rsid w:val="00B5540B"/>
    <w:rsid w:val="00BA069F"/>
    <w:rsid w:val="00BE3742"/>
    <w:rsid w:val="00C04A98"/>
    <w:rsid w:val="00C33951"/>
    <w:rsid w:val="00C63AF2"/>
    <w:rsid w:val="00C66C98"/>
    <w:rsid w:val="00C80723"/>
    <w:rsid w:val="00CD1BD5"/>
    <w:rsid w:val="00CD5E02"/>
    <w:rsid w:val="00D11B83"/>
    <w:rsid w:val="00D33476"/>
    <w:rsid w:val="00DA4D76"/>
    <w:rsid w:val="00DD078A"/>
    <w:rsid w:val="00E654F0"/>
    <w:rsid w:val="00E762DA"/>
    <w:rsid w:val="00E97B9E"/>
    <w:rsid w:val="00EA7B2C"/>
    <w:rsid w:val="00EB2A87"/>
    <w:rsid w:val="00EF796B"/>
    <w:rsid w:val="00F03D1E"/>
    <w:rsid w:val="00F23A42"/>
    <w:rsid w:val="00F34A52"/>
    <w:rsid w:val="00F61DB6"/>
    <w:rsid w:val="00F67A6D"/>
    <w:rsid w:val="00FD22FD"/>
    <w:rsid w:val="00FD55F5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B3943"/>
  <w15:docId w15:val="{23C6AF7F-E17C-4C66-BB4B-FBE90A76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rsid w:val="00D11B83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6C4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6C4F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96C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D7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70B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70B"/>
    <w:rPr>
      <w:rFonts w:ascii="Verdana" w:hAnsi="Verdana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8C10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069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417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17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417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174"/>
    <w:rPr>
      <w:rFonts w:ascii="Verdana" w:hAnsi="Verdana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FD2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3A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ntTable" Target="fontTable.xml" Id="rId18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webSetting" Target="webSettings0.xml" Id="rId25" /><Relationship Type="http://schemas.openxmlformats.org/officeDocument/2006/relationships/header" Target="header2.xml" Id="rId16" /><Relationship Type="http://schemas.openxmlformats.org/officeDocument/2006/relationships/webSettings" Target="webSettings.xml" Id="rId11" /><Relationship Type="http://schemas.openxmlformats.org/officeDocument/2006/relationships/footer" Target="footer1.xml" Id="rId15" /><Relationship Type="http://schemas.openxmlformats.org/officeDocument/2006/relationships/settings" Target="settings.xml" Id="rId10" /><Relationship Type="http://schemas.openxmlformats.org/officeDocument/2006/relationships/theme" Target="theme/theme1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512</ap:Words>
  <ap:Characters>2821</ap:Characters>
  <ap:DocSecurity>0</ap:DocSecurity>
  <ap:Lines>23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Reactie op de grondstoffenalliantie tussen VS, Japan en de EU</vt:lpstr>
    </vt:vector>
  </ap:TitlesOfParts>
  <ap:LinksUpToDate>false</ap:LinksUpToDate>
  <ap:CharactersWithSpaces>3327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2026-03-16T15:43:00.0000000Z</lastPrinted>
  <dcterms:created xsi:type="dcterms:W3CDTF">2026-03-18T10:35:00.0000000Z</dcterms:created>
  <dcterms:modified xsi:type="dcterms:W3CDTF">2026-03-18T13:06:00.0000000Z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0x0101009C7CE436063D44E9BE7DC0259EF7C32F006EB9F9836A634AE58B6169785FD3936F00D1C36B1991134D48ADA6038ED90AFE09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https://247.plaza.buzaservices.nl/subject/PV-VZ2026012026/BZ2625172/Reguliere%20kamerbrief%20-%20Verzoek%20aan%20R%20om%20reactie%20op%20de%20berichtgeving%20over%20de%20grondstoffenalliantie%20tussen%20VS, Japan en de EU.docx</vt:lpwstr>
  </property>
  <property fmtid="{D5CDD505-2E9C-101B-9397-08002B2CF9AE}" pid="24" name="_dlc_DocIdItemGuid">
    <vt:lpwstr>76f7b1f5-5979-42f1-b8cc-0708cf6ca13d</vt:lpwstr>
  </property>
  <property fmtid="{D5CDD505-2E9C-101B-9397-08002B2CF9AE}" pid="25" name="_docset_NoMedatataSyncRequired">
    <vt:lpwstr>False</vt:lpwstr>
  </property>
</Properties>
</file>