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011D5" w:rsidTr="00D9561B" w14:paraId="41D19D69" w14:textId="77777777">
        <w:trPr>
          <w:trHeight w:val="1514"/>
        </w:trPr>
        <w:tc>
          <w:tcPr>
            <w:tcW w:w="7522" w:type="dxa"/>
            <w:tcBorders>
              <w:top w:val="nil"/>
              <w:left w:val="nil"/>
              <w:bottom w:val="nil"/>
              <w:right w:val="nil"/>
            </w:tcBorders>
            <w:tcMar>
              <w:left w:w="0" w:type="dxa"/>
              <w:right w:w="0" w:type="dxa"/>
            </w:tcMar>
          </w:tcPr>
          <w:p w:rsidR="00374412" w:rsidP="00D9561B" w:rsidRDefault="004C48BC" w14:paraId="7B01AE01" w14:textId="77777777">
            <w:r>
              <w:t>De v</w:t>
            </w:r>
            <w:r w:rsidR="008E3932">
              <w:t>oorzitter van de Tweede Kamer der Staten-Generaal</w:t>
            </w:r>
          </w:p>
          <w:p w:rsidR="00374412" w:rsidP="00D9561B" w:rsidRDefault="004C48BC" w14:paraId="0A7D6470" w14:textId="77777777">
            <w:r>
              <w:t>Postbus 20018</w:t>
            </w:r>
          </w:p>
          <w:p w:rsidR="008E3932" w:rsidP="00D9561B" w:rsidRDefault="004C48BC" w14:paraId="0782D92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011D5" w:rsidTr="00FF66F9" w14:paraId="09861B45" w14:textId="77777777">
        <w:trPr>
          <w:trHeight w:val="289" w:hRule="exact"/>
        </w:trPr>
        <w:tc>
          <w:tcPr>
            <w:tcW w:w="929" w:type="dxa"/>
          </w:tcPr>
          <w:p w:rsidRPr="00434042" w:rsidR="0005404B" w:rsidP="00FF66F9" w:rsidRDefault="004C48BC" w14:paraId="2190A2BB" w14:textId="77777777">
            <w:pPr>
              <w:rPr>
                <w:lang w:eastAsia="en-US"/>
              </w:rPr>
            </w:pPr>
            <w:r>
              <w:rPr>
                <w:lang w:eastAsia="en-US"/>
              </w:rPr>
              <w:t>Datum</w:t>
            </w:r>
          </w:p>
        </w:tc>
        <w:tc>
          <w:tcPr>
            <w:tcW w:w="6581" w:type="dxa"/>
          </w:tcPr>
          <w:p w:rsidRPr="00434042" w:rsidR="0005404B" w:rsidP="00FF66F9" w:rsidRDefault="00AB2570" w14:paraId="44BFB4C1" w14:textId="75DC3A39">
            <w:pPr>
              <w:rPr>
                <w:lang w:eastAsia="en-US"/>
              </w:rPr>
            </w:pPr>
            <w:r>
              <w:rPr>
                <w:lang w:eastAsia="en-US"/>
              </w:rPr>
              <w:t>18 maart 2026</w:t>
            </w:r>
          </w:p>
        </w:tc>
      </w:tr>
      <w:tr w:rsidR="00A011D5" w:rsidTr="00FF66F9" w14:paraId="544145B3" w14:textId="77777777">
        <w:trPr>
          <w:trHeight w:val="368"/>
        </w:trPr>
        <w:tc>
          <w:tcPr>
            <w:tcW w:w="929" w:type="dxa"/>
          </w:tcPr>
          <w:p w:rsidR="0005404B" w:rsidP="00FF66F9" w:rsidRDefault="004C48BC" w14:paraId="78D0E0A8" w14:textId="77777777">
            <w:pPr>
              <w:rPr>
                <w:lang w:eastAsia="en-US"/>
              </w:rPr>
            </w:pPr>
            <w:r>
              <w:rPr>
                <w:lang w:eastAsia="en-US"/>
              </w:rPr>
              <w:t>Betreft</w:t>
            </w:r>
          </w:p>
        </w:tc>
        <w:tc>
          <w:tcPr>
            <w:tcW w:w="6581" w:type="dxa"/>
          </w:tcPr>
          <w:p w:rsidR="0005404B" w:rsidP="00FF66F9" w:rsidRDefault="004C48BC" w14:paraId="00478EE3" w14:textId="77777777">
            <w:pPr>
              <w:rPr>
                <w:lang w:eastAsia="en-US"/>
              </w:rPr>
            </w:pPr>
            <w:r>
              <w:rPr>
                <w:lang w:eastAsia="en-US"/>
              </w:rPr>
              <w:t>Geannoteerde Agenda informele Raad voor Concurrentievermogen 31 maart 2026</w:t>
            </w:r>
          </w:p>
        </w:tc>
      </w:tr>
    </w:tbl>
    <w:p w:rsidR="00A011D5" w:rsidRDefault="00A011D5" w14:paraId="671BB673" w14:textId="0AB8C79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48BC" w:rsidR="00A011D5" w:rsidTr="00A421A1" w14:paraId="2EE94D14" w14:textId="77777777">
        <w:tc>
          <w:tcPr>
            <w:tcW w:w="2160" w:type="dxa"/>
          </w:tcPr>
          <w:p w:rsidRPr="00F53C9D" w:rsidR="006205C0" w:rsidP="00686AED" w:rsidRDefault="004C48BC" w14:paraId="2D333A83" w14:textId="77777777">
            <w:pPr>
              <w:pStyle w:val="Colofonkop"/>
              <w:framePr w:hSpace="0" w:wrap="auto" w:hAnchor="text" w:vAnchor="margin" w:xAlign="left" w:yAlign="inline"/>
            </w:pPr>
            <w:r>
              <w:t>Onderzoek en Wetenschapsbeleid</w:t>
            </w:r>
          </w:p>
          <w:p w:rsidR="006205C0" w:rsidP="00A421A1" w:rsidRDefault="004C48BC" w14:paraId="21587A2D" w14:textId="77777777">
            <w:pPr>
              <w:pStyle w:val="Huisstijl-Gegeven"/>
              <w:spacing w:after="0"/>
            </w:pPr>
            <w:r>
              <w:t xml:space="preserve">Rijnstraat 50 </w:t>
            </w:r>
          </w:p>
          <w:p w:rsidR="004425A7" w:rsidP="00E972A2" w:rsidRDefault="004C48BC" w14:paraId="5A53C7DE" w14:textId="77777777">
            <w:pPr>
              <w:pStyle w:val="Huisstijl-Gegeven"/>
              <w:spacing w:after="0"/>
            </w:pPr>
            <w:r>
              <w:t>Den Haag</w:t>
            </w:r>
          </w:p>
          <w:p w:rsidR="004425A7" w:rsidP="00E972A2" w:rsidRDefault="004C48BC" w14:paraId="5B278057" w14:textId="77777777">
            <w:pPr>
              <w:pStyle w:val="Huisstijl-Gegeven"/>
              <w:spacing w:after="0"/>
            </w:pPr>
            <w:r>
              <w:t>Postbus 16375</w:t>
            </w:r>
          </w:p>
          <w:p w:rsidR="004425A7" w:rsidP="00E972A2" w:rsidRDefault="004C48BC" w14:paraId="15736AA4" w14:textId="77777777">
            <w:pPr>
              <w:pStyle w:val="Huisstijl-Gegeven"/>
              <w:spacing w:after="0"/>
            </w:pPr>
            <w:r>
              <w:t>2500 BJ Den Haag</w:t>
            </w:r>
          </w:p>
          <w:p w:rsidR="004425A7" w:rsidP="00E972A2" w:rsidRDefault="004C48BC" w14:paraId="07CED1AD" w14:textId="77777777">
            <w:pPr>
              <w:pStyle w:val="Huisstijl-Gegeven"/>
              <w:spacing w:after="90"/>
            </w:pPr>
            <w:r>
              <w:t>www.rijksoverheid.nl</w:t>
            </w:r>
          </w:p>
          <w:p w:rsidRPr="00D86CC6" w:rsidR="006205C0" w:rsidP="00A421A1" w:rsidRDefault="004C48BC" w14:paraId="244E80E3" w14:textId="77777777">
            <w:pPr>
              <w:spacing w:line="180" w:lineRule="exact"/>
              <w:rPr>
                <w:b/>
                <w:sz w:val="13"/>
                <w:szCs w:val="13"/>
              </w:rPr>
            </w:pPr>
            <w:r>
              <w:rPr>
                <w:b/>
                <w:sz w:val="13"/>
                <w:szCs w:val="13"/>
              </w:rPr>
              <w:t>Contactpersoon</w:t>
            </w:r>
          </w:p>
          <w:p w:rsidR="006205C0" w:rsidP="00A421A1" w:rsidRDefault="006205C0" w14:paraId="769EC6A4" w14:textId="77777777">
            <w:pPr>
              <w:spacing w:line="180" w:lineRule="exact"/>
              <w:rPr>
                <w:sz w:val="13"/>
                <w:szCs w:val="13"/>
                <w:lang w:val="en-US"/>
              </w:rPr>
            </w:pPr>
          </w:p>
          <w:p w:rsidRPr="004C48BC" w:rsidR="00AB2570" w:rsidP="00A421A1" w:rsidRDefault="00AB2570" w14:paraId="260BD4A4" w14:textId="337AA92C">
            <w:pPr>
              <w:spacing w:line="180" w:lineRule="exact"/>
              <w:rPr>
                <w:sz w:val="13"/>
                <w:szCs w:val="13"/>
                <w:lang w:val="en-US"/>
              </w:rPr>
            </w:pPr>
          </w:p>
        </w:tc>
      </w:tr>
      <w:tr w:rsidRPr="004C48BC" w:rsidR="00A011D5" w:rsidTr="00A421A1" w14:paraId="4E48FBEA" w14:textId="77777777">
        <w:trPr>
          <w:trHeight w:val="200" w:hRule="exact"/>
        </w:trPr>
        <w:tc>
          <w:tcPr>
            <w:tcW w:w="2160" w:type="dxa"/>
          </w:tcPr>
          <w:p w:rsidRPr="004C48BC" w:rsidR="006205C0" w:rsidP="00A421A1" w:rsidRDefault="006205C0" w14:paraId="473EC644" w14:textId="77777777">
            <w:pPr>
              <w:spacing w:after="90" w:line="180" w:lineRule="exact"/>
              <w:rPr>
                <w:sz w:val="13"/>
                <w:szCs w:val="13"/>
                <w:lang w:val="en-US"/>
              </w:rPr>
            </w:pPr>
          </w:p>
        </w:tc>
      </w:tr>
      <w:tr w:rsidR="00A011D5" w:rsidTr="00A421A1" w14:paraId="52C1C770" w14:textId="77777777">
        <w:trPr>
          <w:trHeight w:val="450"/>
        </w:trPr>
        <w:tc>
          <w:tcPr>
            <w:tcW w:w="2160" w:type="dxa"/>
          </w:tcPr>
          <w:p w:rsidR="00F51A76" w:rsidP="00A421A1" w:rsidRDefault="004C48BC" w14:paraId="60F51859" w14:textId="77777777">
            <w:pPr>
              <w:spacing w:line="180" w:lineRule="exact"/>
              <w:rPr>
                <w:b/>
                <w:sz w:val="13"/>
                <w:szCs w:val="13"/>
              </w:rPr>
            </w:pPr>
            <w:r>
              <w:rPr>
                <w:b/>
                <w:sz w:val="13"/>
                <w:szCs w:val="13"/>
              </w:rPr>
              <w:t>Onze referentie</w:t>
            </w:r>
          </w:p>
          <w:p w:rsidRPr="00FA7882" w:rsidR="006205C0" w:rsidP="00215356" w:rsidRDefault="004C48BC" w14:paraId="35B3EE17" w14:textId="77777777">
            <w:pPr>
              <w:spacing w:line="180" w:lineRule="exact"/>
              <w:rPr>
                <w:sz w:val="13"/>
                <w:szCs w:val="13"/>
              </w:rPr>
            </w:pPr>
            <w:r>
              <w:rPr>
                <w:sz w:val="13"/>
                <w:szCs w:val="13"/>
              </w:rPr>
              <w:t>62750227</w:t>
            </w:r>
          </w:p>
        </w:tc>
      </w:tr>
      <w:tr w:rsidR="00A011D5" w:rsidTr="00D130C0" w14:paraId="60E3E47A" w14:textId="77777777">
        <w:trPr>
          <w:trHeight w:val="113"/>
        </w:trPr>
        <w:tc>
          <w:tcPr>
            <w:tcW w:w="2160" w:type="dxa"/>
          </w:tcPr>
          <w:p w:rsidRPr="00C5333A" w:rsidR="006205C0" w:rsidP="00D36088" w:rsidRDefault="004C48BC" w14:paraId="6F0D00C8" w14:textId="77777777">
            <w:pPr>
              <w:tabs>
                <w:tab w:val="center" w:pos="1080"/>
              </w:tabs>
              <w:spacing w:line="180" w:lineRule="exact"/>
              <w:rPr>
                <w:sz w:val="13"/>
                <w:szCs w:val="13"/>
              </w:rPr>
            </w:pPr>
            <w:r>
              <w:rPr>
                <w:b/>
                <w:sz w:val="13"/>
                <w:szCs w:val="13"/>
              </w:rPr>
              <w:t>Bijlagen</w:t>
            </w:r>
          </w:p>
        </w:tc>
      </w:tr>
      <w:tr w:rsidR="00A011D5" w:rsidTr="00D130C0" w14:paraId="04E3BB39" w14:textId="77777777">
        <w:trPr>
          <w:trHeight w:val="113"/>
        </w:trPr>
        <w:tc>
          <w:tcPr>
            <w:tcW w:w="2160" w:type="dxa"/>
          </w:tcPr>
          <w:p w:rsidRPr="00D74F66" w:rsidR="006205C0" w:rsidP="00A421A1" w:rsidRDefault="006205C0" w14:paraId="21C104D9" w14:textId="77777777">
            <w:pPr>
              <w:spacing w:after="90" w:line="180" w:lineRule="exact"/>
              <w:rPr>
                <w:sz w:val="13"/>
              </w:rPr>
            </w:pPr>
          </w:p>
        </w:tc>
      </w:tr>
    </w:tbl>
    <w:p w:rsidR="00215356" w:rsidRDefault="00122198" w14:paraId="2F922AA3" w14:textId="03F00FBA">
      <w:r>
        <w:t>Hierbij bied ik uw Kamer, mede namens de minister van Economische Zaken en Klimaat, de Geannoteerde Agenda voor de digitale informele Raad voor Concurrentievermogen, onderdeel onderzoek &amp; innovatie, van 31 maart aan.</w:t>
      </w:r>
    </w:p>
    <w:p w:rsidR="00122198" w:rsidP="00A421A1" w:rsidRDefault="00122198" w14:paraId="0BA99A6B" w14:textId="77777777"/>
    <w:p w:rsidR="00820DDA" w:rsidP="00CA35E4" w:rsidRDefault="00122198" w14:paraId="78EF2E9F" w14:textId="6032198B">
      <w:r>
        <w:t>De informele Raad voor Concurrentievermogen is door het Cypriotische voorzitterschap vanwege de geografische ligging van Cyprus in relatie tot de geopolitieke situatie in het Midden-Oosten omgezet in een digitale Raad.</w:t>
      </w:r>
    </w:p>
    <w:p w:rsidR="007851C4" w:rsidP="00CA35E4" w:rsidRDefault="004C48BC" w14:paraId="0ADC8087" w14:textId="77777777">
      <w:r w:rsidRPr="007851C4">
        <w:t xml:space="preserve"> </w:t>
      </w:r>
    </w:p>
    <w:p w:rsidR="007851C4" w:rsidP="00CA35E4" w:rsidRDefault="007851C4" w14:paraId="483B6AC6" w14:textId="77777777"/>
    <w:p w:rsidR="00BD292D" w:rsidP="00CA35E4" w:rsidRDefault="00BD292D" w14:paraId="33C43646" w14:textId="77777777"/>
    <w:p w:rsidR="00BD292D" w:rsidP="00CA35E4" w:rsidRDefault="00BD292D" w14:paraId="34F0BE98" w14:textId="77777777"/>
    <w:p w:rsidR="00820DDA" w:rsidP="00CA35E4" w:rsidRDefault="004C48BC" w14:paraId="2A7BFC75" w14:textId="77777777">
      <w:r>
        <w:t>De minister van Onderwijs, Cultuur en Wetenschap,</w:t>
      </w:r>
    </w:p>
    <w:p w:rsidR="000F521E" w:rsidP="003A7160" w:rsidRDefault="000F521E" w14:paraId="7190D5C4" w14:textId="77777777"/>
    <w:p w:rsidR="000F521E" w:rsidP="003A7160" w:rsidRDefault="000F521E" w14:paraId="5C65A20F" w14:textId="77777777"/>
    <w:p w:rsidR="000F521E" w:rsidP="003A7160" w:rsidRDefault="000F521E" w14:paraId="4206FBFB" w14:textId="77777777"/>
    <w:p w:rsidR="000F521E" w:rsidP="003A7160" w:rsidRDefault="000F521E" w14:paraId="20FDA08E" w14:textId="77777777"/>
    <w:p w:rsidR="00E40AFE" w:rsidP="003A7160" w:rsidRDefault="004C48BC" w14:paraId="3D052F4B" w14:textId="7064153D">
      <w:pPr>
        <w:rPr>
          <w:lang w:eastAsia="en-US"/>
        </w:rPr>
      </w:pPr>
      <w:r w:rsidRPr="006C6CF8">
        <w:rPr>
          <w:lang w:eastAsia="en-US"/>
        </w:rPr>
        <w:t>Rianne Letschert</w:t>
      </w:r>
    </w:p>
    <w:p w:rsidR="00E40AFE" w:rsidRDefault="00E40AFE" w14:paraId="4A8FC643" w14:textId="77777777">
      <w:pPr>
        <w:spacing w:line="240" w:lineRule="auto"/>
        <w:rPr>
          <w:lang w:eastAsia="en-US"/>
        </w:rPr>
      </w:pPr>
      <w:r>
        <w:rPr>
          <w:lang w:eastAsia="en-US"/>
        </w:rPr>
        <w:br w:type="page"/>
      </w:r>
    </w:p>
    <w:p w:rsidRPr="001B01CA" w:rsidR="00E40AFE" w:rsidP="00E40AFE" w:rsidRDefault="00E40AFE" w14:paraId="30088A69" w14:textId="77777777">
      <w:pPr>
        <w:suppressAutoHyphens/>
        <w:spacing w:line="276" w:lineRule="auto"/>
        <w:rPr>
          <w:b/>
          <w:bCs/>
          <w:szCs w:val="18"/>
        </w:rPr>
      </w:pPr>
      <w:r w:rsidRPr="001B01CA">
        <w:rPr>
          <w:rFonts w:eastAsia="Calibri" w:cs="Calibri"/>
          <w:b/>
          <w:bCs/>
          <w:szCs w:val="18"/>
          <w:lang w:eastAsia="en-US"/>
        </w:rPr>
        <w:lastRenderedPageBreak/>
        <w:t>Van excellent onderzoek naar mondiale schaal: het Europese innovatiepotentieel ontsluiten</w:t>
      </w:r>
    </w:p>
    <w:p w:rsidR="00E40AFE" w:rsidP="00E40AFE" w:rsidRDefault="00E40AFE" w14:paraId="52B2AB3F" w14:textId="77777777">
      <w:pPr>
        <w:suppressAutoHyphens/>
        <w:spacing w:line="276" w:lineRule="auto"/>
        <w:rPr>
          <w:i/>
          <w:iCs/>
          <w:szCs w:val="18"/>
        </w:rPr>
      </w:pPr>
    </w:p>
    <w:p w:rsidRPr="005A37CB" w:rsidR="00E40AFE" w:rsidP="00E40AFE" w:rsidRDefault="00E40AFE" w14:paraId="2B6071B5" w14:textId="77777777">
      <w:pPr>
        <w:suppressAutoHyphens/>
        <w:spacing w:line="276" w:lineRule="auto"/>
        <w:rPr>
          <w:i/>
          <w:iCs/>
          <w:szCs w:val="18"/>
        </w:rPr>
      </w:pPr>
      <w:r w:rsidRPr="005A37CB">
        <w:rPr>
          <w:i/>
          <w:iCs/>
          <w:szCs w:val="18"/>
        </w:rPr>
        <w:t>Beleidsdebat</w:t>
      </w:r>
    </w:p>
    <w:p w:rsidR="00E40AFE" w:rsidP="00E40AFE" w:rsidRDefault="00E40AFE" w14:paraId="2DF6F86F" w14:textId="77777777">
      <w:pPr>
        <w:suppressAutoHyphens/>
        <w:spacing w:line="276" w:lineRule="auto"/>
        <w:rPr>
          <w:szCs w:val="18"/>
        </w:rPr>
      </w:pPr>
      <w:r w:rsidRPr="00E17BCE">
        <w:rPr>
          <w:szCs w:val="18"/>
        </w:rPr>
        <w:t>Het Cypriotische v</w:t>
      </w:r>
      <w:r>
        <w:rPr>
          <w:szCs w:val="18"/>
        </w:rPr>
        <w:t xml:space="preserve">oorzitterschap wil een debat voeren over het optimaal benutten van het Europese innovatiepotentieel ten behoeve van het dichten van de innovatiekloof, zoals geconstateerd in het </w:t>
      </w:r>
      <w:proofErr w:type="spellStart"/>
      <w:r>
        <w:rPr>
          <w:szCs w:val="18"/>
        </w:rPr>
        <w:t>Draghirapport</w:t>
      </w:r>
      <w:proofErr w:type="spellEnd"/>
      <w:r>
        <w:rPr>
          <w:szCs w:val="18"/>
        </w:rPr>
        <w:t xml:space="preserve">. Hierbij zal onder andere aandacht zijn voor hoe lidstaten en de Europese Commissie samen kunnen werken aan het wegnemen van barrières voor het aantrekken van internationaal talent en het opschalen van innovatieve bedrijven. Dit bouwt voort op initiatieven zoals de </w:t>
      </w:r>
      <w:r w:rsidRPr="00DC6192">
        <w:rPr>
          <w:i/>
          <w:iCs/>
          <w:szCs w:val="18"/>
        </w:rPr>
        <w:t xml:space="preserve">Startup </w:t>
      </w:r>
      <w:proofErr w:type="spellStart"/>
      <w:r w:rsidRPr="00DC6192">
        <w:rPr>
          <w:i/>
          <w:iCs/>
          <w:szCs w:val="18"/>
        </w:rPr>
        <w:t>and</w:t>
      </w:r>
      <w:proofErr w:type="spellEnd"/>
      <w:r w:rsidRPr="00DC6192">
        <w:rPr>
          <w:i/>
          <w:iCs/>
          <w:szCs w:val="18"/>
        </w:rPr>
        <w:t xml:space="preserve"> </w:t>
      </w:r>
      <w:proofErr w:type="spellStart"/>
      <w:r w:rsidRPr="00DC6192">
        <w:rPr>
          <w:i/>
          <w:iCs/>
          <w:szCs w:val="18"/>
        </w:rPr>
        <w:t>Scaleup</w:t>
      </w:r>
      <w:proofErr w:type="spellEnd"/>
      <w:r w:rsidRPr="00DC6192">
        <w:rPr>
          <w:i/>
          <w:iCs/>
          <w:szCs w:val="18"/>
        </w:rPr>
        <w:t xml:space="preserve"> </w:t>
      </w:r>
      <w:proofErr w:type="spellStart"/>
      <w:r w:rsidRPr="00DC6192">
        <w:rPr>
          <w:i/>
          <w:iCs/>
          <w:szCs w:val="18"/>
        </w:rPr>
        <w:t>Strategy</w:t>
      </w:r>
      <w:proofErr w:type="spellEnd"/>
      <w:r>
        <w:rPr>
          <w:rStyle w:val="Voetnootmarkering"/>
          <w:szCs w:val="18"/>
        </w:rPr>
        <w:footnoteReference w:id="1"/>
      </w:r>
      <w:r>
        <w:rPr>
          <w:szCs w:val="18"/>
        </w:rPr>
        <w:t xml:space="preserve">, </w:t>
      </w:r>
      <w:proofErr w:type="spellStart"/>
      <w:r w:rsidRPr="001B01CA">
        <w:rPr>
          <w:i/>
          <w:iCs/>
          <w:szCs w:val="18"/>
        </w:rPr>
        <w:t>Choose</w:t>
      </w:r>
      <w:proofErr w:type="spellEnd"/>
      <w:r w:rsidRPr="001B01CA">
        <w:rPr>
          <w:i/>
          <w:iCs/>
          <w:szCs w:val="18"/>
        </w:rPr>
        <w:t xml:space="preserve"> Europe</w:t>
      </w:r>
      <w:r>
        <w:rPr>
          <w:rStyle w:val="Voetnootmarkering"/>
          <w:szCs w:val="18"/>
        </w:rPr>
        <w:footnoteReference w:id="2"/>
      </w:r>
      <w:r>
        <w:rPr>
          <w:szCs w:val="18"/>
        </w:rPr>
        <w:t xml:space="preserve"> en de recent uitgebrachte Commissieaanbeveling over het aantrekken van talent op innovatie</w:t>
      </w:r>
      <w:r>
        <w:rPr>
          <w:rStyle w:val="Voetnootmarkering"/>
          <w:szCs w:val="18"/>
        </w:rPr>
        <w:footnoteReference w:id="3"/>
      </w:r>
      <w:r>
        <w:rPr>
          <w:szCs w:val="18"/>
        </w:rPr>
        <w:t>, waarover uw Kamer op korte termijn nader wordt geïnformeerd middels een BNC-fiche.</w:t>
      </w:r>
    </w:p>
    <w:p w:rsidR="00E40AFE" w:rsidP="00E40AFE" w:rsidRDefault="00E40AFE" w14:paraId="76A57F55" w14:textId="77777777">
      <w:pPr>
        <w:suppressAutoHyphens/>
        <w:spacing w:line="276" w:lineRule="auto"/>
        <w:rPr>
          <w:i/>
          <w:iCs/>
          <w:szCs w:val="18"/>
        </w:rPr>
      </w:pPr>
      <w:bookmarkStart w:name="_Hlk197016274" w:id="0"/>
    </w:p>
    <w:p w:rsidR="00E40AFE" w:rsidP="00E40AFE" w:rsidRDefault="00E40AFE" w14:paraId="4612C4E2" w14:textId="77777777">
      <w:pPr>
        <w:suppressAutoHyphens/>
        <w:spacing w:line="276" w:lineRule="auto"/>
        <w:rPr>
          <w:i/>
          <w:iCs/>
          <w:szCs w:val="18"/>
        </w:rPr>
      </w:pPr>
      <w:r w:rsidRPr="007F6778">
        <w:rPr>
          <w:i/>
          <w:iCs/>
          <w:szCs w:val="18"/>
        </w:rPr>
        <w:t>Nederlandse positie</w:t>
      </w:r>
    </w:p>
    <w:p w:rsidR="00E40AFE" w:rsidP="00E40AFE" w:rsidRDefault="00E40AFE" w14:paraId="5917E63F" w14:textId="77777777">
      <w:pPr>
        <w:suppressAutoHyphens/>
        <w:spacing w:line="276" w:lineRule="auto"/>
      </w:pPr>
      <w:r>
        <w:t xml:space="preserve">De Europese Commissie heeft in mei 2025 het </w:t>
      </w:r>
      <w:proofErr w:type="spellStart"/>
      <w:r w:rsidRPr="006D01BF">
        <w:rPr>
          <w:i/>
          <w:iCs/>
        </w:rPr>
        <w:t>Choose</w:t>
      </w:r>
      <w:proofErr w:type="spellEnd"/>
      <w:r w:rsidRPr="006D01BF">
        <w:rPr>
          <w:i/>
          <w:iCs/>
        </w:rPr>
        <w:t xml:space="preserve"> Europe </w:t>
      </w:r>
      <w:proofErr w:type="spellStart"/>
      <w:r w:rsidRPr="006D01BF">
        <w:rPr>
          <w:i/>
          <w:iCs/>
        </w:rPr>
        <w:t>for</w:t>
      </w:r>
      <w:proofErr w:type="spellEnd"/>
      <w:r w:rsidRPr="006D01BF">
        <w:rPr>
          <w:i/>
          <w:iCs/>
        </w:rPr>
        <w:t xml:space="preserve"> </w:t>
      </w:r>
      <w:proofErr w:type="spellStart"/>
      <w:r w:rsidRPr="006D01BF">
        <w:rPr>
          <w:i/>
          <w:iCs/>
        </w:rPr>
        <w:t>Science</w:t>
      </w:r>
      <w:proofErr w:type="spellEnd"/>
      <w:r>
        <w:t xml:space="preserve">-initiatief gelanceerd om internationaal </w:t>
      </w:r>
      <w:proofErr w:type="spellStart"/>
      <w:r>
        <w:t>onderzoekstalent</w:t>
      </w:r>
      <w:proofErr w:type="spellEnd"/>
      <w:r>
        <w:t xml:space="preserve"> aan te trekken. </w:t>
      </w:r>
    </w:p>
    <w:p w:rsidR="00E40AFE" w:rsidP="00E40AFE" w:rsidRDefault="00E40AFE" w14:paraId="04E8D80E" w14:textId="77777777">
      <w:pPr>
        <w:suppressAutoHyphens/>
        <w:spacing w:line="276" w:lineRule="auto"/>
      </w:pPr>
      <w:r>
        <w:t xml:space="preserve">In aanvulling op het in brede zin aantrekken van </w:t>
      </w:r>
      <w:proofErr w:type="spellStart"/>
      <w:r>
        <w:t>onderzoekstalent</w:t>
      </w:r>
      <w:proofErr w:type="spellEnd"/>
      <w:r>
        <w:t>, benadrukt de Europese Commissie in haar recente aanbeveling het belang van het aantrekken en behouden van talent</w:t>
      </w:r>
      <w:r w:rsidRPr="00DB604E">
        <w:t xml:space="preserve"> met gespecialiseerde vaardigheden of een sterk innovatiepotentieel.</w:t>
      </w:r>
      <w:r w:rsidRPr="00366A6E">
        <w:t xml:space="preserve"> </w:t>
      </w:r>
    </w:p>
    <w:p w:rsidR="00E40AFE" w:rsidP="00E40AFE" w:rsidRDefault="00E40AFE" w14:paraId="73B54A67" w14:textId="77777777">
      <w:pPr>
        <w:suppressAutoHyphens/>
        <w:spacing w:line="276" w:lineRule="auto"/>
      </w:pPr>
    </w:p>
    <w:p w:rsidR="00E40AFE" w:rsidP="00E40AFE" w:rsidRDefault="00E40AFE" w14:paraId="0CF44FE6" w14:textId="77777777">
      <w:pPr>
        <w:suppressAutoHyphens/>
        <w:spacing w:line="276" w:lineRule="auto"/>
      </w:pPr>
      <w:r>
        <w:t xml:space="preserve">Aantrekken, behouden en ontwikkelen van talent is cruciaal voor het Nederlandse en het Europese concurrentievermogen. Het coalitieakkoord benadrukt het belang van de beschikbaarheid van talent voor een sterke economie en sterke samenleving. </w:t>
      </w:r>
      <w:r w:rsidRPr="009D527B">
        <w:t xml:space="preserve">Het </w:t>
      </w:r>
      <w:r>
        <w:t xml:space="preserve">kabinet zet daarom specifiek in op </w:t>
      </w:r>
      <w:r w:rsidRPr="009D527B">
        <w:t xml:space="preserve">een talentstrategie. </w:t>
      </w:r>
      <w:r>
        <w:t xml:space="preserve">De noodzaak van talent voor innovatie en met name voor </w:t>
      </w:r>
      <w:r w:rsidRPr="009D527B">
        <w:t>technologische georiënteerde werkvelden</w:t>
      </w:r>
      <w:r>
        <w:t xml:space="preserve"> volgt ook uit de </w:t>
      </w:r>
      <w:r w:rsidRPr="009D527B">
        <w:t>Nederlandse Technologie Strategie</w:t>
      </w:r>
      <w:r w:rsidRPr="009D527B">
        <w:rPr>
          <w:rStyle w:val="Voetnootmarkering"/>
        </w:rPr>
        <w:footnoteReference w:id="4"/>
      </w:r>
      <w:r>
        <w:t xml:space="preserve">. Hier </w:t>
      </w:r>
      <w:r w:rsidRPr="009D527B">
        <w:t>zal Nederland dan ook specifiek aandacht aan willen besteden</w:t>
      </w:r>
      <w:r>
        <w:t xml:space="preserve"> in de Europese context</w:t>
      </w:r>
      <w:r w:rsidRPr="009D527B">
        <w:t>.</w:t>
      </w:r>
    </w:p>
    <w:p w:rsidR="00E40AFE" w:rsidP="00E40AFE" w:rsidRDefault="00E40AFE" w14:paraId="13A9F569" w14:textId="77777777">
      <w:pPr>
        <w:suppressAutoHyphens/>
        <w:spacing w:line="276" w:lineRule="auto"/>
      </w:pPr>
    </w:p>
    <w:p w:rsidR="00E40AFE" w:rsidP="00E40AFE" w:rsidRDefault="00E40AFE" w14:paraId="7A38823A" w14:textId="31746E4D">
      <w:pPr>
        <w:suppressAutoHyphens/>
        <w:spacing w:line="276" w:lineRule="auto"/>
      </w:pPr>
      <w:r>
        <w:t>Daarnaast zet h</w:t>
      </w:r>
      <w:r w:rsidRPr="00C16532">
        <w:t xml:space="preserve">et kabinet </w:t>
      </w:r>
      <w:r>
        <w:t xml:space="preserve">zich </w:t>
      </w:r>
      <w:r w:rsidRPr="00C16532">
        <w:t xml:space="preserve">in de Europese context </w:t>
      </w:r>
      <w:r>
        <w:t xml:space="preserve">in om </w:t>
      </w:r>
      <w:r w:rsidRPr="00C16532">
        <w:t xml:space="preserve">de juiste condities te creëren zodat </w:t>
      </w:r>
      <w:r>
        <w:t>innovatieve bedrijven</w:t>
      </w:r>
      <w:r w:rsidRPr="00C16532">
        <w:t xml:space="preserve"> volop kansen kunnen pakken met zo min mogelijk obstakels op de Europese interne markt.</w:t>
      </w:r>
      <w:r>
        <w:t xml:space="preserve"> O</w:t>
      </w:r>
      <w:r w:rsidRPr="00C16532">
        <w:t>m op te schalen kijken</w:t>
      </w:r>
      <w:r>
        <w:t xml:space="preserve"> deze bedrijven</w:t>
      </w:r>
      <w:r w:rsidRPr="00C16532">
        <w:t xml:space="preserve"> </w:t>
      </w:r>
      <w:r>
        <w:t xml:space="preserve">namelijk </w:t>
      </w:r>
      <w:r w:rsidRPr="00C16532">
        <w:t xml:space="preserve">al snel over de landsgrenzen heen, op zoek naar </w:t>
      </w:r>
      <w:r>
        <w:t>onder andere</w:t>
      </w:r>
      <w:r w:rsidRPr="00C16532">
        <w:t xml:space="preserve"> financiering, afzetmarkt, partners</w:t>
      </w:r>
      <w:r>
        <w:t xml:space="preserve"> en</w:t>
      </w:r>
      <w:r w:rsidRPr="00C16532">
        <w:t xml:space="preserve"> kennis. De Europese markt biedt</w:t>
      </w:r>
      <w:r>
        <w:t xml:space="preserve"> hie</w:t>
      </w:r>
      <w:r w:rsidRPr="00C16532">
        <w:t xml:space="preserve">rbij velerlei kansen. </w:t>
      </w:r>
      <w:r>
        <w:t>T</w:t>
      </w:r>
      <w:r w:rsidRPr="00C16532">
        <w:t xml:space="preserve">egelijkertijd </w:t>
      </w:r>
      <w:r>
        <w:t>is er sprake van</w:t>
      </w:r>
      <w:r w:rsidRPr="00C16532">
        <w:t xml:space="preserve"> </w:t>
      </w:r>
      <w:r w:rsidR="005D1288">
        <w:t>niet toereikende staatssteunregelgeving (zoals de definitie voor Onderneming in Moeilijkheden</w:t>
      </w:r>
      <w:r w:rsidR="005D1288">
        <w:rPr>
          <w:rStyle w:val="Voetnootmarkering"/>
        </w:rPr>
        <w:footnoteReference w:id="5"/>
      </w:r>
      <w:r w:rsidR="000B5E05">
        <w:t>),</w:t>
      </w:r>
      <w:r w:rsidR="005D1288">
        <w:t xml:space="preserve"> </w:t>
      </w:r>
      <w:r w:rsidRPr="00C16532">
        <w:t>versnipperde wet- en regelgeving die vaak per land ingeregeld is, een hoge regeldruk, ontoereikende toegang tot durfkapitaal en talent</w:t>
      </w:r>
      <w:r>
        <w:t>. Dit remt</w:t>
      </w:r>
      <w:r w:rsidRPr="00C16532">
        <w:t xml:space="preserve"> </w:t>
      </w:r>
      <w:r>
        <w:t>de</w:t>
      </w:r>
      <w:r w:rsidRPr="00C16532">
        <w:t xml:space="preserve"> internationale expansie van Nederlandse </w:t>
      </w:r>
      <w:r>
        <w:t xml:space="preserve">innovatieve bedrijven </w:t>
      </w:r>
      <w:r w:rsidRPr="00C16532">
        <w:t>af</w:t>
      </w:r>
      <w:r>
        <w:t>.</w:t>
      </w:r>
    </w:p>
    <w:p w:rsidRPr="009D527B" w:rsidR="00E40AFE" w:rsidP="00E40AFE" w:rsidRDefault="00E40AFE" w14:paraId="64E8D70A" w14:textId="77777777">
      <w:pPr>
        <w:suppressAutoHyphens/>
        <w:spacing w:line="276" w:lineRule="auto"/>
      </w:pPr>
    </w:p>
    <w:p w:rsidRPr="009D527B" w:rsidR="00E40AFE" w:rsidP="00E40AFE" w:rsidRDefault="00E40AFE" w14:paraId="538E9118" w14:textId="77777777">
      <w:pPr>
        <w:suppressAutoHyphens/>
        <w:spacing w:line="276" w:lineRule="auto"/>
      </w:pPr>
      <w:r>
        <w:lastRenderedPageBreak/>
        <w:t xml:space="preserve">Naast talent en het wegnemen van barrières zijn investeringen in vervolgonderwijs, onderzoek en wetenschap essentieel zodat we als innovatief Nederland voorop kunnen blijven lopen. Door ruimte te blijven creëren voor fundamenteel onderzoek kunnen goede ideeën uitgroeien </w:t>
      </w:r>
      <w:r w:rsidRPr="009D527B">
        <w:t>tot succesvolle ondernemingen</w:t>
      </w:r>
      <w:r>
        <w:t xml:space="preserve">. Het kabinet wil hier de komende periode vol op inzetten onder andere door te blijven streven naar </w:t>
      </w:r>
      <w:r w:rsidRPr="009D527B">
        <w:t xml:space="preserve">een stabiel onderzoek- en innovatie-ecosysteem met goede randvoorwaarden </w:t>
      </w:r>
      <w:r>
        <w:t>waaronder</w:t>
      </w:r>
      <w:r w:rsidRPr="009D527B">
        <w:t xml:space="preserve"> academische vrijheid en open </w:t>
      </w:r>
      <w:proofErr w:type="spellStart"/>
      <w:r w:rsidRPr="009D527B">
        <w:t>science</w:t>
      </w:r>
      <w:proofErr w:type="spellEnd"/>
      <w:r w:rsidRPr="009D527B">
        <w:t>.</w:t>
      </w:r>
    </w:p>
    <w:bookmarkEnd w:id="0"/>
    <w:p w:rsidR="00E40AFE" w:rsidP="00E40AFE" w:rsidRDefault="00E40AFE" w14:paraId="1F61263B" w14:textId="77777777"/>
    <w:p w:rsidRPr="00087378" w:rsidR="00E40AFE" w:rsidP="00E40AFE" w:rsidRDefault="00E40AFE" w14:paraId="6D04571C" w14:textId="77777777"/>
    <w:p w:rsidR="000F521E" w:rsidP="003A7160" w:rsidRDefault="000F521E" w14:paraId="341DA588" w14:textId="77777777"/>
    <w:p w:rsidR="00F01557" w:rsidP="003A7160" w:rsidRDefault="00F01557" w14:paraId="0AF42392" w14:textId="77777777"/>
    <w:p w:rsidR="00F01557" w:rsidP="003A7160" w:rsidRDefault="00F01557" w14:paraId="53054AEA" w14:textId="77777777"/>
    <w:p w:rsidRPr="00820DDA" w:rsidR="00820DDA" w:rsidP="00215964" w:rsidRDefault="00820DDA" w14:paraId="0D17D9AA"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07B3" w14:textId="77777777" w:rsidR="00DC691C" w:rsidRDefault="004C48BC">
      <w:r>
        <w:separator/>
      </w:r>
    </w:p>
    <w:p w14:paraId="31A90AD6" w14:textId="77777777" w:rsidR="00DC691C" w:rsidRDefault="00DC691C"/>
  </w:endnote>
  <w:endnote w:type="continuationSeparator" w:id="0">
    <w:p w14:paraId="6343B7E3" w14:textId="77777777" w:rsidR="00DC691C" w:rsidRDefault="004C48BC">
      <w:r>
        <w:continuationSeparator/>
      </w:r>
    </w:p>
    <w:p w14:paraId="37F2791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B4D5"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1B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011D5" w14:paraId="451C6013" w14:textId="77777777" w:rsidTr="004C7E1D">
      <w:trPr>
        <w:trHeight w:hRule="exact" w:val="357"/>
      </w:trPr>
      <w:tc>
        <w:tcPr>
          <w:tcW w:w="7603" w:type="dxa"/>
        </w:tcPr>
        <w:p w14:paraId="30A94A18" w14:textId="77777777" w:rsidR="002F71BB" w:rsidRPr="004C7E1D" w:rsidRDefault="002F71BB" w:rsidP="004C7E1D">
          <w:pPr>
            <w:spacing w:line="180" w:lineRule="exact"/>
            <w:rPr>
              <w:sz w:val="13"/>
              <w:szCs w:val="13"/>
            </w:rPr>
          </w:pPr>
        </w:p>
      </w:tc>
      <w:tc>
        <w:tcPr>
          <w:tcW w:w="2172" w:type="dxa"/>
        </w:tcPr>
        <w:p w14:paraId="698C4412" w14:textId="0D13EC6A" w:rsidR="002F71BB" w:rsidRPr="004C7E1D" w:rsidRDefault="004C48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2570">
            <w:rPr>
              <w:szCs w:val="13"/>
            </w:rPr>
            <w:t>3</w:t>
          </w:r>
          <w:r w:rsidRPr="004C7E1D">
            <w:rPr>
              <w:szCs w:val="13"/>
            </w:rPr>
            <w:fldChar w:fldCharType="end"/>
          </w:r>
        </w:p>
      </w:tc>
    </w:tr>
  </w:tbl>
  <w:p w14:paraId="6C9E843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011D5" w14:paraId="1762BF25" w14:textId="77777777" w:rsidTr="004C7E1D">
      <w:trPr>
        <w:trHeight w:hRule="exact" w:val="357"/>
      </w:trPr>
      <w:tc>
        <w:tcPr>
          <w:tcW w:w="7709" w:type="dxa"/>
        </w:tcPr>
        <w:p w14:paraId="11D7249F" w14:textId="77777777" w:rsidR="00D17084" w:rsidRPr="004C7E1D" w:rsidRDefault="00D17084" w:rsidP="004C7E1D">
          <w:pPr>
            <w:spacing w:line="180" w:lineRule="exact"/>
            <w:rPr>
              <w:sz w:val="13"/>
              <w:szCs w:val="13"/>
            </w:rPr>
          </w:pPr>
        </w:p>
      </w:tc>
      <w:tc>
        <w:tcPr>
          <w:tcW w:w="2060" w:type="dxa"/>
        </w:tcPr>
        <w:p w14:paraId="05A49E8A" w14:textId="0BE1EBCB" w:rsidR="00D17084" w:rsidRPr="004C7E1D" w:rsidRDefault="004C48B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B2570">
            <w:rPr>
              <w:szCs w:val="13"/>
            </w:rPr>
            <w:t>3</w:t>
          </w:r>
          <w:r w:rsidRPr="004C7E1D">
            <w:rPr>
              <w:szCs w:val="13"/>
            </w:rPr>
            <w:fldChar w:fldCharType="end"/>
          </w:r>
        </w:p>
      </w:tc>
    </w:tr>
  </w:tbl>
  <w:p w14:paraId="424BABF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538E" w14:textId="77777777" w:rsidR="00DC691C" w:rsidRDefault="004C48BC">
      <w:r>
        <w:separator/>
      </w:r>
    </w:p>
    <w:p w14:paraId="66825682" w14:textId="77777777" w:rsidR="00DC691C" w:rsidRDefault="00DC691C"/>
  </w:footnote>
  <w:footnote w:type="continuationSeparator" w:id="0">
    <w:p w14:paraId="27A386C6" w14:textId="77777777" w:rsidR="00DC691C" w:rsidRDefault="004C48BC">
      <w:r>
        <w:continuationSeparator/>
      </w:r>
    </w:p>
    <w:p w14:paraId="47761DBD" w14:textId="77777777" w:rsidR="00DC691C" w:rsidRDefault="00DC691C"/>
  </w:footnote>
  <w:footnote w:id="1">
    <w:p w14:paraId="5A8EB76B" w14:textId="6B16A5CE" w:rsidR="00E40AFE" w:rsidRDefault="00E40AFE" w:rsidP="00E40AFE">
      <w:pPr>
        <w:pStyle w:val="Voetnoottekst"/>
      </w:pPr>
      <w:r>
        <w:rPr>
          <w:rStyle w:val="Voetnootmarkering"/>
        </w:rPr>
        <w:footnoteRef/>
      </w:r>
      <w:r>
        <w:t xml:space="preserve"> </w:t>
      </w:r>
      <w:hyperlink r:id="rId1" w:history="1">
        <w:r w:rsidR="00352FC9" w:rsidRPr="00AA2C41">
          <w:rPr>
            <w:rStyle w:val="Hyperlink"/>
          </w:rPr>
          <w:t>https://www.tweedekamer.nl/kamerstukken/brieven_regering/detail?id=2025Z14316&amp;did=2025D32595</w:t>
        </w:r>
      </w:hyperlink>
      <w:r w:rsidR="00352FC9">
        <w:t xml:space="preserve"> </w:t>
      </w:r>
    </w:p>
  </w:footnote>
  <w:footnote w:id="2">
    <w:p w14:paraId="301F7397" w14:textId="77777777" w:rsidR="00E40AFE" w:rsidRPr="006D01BF" w:rsidRDefault="00E40AFE" w:rsidP="00E40AFE">
      <w:pPr>
        <w:pStyle w:val="Voetnoottekst"/>
        <w:rPr>
          <w:szCs w:val="13"/>
          <w:lang w:val="en-US"/>
        </w:rPr>
      </w:pPr>
      <w:r w:rsidRPr="006D01BF">
        <w:rPr>
          <w:rStyle w:val="Voetnootmarkering"/>
          <w:szCs w:val="13"/>
        </w:rPr>
        <w:footnoteRef/>
      </w:r>
      <w:r w:rsidRPr="006D01BF">
        <w:rPr>
          <w:szCs w:val="13"/>
          <w:lang w:val="en-US"/>
        </w:rPr>
        <w:t xml:space="preserve"> </w:t>
      </w:r>
      <w:r>
        <w:fldChar w:fldCharType="begin"/>
      </w:r>
      <w:r w:rsidRPr="00AB2570">
        <w:rPr>
          <w:lang w:val="en-US"/>
        </w:rPr>
        <w:instrText>HYPERLINK "https://www.chooseeurope.eu/update/?id=choose-europe-for-science"</w:instrText>
      </w:r>
      <w:r>
        <w:fldChar w:fldCharType="separate"/>
      </w:r>
      <w:r w:rsidRPr="006D01BF">
        <w:rPr>
          <w:color w:val="0000FF"/>
          <w:szCs w:val="13"/>
          <w:u w:val="single"/>
          <w:lang w:val="en-US"/>
        </w:rPr>
        <w:t>Choose Europe | The New World of investment and talents</w:t>
      </w:r>
      <w:r>
        <w:fldChar w:fldCharType="end"/>
      </w:r>
    </w:p>
  </w:footnote>
  <w:footnote w:id="3">
    <w:p w14:paraId="41A23B07" w14:textId="7B7C1F47" w:rsidR="00E40AFE" w:rsidRPr="00AD1BE9" w:rsidRDefault="00E40AFE" w:rsidP="00E40AFE">
      <w:pPr>
        <w:pStyle w:val="Voetnoottekst"/>
        <w:rPr>
          <w:lang w:val="en-US"/>
        </w:rPr>
      </w:pPr>
      <w:r>
        <w:rPr>
          <w:rStyle w:val="Voetnootmarkering"/>
        </w:rPr>
        <w:footnoteRef/>
      </w:r>
      <w:r w:rsidRPr="00AD1BE9">
        <w:rPr>
          <w:lang w:val="en-US"/>
        </w:rPr>
        <w:t xml:space="preserve"> </w:t>
      </w:r>
      <w:r w:rsidR="00AD1BE9">
        <w:fldChar w:fldCharType="begin"/>
      </w:r>
      <w:r w:rsidR="00AD1BE9" w:rsidRPr="00AB2570">
        <w:rPr>
          <w:lang w:val="en-US"/>
        </w:rPr>
        <w:instrText>HYPERLINK "https://home-affairs.ec.europa.eu/document/download/4574f8cd-f30c-4206-ab5b-1b07d26cedea_en?filename=Commission%20Recommendation%20on%20attracting%20talent%20for%20innovation.pdf"</w:instrText>
      </w:r>
      <w:r w:rsidR="00AD1BE9">
        <w:fldChar w:fldCharType="separate"/>
      </w:r>
      <w:r w:rsidR="00AD1BE9" w:rsidRPr="00AD1BE9">
        <w:rPr>
          <w:color w:val="0000FF"/>
          <w:szCs w:val="13"/>
          <w:u w:val="single"/>
          <w:lang w:val="en-US"/>
        </w:rPr>
        <w:t>Commission recommendation on attracting talent for innovation</w:t>
      </w:r>
      <w:r w:rsidR="00AD1BE9">
        <w:fldChar w:fldCharType="end"/>
      </w:r>
    </w:p>
  </w:footnote>
  <w:footnote w:id="4">
    <w:p w14:paraId="07BF46DA" w14:textId="77777777" w:rsidR="00E40AFE" w:rsidRDefault="00E40AFE" w:rsidP="00E40AFE">
      <w:pPr>
        <w:pStyle w:val="Voetnoottekst"/>
      </w:pPr>
      <w:r>
        <w:rPr>
          <w:rStyle w:val="Voetnootmarkering"/>
        </w:rPr>
        <w:footnoteRef/>
      </w:r>
      <w:r>
        <w:t xml:space="preserve"> </w:t>
      </w:r>
      <w:hyperlink r:id="rId2" w:history="1">
        <w:r w:rsidRPr="00CD565D">
          <w:rPr>
            <w:rStyle w:val="Hyperlink"/>
          </w:rPr>
          <w:t>De Nationale Technologiestrategie | Titel uitgave</w:t>
        </w:r>
      </w:hyperlink>
    </w:p>
  </w:footnote>
  <w:footnote w:id="5">
    <w:p w14:paraId="3A47A3B6" w14:textId="33902DF4" w:rsidR="005D1288" w:rsidRDefault="005D1288">
      <w:pPr>
        <w:pStyle w:val="Voetnoottekst"/>
      </w:pPr>
      <w:r>
        <w:rPr>
          <w:rStyle w:val="Voetnootmarkering"/>
        </w:rPr>
        <w:footnoteRef/>
      </w:r>
      <w:r>
        <w:t xml:space="preserve"> </w:t>
      </w:r>
      <w:hyperlink r:id="rId3" w:history="1">
        <w:r w:rsidRPr="008469EC">
          <w:rPr>
            <w:rStyle w:val="Hyperlink"/>
          </w:rPr>
          <w:t>https://www.rvo.nl/onderwerpen/subsidiespelregels/ez/onderneming-moeilijkheden-oim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2C1"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011D5" w14:paraId="7AFA0461" w14:textId="77777777" w:rsidTr="006D2D53">
      <w:trPr>
        <w:trHeight w:hRule="exact" w:val="400"/>
      </w:trPr>
      <w:tc>
        <w:tcPr>
          <w:tcW w:w="7518" w:type="dxa"/>
        </w:tcPr>
        <w:p w14:paraId="6A452DC6" w14:textId="77777777" w:rsidR="00527BD4" w:rsidRPr="00275984" w:rsidRDefault="00527BD4" w:rsidP="00BF4427">
          <w:pPr>
            <w:pStyle w:val="Huisstijl-Rubricering"/>
          </w:pPr>
        </w:p>
      </w:tc>
    </w:tr>
  </w:tbl>
  <w:p w14:paraId="6486FC5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011D5" w14:paraId="431CC33D" w14:textId="77777777" w:rsidTr="003B528D">
      <w:tc>
        <w:tcPr>
          <w:tcW w:w="2160" w:type="dxa"/>
        </w:tcPr>
        <w:p w14:paraId="298A8BAA" w14:textId="77777777" w:rsidR="002F71BB" w:rsidRPr="000407BB" w:rsidRDefault="004C48BC" w:rsidP="005D283A">
          <w:pPr>
            <w:pStyle w:val="Colofonkop"/>
            <w:framePr w:hSpace="0" w:wrap="auto" w:vAnchor="margin" w:hAnchor="text" w:xAlign="left" w:yAlign="inline"/>
          </w:pPr>
          <w:r>
            <w:t>Onze referentie</w:t>
          </w:r>
        </w:p>
      </w:tc>
    </w:tr>
    <w:tr w:rsidR="00A011D5" w14:paraId="1DB5106B" w14:textId="77777777" w:rsidTr="002F71BB">
      <w:trPr>
        <w:trHeight w:val="259"/>
      </w:trPr>
      <w:tc>
        <w:tcPr>
          <w:tcW w:w="2160" w:type="dxa"/>
        </w:tcPr>
        <w:p w14:paraId="417AC3C4" w14:textId="77777777" w:rsidR="00E35CF4" w:rsidRPr="005D283A" w:rsidRDefault="004C48BC" w:rsidP="0049501A">
          <w:pPr>
            <w:spacing w:line="180" w:lineRule="exact"/>
            <w:rPr>
              <w:sz w:val="13"/>
              <w:szCs w:val="13"/>
            </w:rPr>
          </w:pPr>
          <w:r>
            <w:rPr>
              <w:sz w:val="13"/>
              <w:szCs w:val="13"/>
            </w:rPr>
            <w:t>62750227</w:t>
          </w:r>
        </w:p>
      </w:tc>
    </w:tr>
  </w:tbl>
  <w:p w14:paraId="4643A70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11D5" w14:paraId="7D92A30D" w14:textId="77777777" w:rsidTr="001377D4">
      <w:trPr>
        <w:trHeight w:val="2636"/>
      </w:trPr>
      <w:tc>
        <w:tcPr>
          <w:tcW w:w="737" w:type="dxa"/>
        </w:tcPr>
        <w:p w14:paraId="5111CB44" w14:textId="77777777" w:rsidR="00704845" w:rsidRDefault="00704845" w:rsidP="0047126E">
          <w:pPr>
            <w:framePr w:w="6339" w:h="2750" w:hRule="exact" w:hSpace="181" w:wrap="around" w:vAnchor="page" w:hAnchor="page" w:x="5586" w:y="1"/>
            <w:spacing w:line="240" w:lineRule="auto"/>
          </w:pPr>
        </w:p>
      </w:tc>
      <w:tc>
        <w:tcPr>
          <w:tcW w:w="5156" w:type="dxa"/>
        </w:tcPr>
        <w:p w14:paraId="32AFC1FA" w14:textId="77777777" w:rsidR="00704845" w:rsidRDefault="004C48BC" w:rsidP="0047126E">
          <w:pPr>
            <w:framePr w:w="3873" w:h="2625" w:hRule="exact" w:wrap="around" w:vAnchor="page" w:hAnchor="page" w:x="6323" w:y="1"/>
          </w:pPr>
          <w:r>
            <w:rPr>
              <w:noProof/>
              <w:lang w:val="en-US" w:eastAsia="en-US"/>
            </w:rPr>
            <w:drawing>
              <wp:inline distT="0" distB="0" distL="0" distR="0" wp14:anchorId="6AC9F86F" wp14:editId="614CA7D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BB1583B" w14:textId="77777777" w:rsidR="00483ECA" w:rsidRDefault="00483ECA" w:rsidP="00D037A9"/>
      </w:tc>
    </w:tr>
  </w:tbl>
  <w:p w14:paraId="7D861E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011D5" w14:paraId="19401916" w14:textId="77777777" w:rsidTr="0008539E">
      <w:trPr>
        <w:trHeight w:hRule="exact" w:val="572"/>
      </w:trPr>
      <w:tc>
        <w:tcPr>
          <w:tcW w:w="7520" w:type="dxa"/>
        </w:tcPr>
        <w:p w14:paraId="1D59CDFD" w14:textId="77777777" w:rsidR="00527BD4" w:rsidRPr="00963440" w:rsidRDefault="004C48BC" w:rsidP="00210BA3">
          <w:pPr>
            <w:pStyle w:val="Huisstijl-Adres"/>
            <w:spacing w:after="0"/>
          </w:pPr>
          <w:r w:rsidRPr="009E3B07">
            <w:t>&gt;Retouradres </w:t>
          </w:r>
          <w:r>
            <w:t>Postbus 16375 2500 BJ Den Haag</w:t>
          </w:r>
          <w:r w:rsidRPr="009E3B07">
            <w:t xml:space="preserve"> </w:t>
          </w:r>
        </w:p>
      </w:tc>
    </w:tr>
    <w:tr w:rsidR="00A011D5" w14:paraId="1E711BAC" w14:textId="77777777" w:rsidTr="00E776C6">
      <w:trPr>
        <w:cantSplit/>
        <w:trHeight w:hRule="exact" w:val="238"/>
      </w:trPr>
      <w:tc>
        <w:tcPr>
          <w:tcW w:w="7520" w:type="dxa"/>
        </w:tcPr>
        <w:p w14:paraId="4B0F20FB" w14:textId="77777777" w:rsidR="00093ABC" w:rsidRPr="00963440" w:rsidRDefault="00093ABC" w:rsidP="00963440"/>
      </w:tc>
    </w:tr>
    <w:tr w:rsidR="00A011D5" w14:paraId="3B26B3CE" w14:textId="77777777" w:rsidTr="00E776C6">
      <w:trPr>
        <w:cantSplit/>
        <w:trHeight w:hRule="exact" w:val="1520"/>
      </w:trPr>
      <w:tc>
        <w:tcPr>
          <w:tcW w:w="7520" w:type="dxa"/>
        </w:tcPr>
        <w:p w14:paraId="743F4AD5" w14:textId="77777777" w:rsidR="00A604D3" w:rsidRPr="00963440" w:rsidRDefault="00A604D3" w:rsidP="00963440"/>
      </w:tc>
    </w:tr>
    <w:tr w:rsidR="00A011D5" w14:paraId="09A28D59" w14:textId="77777777" w:rsidTr="00E776C6">
      <w:trPr>
        <w:trHeight w:hRule="exact" w:val="1077"/>
      </w:trPr>
      <w:tc>
        <w:tcPr>
          <w:tcW w:w="7520" w:type="dxa"/>
        </w:tcPr>
        <w:p w14:paraId="56CCCB5D" w14:textId="77777777" w:rsidR="00892BA5" w:rsidRPr="00035E67" w:rsidRDefault="00892BA5" w:rsidP="00892BA5">
          <w:pPr>
            <w:tabs>
              <w:tab w:val="left" w:pos="740"/>
            </w:tabs>
            <w:autoSpaceDE w:val="0"/>
            <w:autoSpaceDN w:val="0"/>
            <w:adjustRightInd w:val="0"/>
            <w:rPr>
              <w:rFonts w:cs="Verdana"/>
              <w:szCs w:val="18"/>
            </w:rPr>
          </w:pPr>
        </w:p>
      </w:tc>
    </w:tr>
  </w:tbl>
  <w:p w14:paraId="3C154BA6" w14:textId="77777777" w:rsidR="006F273B" w:rsidRDefault="006F273B" w:rsidP="00BC4AE3">
    <w:pPr>
      <w:pStyle w:val="Koptekst"/>
    </w:pPr>
  </w:p>
  <w:p w14:paraId="1804019D" w14:textId="77777777" w:rsidR="00153BD0" w:rsidRDefault="00153BD0" w:rsidP="00BC4AE3">
    <w:pPr>
      <w:pStyle w:val="Koptekst"/>
    </w:pPr>
  </w:p>
  <w:p w14:paraId="6CBEA37F" w14:textId="77777777" w:rsidR="0044605E" w:rsidRDefault="0044605E" w:rsidP="00BC4AE3">
    <w:pPr>
      <w:pStyle w:val="Koptekst"/>
    </w:pPr>
  </w:p>
  <w:p w14:paraId="68933991" w14:textId="77777777" w:rsidR="0044605E" w:rsidRDefault="0044605E" w:rsidP="00BC4AE3">
    <w:pPr>
      <w:pStyle w:val="Koptekst"/>
    </w:pPr>
  </w:p>
  <w:p w14:paraId="7314686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306B78E">
      <w:start w:val="1"/>
      <w:numFmt w:val="bullet"/>
      <w:pStyle w:val="Lijstopsomteken"/>
      <w:lvlText w:val="•"/>
      <w:lvlJc w:val="left"/>
      <w:pPr>
        <w:tabs>
          <w:tab w:val="num" w:pos="227"/>
        </w:tabs>
        <w:ind w:left="227" w:hanging="227"/>
      </w:pPr>
      <w:rPr>
        <w:rFonts w:ascii="Verdana" w:hAnsi="Verdana" w:hint="default"/>
        <w:sz w:val="18"/>
        <w:szCs w:val="18"/>
      </w:rPr>
    </w:lvl>
    <w:lvl w:ilvl="1" w:tplc="58448064" w:tentative="1">
      <w:start w:val="1"/>
      <w:numFmt w:val="bullet"/>
      <w:lvlText w:val="o"/>
      <w:lvlJc w:val="left"/>
      <w:pPr>
        <w:tabs>
          <w:tab w:val="num" w:pos="1440"/>
        </w:tabs>
        <w:ind w:left="1440" w:hanging="360"/>
      </w:pPr>
      <w:rPr>
        <w:rFonts w:ascii="Courier New" w:hAnsi="Courier New" w:cs="Courier New" w:hint="default"/>
      </w:rPr>
    </w:lvl>
    <w:lvl w:ilvl="2" w:tplc="14AC51C4" w:tentative="1">
      <w:start w:val="1"/>
      <w:numFmt w:val="bullet"/>
      <w:lvlText w:val=""/>
      <w:lvlJc w:val="left"/>
      <w:pPr>
        <w:tabs>
          <w:tab w:val="num" w:pos="2160"/>
        </w:tabs>
        <w:ind w:left="2160" w:hanging="360"/>
      </w:pPr>
      <w:rPr>
        <w:rFonts w:ascii="Wingdings" w:hAnsi="Wingdings" w:hint="default"/>
      </w:rPr>
    </w:lvl>
    <w:lvl w:ilvl="3" w:tplc="4262F938" w:tentative="1">
      <w:start w:val="1"/>
      <w:numFmt w:val="bullet"/>
      <w:lvlText w:val=""/>
      <w:lvlJc w:val="left"/>
      <w:pPr>
        <w:tabs>
          <w:tab w:val="num" w:pos="2880"/>
        </w:tabs>
        <w:ind w:left="2880" w:hanging="360"/>
      </w:pPr>
      <w:rPr>
        <w:rFonts w:ascii="Symbol" w:hAnsi="Symbol" w:hint="default"/>
      </w:rPr>
    </w:lvl>
    <w:lvl w:ilvl="4" w:tplc="699AB0F0" w:tentative="1">
      <w:start w:val="1"/>
      <w:numFmt w:val="bullet"/>
      <w:lvlText w:val="o"/>
      <w:lvlJc w:val="left"/>
      <w:pPr>
        <w:tabs>
          <w:tab w:val="num" w:pos="3600"/>
        </w:tabs>
        <w:ind w:left="3600" w:hanging="360"/>
      </w:pPr>
      <w:rPr>
        <w:rFonts w:ascii="Courier New" w:hAnsi="Courier New" w:cs="Courier New" w:hint="default"/>
      </w:rPr>
    </w:lvl>
    <w:lvl w:ilvl="5" w:tplc="9B7A0566" w:tentative="1">
      <w:start w:val="1"/>
      <w:numFmt w:val="bullet"/>
      <w:lvlText w:val=""/>
      <w:lvlJc w:val="left"/>
      <w:pPr>
        <w:tabs>
          <w:tab w:val="num" w:pos="4320"/>
        </w:tabs>
        <w:ind w:left="4320" w:hanging="360"/>
      </w:pPr>
      <w:rPr>
        <w:rFonts w:ascii="Wingdings" w:hAnsi="Wingdings" w:hint="default"/>
      </w:rPr>
    </w:lvl>
    <w:lvl w:ilvl="6" w:tplc="86063544" w:tentative="1">
      <w:start w:val="1"/>
      <w:numFmt w:val="bullet"/>
      <w:lvlText w:val=""/>
      <w:lvlJc w:val="left"/>
      <w:pPr>
        <w:tabs>
          <w:tab w:val="num" w:pos="5040"/>
        </w:tabs>
        <w:ind w:left="5040" w:hanging="360"/>
      </w:pPr>
      <w:rPr>
        <w:rFonts w:ascii="Symbol" w:hAnsi="Symbol" w:hint="default"/>
      </w:rPr>
    </w:lvl>
    <w:lvl w:ilvl="7" w:tplc="E8824388" w:tentative="1">
      <w:start w:val="1"/>
      <w:numFmt w:val="bullet"/>
      <w:lvlText w:val="o"/>
      <w:lvlJc w:val="left"/>
      <w:pPr>
        <w:tabs>
          <w:tab w:val="num" w:pos="5760"/>
        </w:tabs>
        <w:ind w:left="5760" w:hanging="360"/>
      </w:pPr>
      <w:rPr>
        <w:rFonts w:ascii="Courier New" w:hAnsi="Courier New" w:cs="Courier New" w:hint="default"/>
      </w:rPr>
    </w:lvl>
    <w:lvl w:ilvl="8" w:tplc="3B4076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9E8297C">
      <w:start w:val="1"/>
      <w:numFmt w:val="bullet"/>
      <w:pStyle w:val="Lijstopsomteken2"/>
      <w:lvlText w:val="–"/>
      <w:lvlJc w:val="left"/>
      <w:pPr>
        <w:tabs>
          <w:tab w:val="num" w:pos="227"/>
        </w:tabs>
        <w:ind w:left="227" w:firstLine="0"/>
      </w:pPr>
      <w:rPr>
        <w:rFonts w:ascii="Verdana" w:hAnsi="Verdana" w:hint="default"/>
      </w:rPr>
    </w:lvl>
    <w:lvl w:ilvl="1" w:tplc="047E9E28" w:tentative="1">
      <w:start w:val="1"/>
      <w:numFmt w:val="bullet"/>
      <w:lvlText w:val="o"/>
      <w:lvlJc w:val="left"/>
      <w:pPr>
        <w:tabs>
          <w:tab w:val="num" w:pos="1440"/>
        </w:tabs>
        <w:ind w:left="1440" w:hanging="360"/>
      </w:pPr>
      <w:rPr>
        <w:rFonts w:ascii="Courier New" w:hAnsi="Courier New" w:cs="Courier New" w:hint="default"/>
      </w:rPr>
    </w:lvl>
    <w:lvl w:ilvl="2" w:tplc="D2B8615A" w:tentative="1">
      <w:start w:val="1"/>
      <w:numFmt w:val="bullet"/>
      <w:lvlText w:val=""/>
      <w:lvlJc w:val="left"/>
      <w:pPr>
        <w:tabs>
          <w:tab w:val="num" w:pos="2160"/>
        </w:tabs>
        <w:ind w:left="2160" w:hanging="360"/>
      </w:pPr>
      <w:rPr>
        <w:rFonts w:ascii="Wingdings" w:hAnsi="Wingdings" w:hint="default"/>
      </w:rPr>
    </w:lvl>
    <w:lvl w:ilvl="3" w:tplc="4786366A" w:tentative="1">
      <w:start w:val="1"/>
      <w:numFmt w:val="bullet"/>
      <w:lvlText w:val=""/>
      <w:lvlJc w:val="left"/>
      <w:pPr>
        <w:tabs>
          <w:tab w:val="num" w:pos="2880"/>
        </w:tabs>
        <w:ind w:left="2880" w:hanging="360"/>
      </w:pPr>
      <w:rPr>
        <w:rFonts w:ascii="Symbol" w:hAnsi="Symbol" w:hint="default"/>
      </w:rPr>
    </w:lvl>
    <w:lvl w:ilvl="4" w:tplc="EA904622" w:tentative="1">
      <w:start w:val="1"/>
      <w:numFmt w:val="bullet"/>
      <w:lvlText w:val="o"/>
      <w:lvlJc w:val="left"/>
      <w:pPr>
        <w:tabs>
          <w:tab w:val="num" w:pos="3600"/>
        </w:tabs>
        <w:ind w:left="3600" w:hanging="360"/>
      </w:pPr>
      <w:rPr>
        <w:rFonts w:ascii="Courier New" w:hAnsi="Courier New" w:cs="Courier New" w:hint="default"/>
      </w:rPr>
    </w:lvl>
    <w:lvl w:ilvl="5" w:tplc="F66E90AE" w:tentative="1">
      <w:start w:val="1"/>
      <w:numFmt w:val="bullet"/>
      <w:lvlText w:val=""/>
      <w:lvlJc w:val="left"/>
      <w:pPr>
        <w:tabs>
          <w:tab w:val="num" w:pos="4320"/>
        </w:tabs>
        <w:ind w:left="4320" w:hanging="360"/>
      </w:pPr>
      <w:rPr>
        <w:rFonts w:ascii="Wingdings" w:hAnsi="Wingdings" w:hint="default"/>
      </w:rPr>
    </w:lvl>
    <w:lvl w:ilvl="6" w:tplc="C7F82816" w:tentative="1">
      <w:start w:val="1"/>
      <w:numFmt w:val="bullet"/>
      <w:lvlText w:val=""/>
      <w:lvlJc w:val="left"/>
      <w:pPr>
        <w:tabs>
          <w:tab w:val="num" w:pos="5040"/>
        </w:tabs>
        <w:ind w:left="5040" w:hanging="360"/>
      </w:pPr>
      <w:rPr>
        <w:rFonts w:ascii="Symbol" w:hAnsi="Symbol" w:hint="default"/>
      </w:rPr>
    </w:lvl>
    <w:lvl w:ilvl="7" w:tplc="16528D5C" w:tentative="1">
      <w:start w:val="1"/>
      <w:numFmt w:val="bullet"/>
      <w:lvlText w:val="o"/>
      <w:lvlJc w:val="left"/>
      <w:pPr>
        <w:tabs>
          <w:tab w:val="num" w:pos="5760"/>
        </w:tabs>
        <w:ind w:left="5760" w:hanging="360"/>
      </w:pPr>
      <w:rPr>
        <w:rFonts w:ascii="Courier New" w:hAnsi="Courier New" w:cs="Courier New" w:hint="default"/>
      </w:rPr>
    </w:lvl>
    <w:lvl w:ilvl="8" w:tplc="785CEA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22725541">
    <w:abstractNumId w:val="10"/>
  </w:num>
  <w:num w:numId="2" w16cid:durableId="232741416">
    <w:abstractNumId w:val="7"/>
  </w:num>
  <w:num w:numId="3" w16cid:durableId="1673878021">
    <w:abstractNumId w:val="6"/>
  </w:num>
  <w:num w:numId="4" w16cid:durableId="496262684">
    <w:abstractNumId w:val="5"/>
  </w:num>
  <w:num w:numId="5" w16cid:durableId="623195482">
    <w:abstractNumId w:val="4"/>
  </w:num>
  <w:num w:numId="6" w16cid:durableId="1162818303">
    <w:abstractNumId w:val="8"/>
  </w:num>
  <w:num w:numId="7" w16cid:durableId="2102220914">
    <w:abstractNumId w:val="3"/>
  </w:num>
  <w:num w:numId="8" w16cid:durableId="1458376251">
    <w:abstractNumId w:val="2"/>
  </w:num>
  <w:num w:numId="9" w16cid:durableId="2121799567">
    <w:abstractNumId w:val="1"/>
  </w:num>
  <w:num w:numId="10" w16cid:durableId="1391685060">
    <w:abstractNumId w:val="0"/>
  </w:num>
  <w:num w:numId="11" w16cid:durableId="60913085">
    <w:abstractNumId w:val="9"/>
  </w:num>
  <w:num w:numId="12" w16cid:durableId="2126462997">
    <w:abstractNumId w:val="11"/>
  </w:num>
  <w:num w:numId="13" w16cid:durableId="1913349534">
    <w:abstractNumId w:val="13"/>
  </w:num>
  <w:num w:numId="14" w16cid:durableId="10183122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5E05"/>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198"/>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5CF2"/>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2FC9"/>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726A"/>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48BC"/>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1288"/>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3B9B"/>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11D5"/>
    <w:rsid w:val="00A056DE"/>
    <w:rsid w:val="00A0678A"/>
    <w:rsid w:val="00A10985"/>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2570"/>
    <w:rsid w:val="00AB50E6"/>
    <w:rsid w:val="00AB5933"/>
    <w:rsid w:val="00AD1BE9"/>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42AB"/>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292D"/>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55FB"/>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47D67"/>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37AF"/>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0AFE"/>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A6CD5"/>
  <w15:docId w15:val="{7CE63158-1FBD-4656-8AC6-DD1F371B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E40AFE"/>
    <w:rPr>
      <w:rFonts w:ascii="Verdana" w:hAnsi="Verdana"/>
      <w:sz w:val="13"/>
      <w:lang w:val="nl-NL" w:eastAsia="nl-NL"/>
    </w:rPr>
  </w:style>
  <w:style w:type="character" w:styleId="Voetnootmarkering">
    <w:name w:val="footnote reference"/>
    <w:basedOn w:val="Standaardalinea-lettertype"/>
    <w:rsid w:val="00E40AFE"/>
    <w:rPr>
      <w:vertAlign w:val="superscript"/>
    </w:rPr>
  </w:style>
  <w:style w:type="character" w:styleId="Onopgelostemelding">
    <w:name w:val="Unresolved Mention"/>
    <w:basedOn w:val="Standaardalinea-lettertype"/>
    <w:uiPriority w:val="99"/>
    <w:semiHidden/>
    <w:unhideWhenUsed/>
    <w:rsid w:val="00352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subsidiespelregels/ez/onderneming-moeilijkheden-oim" TargetMode="External"/><Relationship Id="rId2" Type="http://schemas.openxmlformats.org/officeDocument/2006/relationships/hyperlink" Target="https://open.overheid.nl/documenten/67b0a9e1-135b-483f-9ed9-3aade270dbce/file" TargetMode="External"/><Relationship Id="rId1" Type="http://schemas.openxmlformats.org/officeDocument/2006/relationships/hyperlink" Target="https://www.tweedekamer.nl/kamerstukken/brieven_regering/detail?id=2025Z14316&amp;did=2025D3259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601</ap:Words>
  <ap:Characters>3310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2026-03-18T10:26:00.0000000Z</dcterms:created>
  <dcterms:modified xsi:type="dcterms:W3CDTF">2026-03-18T10:26:00.0000000Z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Raad voor Concurrentievermogen 31 maart 2026</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O217MEE</vt:lpwstr>
  </property>
</Properties>
</file>