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954" w:rsidP="00197954" w:rsidRDefault="00197954" w14:paraId="2BC14E2F" w14:textId="561D6BF3">
      <w:pPr>
        <w:pStyle w:val="broodtekst"/>
        <w:jc w:val="both"/>
      </w:pPr>
      <w:r>
        <w:t xml:space="preserve">Hierbij bied ik uw Kamer de Periodieke Rapportage </w:t>
      </w:r>
      <w:proofErr w:type="spellStart"/>
      <w:r>
        <w:t>Contraterrorismebeleid</w:t>
      </w:r>
      <w:proofErr w:type="spellEnd"/>
      <w:r>
        <w:t xml:space="preserve"> (CT-beleid) aan, uitgevoerd door Berenschot en RAND Europe </w:t>
      </w:r>
      <w:proofErr w:type="gramStart"/>
      <w:r>
        <w:t>conform</w:t>
      </w:r>
      <w:proofErr w:type="gramEnd"/>
      <w:r>
        <w:t xml:space="preserve"> de Regeling Periodiek Evaluatieonderzoek (RPE). Het doel van deze periodieke rapportage is inzicht bieden in de doeltreffendheid en doelmatigheid van het CT-beleid en een solide basis creëren voor beleidsontwikkeling en besluitvorming binnen het domein van </w:t>
      </w:r>
      <w:r w:rsidR="008B4B81">
        <w:t>de n</w:t>
      </w:r>
      <w:r>
        <w:t xml:space="preserve">ationale </w:t>
      </w:r>
      <w:r w:rsidR="008B4B81">
        <w:t>v</w:t>
      </w:r>
      <w:r>
        <w:t>eiligheid.</w:t>
      </w:r>
      <w:r>
        <w:rPr>
          <w:rStyle w:val="Voetnootmarkering"/>
        </w:rPr>
        <w:footnoteReference w:id="1"/>
      </w:r>
      <w:r>
        <w:t xml:space="preserve"> Uw </w:t>
      </w:r>
      <w:r w:rsidR="00CF5DA8">
        <w:t>K</w:t>
      </w:r>
      <w:r>
        <w:t>amer is op 16 september 2024 geïnformeerd over het plan van aanpak van deze periodieke rapportage.</w:t>
      </w:r>
      <w:r>
        <w:rPr>
          <w:rStyle w:val="Voetnootmarkering"/>
        </w:rPr>
        <w:footnoteReference w:id="2"/>
      </w:r>
      <w:r>
        <w:t xml:space="preserve"> </w:t>
      </w:r>
    </w:p>
    <w:p w:rsidR="00197954" w:rsidP="00197954" w:rsidRDefault="00197954" w14:paraId="31E12988" w14:textId="77777777">
      <w:pPr>
        <w:pStyle w:val="broodtekst"/>
        <w:jc w:val="both"/>
      </w:pPr>
    </w:p>
    <w:p w:rsidRPr="007F716D" w:rsidR="00197954" w:rsidP="00197954" w:rsidRDefault="00197954" w14:paraId="260312AF" w14:textId="77777777">
      <w:pPr>
        <w:pStyle w:val="broodtekst"/>
        <w:jc w:val="both"/>
        <w:rPr>
          <w:b/>
          <w:bCs/>
        </w:rPr>
      </w:pPr>
      <w:r>
        <w:rPr>
          <w:b/>
          <w:bCs/>
        </w:rPr>
        <w:t>Bevindingen en aanbevelingen</w:t>
      </w:r>
    </w:p>
    <w:p w:rsidR="00197954" w:rsidP="00197954" w:rsidRDefault="00197954" w14:paraId="5EF099F7" w14:textId="2C5D99E4">
      <w:pPr>
        <w:pStyle w:val="broodtekst"/>
        <w:jc w:val="both"/>
      </w:pPr>
      <w:r>
        <w:t xml:space="preserve">Het onderzoek is gebaseerd op een synthese van </w:t>
      </w:r>
      <w:proofErr w:type="gramStart"/>
      <w:r>
        <w:t>reeds</w:t>
      </w:r>
      <w:proofErr w:type="gramEnd"/>
      <w:r>
        <w:t xml:space="preserve"> uitgevoerde evaluaties en studies naar beleidsmaatregelen binnen het CT-beleid tussen 2018 en 2024. De geanalyseerde evaluatiestudies bestrijken slechts een deel van het CT-beleid en behandelen vaak slechts deelaspecten of beperkte tijdsperioden. </w:t>
      </w:r>
      <w:r w:rsidR="008F38FD">
        <w:t xml:space="preserve">Daarnaast maakt uitwerking van een besparingsoptie standaard onderdeel uit van een Periodieke Rapportage. </w:t>
      </w:r>
      <w:r>
        <w:t xml:space="preserve">Volgens het onderzoek leidt dit ertoe dat er binnen het CT-beleid tussen 2018 en 2024 weinig indicatie gegeven kan worden </w:t>
      </w:r>
      <w:r w:rsidR="00B17E1B">
        <w:t>van</w:t>
      </w:r>
      <w:r>
        <w:t xml:space="preserve"> de doeltreffendheid en er geen zicht bestaat op de doelmatigheid van de maatregelen. Ook internationaal wordt erkend dat effectevaluaties van contraterrorisme</w:t>
      </w:r>
      <w:r w:rsidR="007C75D0">
        <w:t xml:space="preserve"> </w:t>
      </w:r>
      <w:r>
        <w:t>maatregelen moeilijk uitvoerbaar zijn, vooral omdat het lastig is voldoende zicht te krijgen op de wil, capaciteiten en gelegenheid van (“</w:t>
      </w:r>
      <w:proofErr w:type="spellStart"/>
      <w:r>
        <w:t>would</w:t>
      </w:r>
      <w:proofErr w:type="spellEnd"/>
      <w:r>
        <w:t xml:space="preserve"> </w:t>
      </w:r>
      <w:proofErr w:type="spellStart"/>
      <w:r>
        <w:t>be</w:t>
      </w:r>
      <w:proofErr w:type="spellEnd"/>
      <w:r>
        <w:t>”) terroristen en in de mate waarin zij door welke contraterrorisme maatregelen worden beïnvloed.</w:t>
      </w:r>
      <w:r>
        <w:rPr>
          <w:rStyle w:val="Voetnootmarkering"/>
        </w:rPr>
        <w:footnoteReference w:id="3"/>
      </w:r>
    </w:p>
    <w:p w:rsidR="00197954" w:rsidP="00197954" w:rsidRDefault="00197954" w14:paraId="4F4F8321" w14:textId="77777777">
      <w:pPr>
        <w:pStyle w:val="broodtekst"/>
        <w:jc w:val="both"/>
      </w:pPr>
    </w:p>
    <w:p w:rsidR="00197954" w:rsidP="00197954" w:rsidRDefault="00197954" w14:paraId="38666021" w14:textId="77777777">
      <w:pPr>
        <w:pStyle w:val="broodtekst"/>
        <w:jc w:val="both"/>
      </w:pPr>
      <w:r>
        <w:t xml:space="preserve">Het onderzoek resulteert in elf aanbevelingen, die zijn gegroepeerd binnen vier thema’s. Deze gaan in op de samenhang van het CT-beleid, de verbetering van de doeltreffendheid, de verbetering van de doelmatigheid en de verbetering van de coördinerende rol van de NCTV. </w:t>
      </w:r>
    </w:p>
    <w:p w:rsidR="00197954" w:rsidP="00197954" w:rsidRDefault="00197954" w14:paraId="4A82B558" w14:textId="77777777">
      <w:pPr>
        <w:pStyle w:val="broodtekst"/>
        <w:jc w:val="both"/>
        <w:rPr>
          <w:b/>
          <w:bCs/>
        </w:rPr>
      </w:pPr>
    </w:p>
    <w:p w:rsidRPr="00B076EB" w:rsidR="00197954" w:rsidP="00197954" w:rsidRDefault="00197954" w14:paraId="1373C544" w14:textId="77777777">
      <w:pPr>
        <w:pStyle w:val="broodtekst"/>
        <w:jc w:val="both"/>
        <w:rPr>
          <w:b/>
          <w:bCs/>
        </w:rPr>
      </w:pPr>
      <w:r w:rsidRPr="007F716D">
        <w:rPr>
          <w:b/>
          <w:bCs/>
        </w:rPr>
        <w:t xml:space="preserve">Beleidsreactie </w:t>
      </w:r>
      <w:r>
        <w:t xml:space="preserve"> </w:t>
      </w:r>
    </w:p>
    <w:p w:rsidRPr="00AC1708" w:rsidR="00197954" w:rsidP="00197954" w:rsidRDefault="00197954" w14:paraId="5B638271" w14:textId="77777777">
      <w:pPr>
        <w:pStyle w:val="broodtekst"/>
        <w:jc w:val="both"/>
      </w:pPr>
      <w:r w:rsidRPr="00C35933">
        <w:t xml:space="preserve">Het kabinet is er alles aan gelegen om een gedegen </w:t>
      </w:r>
      <w:r>
        <w:t>CT-beleid</w:t>
      </w:r>
      <w:r w:rsidRPr="00C35933">
        <w:t xml:space="preserve"> vorm te geven. </w:t>
      </w:r>
      <w:r>
        <w:t xml:space="preserve">De aanbevelingen uit de periodieke rapportage kunnen worden benut om het CT-beleid te verbeteren. </w:t>
      </w:r>
      <w:r w:rsidRPr="00AC1708">
        <w:t xml:space="preserve">Onderstaand wordt </w:t>
      </w:r>
      <w:proofErr w:type="spellStart"/>
      <w:r>
        <w:t>themagewijs</w:t>
      </w:r>
      <w:proofErr w:type="spellEnd"/>
      <w:r>
        <w:t xml:space="preserve"> </w:t>
      </w:r>
      <w:r w:rsidRPr="00AC1708">
        <w:t>een reactie gegeven op de aanbevelingen</w:t>
      </w:r>
      <w:r>
        <w:t xml:space="preserve">. </w:t>
      </w:r>
      <w:proofErr w:type="gramStart"/>
      <w:r>
        <w:t>Tevens</w:t>
      </w:r>
      <w:proofErr w:type="gramEnd"/>
      <w:r>
        <w:t xml:space="preserve"> wordt de </w:t>
      </w:r>
      <w:r w:rsidRPr="00AC1708">
        <w:t>besparingsoptie</w:t>
      </w:r>
      <w:r>
        <w:t xml:space="preserve"> besproken</w:t>
      </w:r>
      <w:r w:rsidRPr="00AC1708">
        <w:t xml:space="preserve">. </w:t>
      </w:r>
    </w:p>
    <w:p w:rsidR="00197954" w:rsidP="00197954" w:rsidRDefault="00197954" w14:paraId="1390007F" w14:textId="77777777">
      <w:pPr>
        <w:pStyle w:val="broodtekst"/>
        <w:jc w:val="both"/>
        <w:rPr>
          <w:i/>
          <w:iCs/>
        </w:rPr>
      </w:pPr>
    </w:p>
    <w:p w:rsidRPr="00AC1708" w:rsidR="00197954" w:rsidP="00197954" w:rsidRDefault="00197954" w14:paraId="166FBAA4" w14:textId="77777777">
      <w:pPr>
        <w:pStyle w:val="broodtekst"/>
        <w:jc w:val="both"/>
        <w:rPr>
          <w:b/>
          <w:bCs/>
          <w:i/>
          <w:iCs/>
        </w:rPr>
      </w:pPr>
      <w:r w:rsidRPr="00AC1708">
        <w:rPr>
          <w:b/>
          <w:bCs/>
          <w:i/>
          <w:iCs/>
        </w:rPr>
        <w:t xml:space="preserve">Aanbevelingen </w:t>
      </w:r>
    </w:p>
    <w:p w:rsidR="00197954" w:rsidP="00197954" w:rsidRDefault="00197954" w14:paraId="5757E963" w14:textId="77777777">
      <w:pPr>
        <w:pStyle w:val="broodtekst"/>
        <w:numPr>
          <w:ilvl w:val="0"/>
          <w:numId w:val="16"/>
        </w:numPr>
        <w:tabs>
          <w:tab w:val="left" w:pos="227"/>
          <w:tab w:val="left" w:pos="360"/>
          <w:tab w:val="left" w:pos="454"/>
        </w:tabs>
        <w:ind w:left="284" w:hanging="284"/>
        <w:contextualSpacing/>
        <w:jc w:val="both"/>
        <w:rPr>
          <w:u w:val="single"/>
        </w:rPr>
      </w:pPr>
      <w:r>
        <w:rPr>
          <w:u w:val="single"/>
        </w:rPr>
        <w:t xml:space="preserve"> </w:t>
      </w:r>
      <w:r w:rsidRPr="005A0E20">
        <w:rPr>
          <w:u w:val="single"/>
        </w:rPr>
        <w:t xml:space="preserve">Verbetering </w:t>
      </w:r>
      <w:r>
        <w:rPr>
          <w:u w:val="single"/>
        </w:rPr>
        <w:t xml:space="preserve">van de </w:t>
      </w:r>
      <w:r w:rsidRPr="005A0E20">
        <w:rPr>
          <w:u w:val="single"/>
        </w:rPr>
        <w:t xml:space="preserve">samenhang </w:t>
      </w:r>
      <w:r>
        <w:rPr>
          <w:u w:val="single"/>
        </w:rPr>
        <w:t xml:space="preserve">in het </w:t>
      </w:r>
      <w:r w:rsidRPr="005A0E20">
        <w:rPr>
          <w:u w:val="single"/>
        </w:rPr>
        <w:t>CT-beleid</w:t>
      </w:r>
    </w:p>
    <w:p w:rsidRPr="006D7495" w:rsidR="00197954" w:rsidP="00197954" w:rsidRDefault="00197954" w14:paraId="62A16390" w14:textId="77777777">
      <w:pPr>
        <w:pStyle w:val="broodtekst"/>
        <w:tabs>
          <w:tab w:val="left" w:pos="360"/>
        </w:tabs>
        <w:ind w:left="284"/>
        <w:contextualSpacing/>
        <w:jc w:val="both"/>
        <w:rPr>
          <w:i/>
          <w:iCs/>
          <w:u w:val="single"/>
        </w:rPr>
      </w:pPr>
      <w:r w:rsidRPr="006D7495">
        <w:rPr>
          <w:i/>
          <w:iCs/>
        </w:rPr>
        <w:t xml:space="preserve">Er wordt aanbevolen om in de volgende Nationale </w:t>
      </w:r>
      <w:proofErr w:type="spellStart"/>
      <w:r w:rsidRPr="006D7495">
        <w:rPr>
          <w:i/>
          <w:iCs/>
        </w:rPr>
        <w:t>Contraterrorisme</w:t>
      </w:r>
      <w:r>
        <w:rPr>
          <w:i/>
          <w:iCs/>
        </w:rPr>
        <w:t>s</w:t>
      </w:r>
      <w:r w:rsidRPr="006D7495">
        <w:rPr>
          <w:i/>
          <w:iCs/>
        </w:rPr>
        <w:t>trategie</w:t>
      </w:r>
      <w:proofErr w:type="spellEnd"/>
      <w:r>
        <w:rPr>
          <w:i/>
          <w:iCs/>
        </w:rPr>
        <w:t xml:space="preserve"> 2027 - 2030</w:t>
      </w:r>
      <w:r w:rsidRPr="006D7495">
        <w:rPr>
          <w:i/>
          <w:iCs/>
        </w:rPr>
        <w:t xml:space="preserve"> de samenhang tussen interventiegebieden, beleidsmaatregelen- en instrumenten door middel van een beleidstheorie toe te lichten. Door daarbij uniforme definities en een indeling te hanteren, kan consistentie in alle documenten worden gewaarborgd. Ook dienen maatregelen en activiteiten te worden gekoppeld aan begrotingsposten zodat de kosten duidelijk kunnen worden </w:t>
      </w:r>
      <w:proofErr w:type="gramStart"/>
      <w:r w:rsidRPr="006D7495">
        <w:rPr>
          <w:i/>
          <w:iCs/>
        </w:rPr>
        <w:t>toe geschreven</w:t>
      </w:r>
      <w:proofErr w:type="gramEnd"/>
      <w:r w:rsidRPr="006D7495">
        <w:rPr>
          <w:i/>
          <w:iCs/>
        </w:rPr>
        <w:t xml:space="preserve">. </w:t>
      </w:r>
    </w:p>
    <w:p w:rsidR="00197954" w:rsidP="00197954" w:rsidRDefault="00197954" w14:paraId="64757B07" w14:textId="77777777">
      <w:pPr>
        <w:pStyle w:val="broodtekst"/>
        <w:jc w:val="both"/>
      </w:pPr>
    </w:p>
    <w:p w:rsidR="00197954" w:rsidP="00197954" w:rsidRDefault="00197954" w14:paraId="09FDB515" w14:textId="77777777">
      <w:pPr>
        <w:pStyle w:val="broodtekst"/>
        <w:ind w:left="284"/>
        <w:jc w:val="both"/>
      </w:pPr>
      <w:r>
        <w:t xml:space="preserve">Deze aanbeveling wordt meegenomen in de nieuwe Nationale </w:t>
      </w:r>
      <w:proofErr w:type="spellStart"/>
      <w:r>
        <w:t>Contraterrorismestrategie</w:t>
      </w:r>
      <w:proofErr w:type="spellEnd"/>
      <w:r>
        <w:t xml:space="preserve"> die is voorzien voor 2027. Er zal extra aandacht worden besteed aan het belang van goed, gedegen en uniform evalueren van beleidsmaatregelen- en instrumenten ter bevordering van de samenhang in CT-beleid. </w:t>
      </w:r>
    </w:p>
    <w:p w:rsidR="00197954" w:rsidP="00197954" w:rsidRDefault="00197954" w14:paraId="65188B91" w14:textId="77777777">
      <w:pPr>
        <w:pStyle w:val="broodtekst"/>
        <w:ind w:left="284"/>
        <w:jc w:val="both"/>
      </w:pPr>
    </w:p>
    <w:p w:rsidR="00197954" w:rsidP="00197954" w:rsidRDefault="00197954" w14:paraId="79AF2891" w14:textId="5C964623">
      <w:pPr>
        <w:pStyle w:val="broodtekst"/>
        <w:ind w:left="284"/>
        <w:jc w:val="both"/>
      </w:pPr>
      <w:bookmarkStart w:name="_Hlk221017417" w:id="0"/>
      <w:r>
        <w:t xml:space="preserve">Daarnaast wordt de uniformering van definities en werkwijzen in bredere zin door de NCTV opgenomen in het versterken van de methodische werkwijzen binnen de CT-aanpak, bijvoorbeeld binnen de lokale persoonsgerichte aanpak, waar via de uitrol van de </w:t>
      </w:r>
      <w:r w:rsidR="008F38FD">
        <w:t>L</w:t>
      </w:r>
      <w:r>
        <w:t xml:space="preserve">eidraad </w:t>
      </w:r>
      <w:r w:rsidR="008F38FD">
        <w:t>P</w:t>
      </w:r>
      <w:r>
        <w:t xml:space="preserve">rofessioneel </w:t>
      </w:r>
      <w:r w:rsidR="008F38FD">
        <w:t>O</w:t>
      </w:r>
      <w:r>
        <w:t>ordeel</w:t>
      </w:r>
      <w:r w:rsidR="008F38FD">
        <w:t xml:space="preserve"> </w:t>
      </w:r>
      <w:r>
        <w:t xml:space="preserve">op methodische wijze een beeld kan worden gevormd over (de mate van progressie binnen) een casus en de benodigde interventies. </w:t>
      </w:r>
    </w:p>
    <w:bookmarkEnd w:id="0"/>
    <w:p w:rsidR="00197954" w:rsidP="00197954" w:rsidRDefault="00197954" w14:paraId="4FB43C49" w14:textId="77777777">
      <w:pPr>
        <w:pStyle w:val="broodtekst"/>
        <w:jc w:val="both"/>
      </w:pPr>
    </w:p>
    <w:p w:rsidR="00197954" w:rsidP="00197954" w:rsidRDefault="00197954" w14:paraId="50798EDD" w14:textId="77777777">
      <w:pPr>
        <w:pStyle w:val="broodtekst"/>
        <w:numPr>
          <w:ilvl w:val="0"/>
          <w:numId w:val="16"/>
        </w:numPr>
        <w:tabs>
          <w:tab w:val="left" w:pos="227"/>
          <w:tab w:val="left" w:pos="454"/>
          <w:tab w:val="left" w:pos="680"/>
        </w:tabs>
        <w:ind w:left="284" w:hanging="284"/>
        <w:jc w:val="both"/>
        <w:rPr>
          <w:u w:val="single"/>
        </w:rPr>
      </w:pPr>
      <w:r w:rsidRPr="00F90877">
        <w:rPr>
          <w:u w:val="single"/>
        </w:rPr>
        <w:t xml:space="preserve">Verbetering </w:t>
      </w:r>
      <w:r>
        <w:rPr>
          <w:u w:val="single"/>
        </w:rPr>
        <w:t xml:space="preserve">van het inzicht in de </w:t>
      </w:r>
      <w:r w:rsidRPr="00F90877">
        <w:rPr>
          <w:u w:val="single"/>
        </w:rPr>
        <w:t>doeltreffendheid</w:t>
      </w:r>
      <w:r>
        <w:rPr>
          <w:u w:val="single"/>
        </w:rPr>
        <w:t xml:space="preserve"> van het CT-beleid</w:t>
      </w:r>
    </w:p>
    <w:p w:rsidRPr="006D7495" w:rsidR="00197954" w:rsidP="00197954" w:rsidRDefault="00197954" w14:paraId="626AA606" w14:textId="77777777">
      <w:pPr>
        <w:pStyle w:val="broodtekst"/>
        <w:ind w:left="284"/>
        <w:jc w:val="both"/>
        <w:rPr>
          <w:i/>
          <w:iCs/>
          <w:u w:val="single"/>
        </w:rPr>
      </w:pPr>
      <w:r w:rsidRPr="006D7495">
        <w:rPr>
          <w:i/>
          <w:iCs/>
        </w:rPr>
        <w:t xml:space="preserve">Er wordt </w:t>
      </w:r>
      <w:bookmarkStart w:name="_Hlk217398001" w:id="1"/>
      <w:r w:rsidRPr="006D7495">
        <w:rPr>
          <w:i/>
          <w:iCs/>
        </w:rPr>
        <w:t xml:space="preserve">aanbevolen om de doelstellingen, resultaten en uitkomsten van CT-beleid expliciet te maken, waarbij prestatie-indicatoren kunnen worden onderbouwd met theoretisch en empirisch bewijs. In de ontwerpfase van nieuw beleid moet </w:t>
      </w:r>
      <w:proofErr w:type="gramStart"/>
      <w:r w:rsidRPr="006D7495">
        <w:rPr>
          <w:i/>
          <w:iCs/>
        </w:rPr>
        <w:t>tevens</w:t>
      </w:r>
      <w:proofErr w:type="gramEnd"/>
      <w:r w:rsidRPr="006D7495">
        <w:rPr>
          <w:i/>
          <w:iCs/>
        </w:rPr>
        <w:t xml:space="preserve"> worden nagedacht over de evaluatie ervan. </w:t>
      </w:r>
      <w:bookmarkEnd w:id="1"/>
    </w:p>
    <w:p w:rsidR="00197954" w:rsidP="00197954" w:rsidRDefault="00197954" w14:paraId="30702A0B" w14:textId="77777777">
      <w:pPr>
        <w:pStyle w:val="broodtekst"/>
        <w:ind w:left="284"/>
        <w:jc w:val="both"/>
        <w:rPr>
          <w:u w:val="single"/>
        </w:rPr>
      </w:pPr>
    </w:p>
    <w:p w:rsidR="00197954" w:rsidP="00197954" w:rsidRDefault="00197954" w14:paraId="5A09B71E" w14:textId="77777777">
      <w:pPr>
        <w:pStyle w:val="broodtekst"/>
        <w:ind w:left="284"/>
        <w:jc w:val="both"/>
        <w:rPr>
          <w:u w:val="single"/>
        </w:rPr>
      </w:pPr>
      <w:r>
        <w:t xml:space="preserve">Ten aanzien van deze aanbeveling worden er binnen het bestuursdepartement van het ministerie van Justitie en Veiligheid, en zo ook de NCTV, inspanningen verricht. </w:t>
      </w:r>
    </w:p>
    <w:p w:rsidR="00197954" w:rsidP="00197954" w:rsidRDefault="00197954" w14:paraId="41C2F2E8" w14:textId="77777777">
      <w:pPr>
        <w:pStyle w:val="broodtekst"/>
        <w:ind w:left="284"/>
        <w:jc w:val="both"/>
        <w:rPr>
          <w:u w:val="single"/>
        </w:rPr>
      </w:pPr>
    </w:p>
    <w:p w:rsidR="00197954" w:rsidP="00197954" w:rsidRDefault="00197954" w14:paraId="6EED9588" w14:textId="1918ADEE">
      <w:pPr>
        <w:pStyle w:val="broodtekst"/>
        <w:ind w:left="284"/>
        <w:jc w:val="both"/>
        <w:rPr>
          <w:u w:val="single"/>
        </w:rPr>
      </w:pPr>
      <w:r>
        <w:t xml:space="preserve">Op het gebied van evalueren wordt er door de kenniscoördinatoren van het ministerie van Justitie en Veiligheid in samenwerking met de Directie Innovatie, Kennis en Strategie gewerkt aan een handreiking voor het evalueren van beleid voor beleidsmedewerkers en onderzoekers. Om het werken met theoretisch en empirisch bewijs aan te moedigen, wordt er daarnaast een conferentie georganiseerd in de tweede helft van 2026. </w:t>
      </w:r>
      <w:r w:rsidRPr="004F73F8">
        <w:t xml:space="preserve">Deze conferentie </w:t>
      </w:r>
      <w:r>
        <w:t>heeft als doel</w:t>
      </w:r>
      <w:r w:rsidRPr="004F73F8">
        <w:t xml:space="preserve"> Nederlandse wetenschappers die onderzoek doen op het gebied van </w:t>
      </w:r>
      <w:r>
        <w:t>contraterrorisme</w:t>
      </w:r>
      <w:r w:rsidRPr="004F73F8">
        <w:t xml:space="preserve"> samen te brengen</w:t>
      </w:r>
      <w:r w:rsidR="007C75D0">
        <w:t>,</w:t>
      </w:r>
      <w:r>
        <w:t xml:space="preserve"> om gezamenlijk te verkennen wat </w:t>
      </w:r>
      <w:proofErr w:type="spellStart"/>
      <w:r>
        <w:t>onderzoeksmatig</w:t>
      </w:r>
      <w:proofErr w:type="spellEnd"/>
      <w:r>
        <w:t xml:space="preserve"> kan worden verbeterd om het zicht op de doeltreffendheid en doelmatigheid van het CT-beleid te vergroten. </w:t>
      </w:r>
    </w:p>
    <w:p w:rsidR="00197954" w:rsidP="00197954" w:rsidRDefault="00197954" w14:paraId="2B8E67C9" w14:textId="77777777">
      <w:pPr>
        <w:pStyle w:val="broodtekst"/>
        <w:ind w:left="284"/>
        <w:jc w:val="both"/>
        <w:rPr>
          <w:u w:val="single"/>
        </w:rPr>
      </w:pPr>
    </w:p>
    <w:p w:rsidR="00197954" w:rsidP="00197954" w:rsidRDefault="007F24DE" w14:paraId="11305AB8" w14:textId="6F34304D">
      <w:pPr>
        <w:pStyle w:val="broodtekst"/>
        <w:ind w:left="284"/>
        <w:jc w:val="both"/>
        <w:rPr>
          <w:u w:val="single"/>
        </w:rPr>
      </w:pPr>
      <w:r>
        <w:t>Met het oog op m</w:t>
      </w:r>
      <w:r w:rsidR="00197954">
        <w:t xml:space="preserve">ethodologische verbeteringen in het CT-evaluatiebeleid </w:t>
      </w:r>
      <w:r>
        <w:t>is</w:t>
      </w:r>
      <w:r w:rsidR="00197954">
        <w:t xml:space="preserve"> de </w:t>
      </w:r>
      <w:r w:rsidR="00AC3FF7">
        <w:t>R</w:t>
      </w:r>
      <w:r w:rsidR="00197954">
        <w:t>egeling wetenschappelijke onafhankelijkheid WODC</w:t>
      </w:r>
      <w:r>
        <w:t xml:space="preserve"> relevant</w:t>
      </w:r>
      <w:r w:rsidR="00197954">
        <w:t>. Artikel 5 van de</w:t>
      </w:r>
      <w:r w:rsidR="00113052">
        <w:t>ze</w:t>
      </w:r>
      <w:r w:rsidR="0077213B">
        <w:t xml:space="preserve"> ministeriële </w:t>
      </w:r>
      <w:r w:rsidR="00197954">
        <w:t>regeling plaatst het bestuursdepartement J</w:t>
      </w:r>
      <w:r w:rsidR="007C75D0">
        <w:t xml:space="preserve">ustitie </w:t>
      </w:r>
      <w:r w:rsidR="00197954">
        <w:t>en</w:t>
      </w:r>
      <w:r w:rsidR="007C75D0">
        <w:t xml:space="preserve"> </w:t>
      </w:r>
      <w:r w:rsidR="00197954">
        <w:t>V</w:t>
      </w:r>
      <w:r w:rsidR="007C75D0">
        <w:t>eiligheid</w:t>
      </w:r>
      <w:r w:rsidR="00197954">
        <w:t xml:space="preserve"> (inclusief de NCTV) op afstand ten aanzien van de vormgeving en de (realisering van de) uitvoering van evaluatieonderzoek en legt die verantwoordelijkheid bij het Wetenschappelijk Onderzoek</w:t>
      </w:r>
      <w:r w:rsidR="00113052">
        <w:t>-</w:t>
      </w:r>
      <w:r w:rsidR="00197954">
        <w:t xml:space="preserve"> en Dat</w:t>
      </w:r>
      <w:r w:rsidR="006E027F">
        <w:t>ac</w:t>
      </w:r>
      <w:r w:rsidR="00197954">
        <w:t xml:space="preserve">entrum (WODC). De vragen naar de effectiviteit en efficiëntie van het beleid kunnen door de NCTV worden </w:t>
      </w:r>
      <w:r w:rsidR="00197954">
        <w:lastRenderedPageBreak/>
        <w:t>opgenomen in de aanvraag van evaluatieonderzoek binnen onze beleidsdomeinen. Kanttekening hierbij is dat het WODC beslist of deze vragen</w:t>
      </w:r>
      <w:r w:rsidR="006E027F">
        <w:t>, en zo ja,</w:t>
      </w:r>
      <w:r w:rsidR="00197954">
        <w:t xml:space="preserve"> hoe deze</w:t>
      </w:r>
      <w:r w:rsidR="006E027F">
        <w:t xml:space="preserve"> vragen</w:t>
      </w:r>
      <w:r w:rsidR="00197954">
        <w:t xml:space="preserve"> worden opgenomen in het onderzoek. </w:t>
      </w:r>
    </w:p>
    <w:p w:rsidR="00197954" w:rsidP="00197954" w:rsidRDefault="00197954" w14:paraId="07151060" w14:textId="77777777">
      <w:pPr>
        <w:pStyle w:val="broodtekst"/>
        <w:ind w:left="284"/>
        <w:jc w:val="both"/>
        <w:rPr>
          <w:u w:val="single"/>
        </w:rPr>
      </w:pPr>
    </w:p>
    <w:p w:rsidRPr="006D7495" w:rsidR="00197954" w:rsidP="00197954" w:rsidRDefault="00197954" w14:paraId="4E21E9F2" w14:textId="77777777">
      <w:pPr>
        <w:pStyle w:val="broodtekst"/>
        <w:ind w:left="284"/>
        <w:jc w:val="both"/>
        <w:rPr>
          <w:i/>
          <w:iCs/>
          <w:u w:val="single"/>
        </w:rPr>
      </w:pPr>
      <w:r w:rsidRPr="006D7495">
        <w:rPr>
          <w:i/>
          <w:iCs/>
        </w:rPr>
        <w:t xml:space="preserve">Daarnaast wordt aanbevolen om de ketenpartners te vragen om een beleidstheorie aan te leveren en een periodieke rapportage over middelen, resultaten en uitkomsten uit te voeren. </w:t>
      </w:r>
    </w:p>
    <w:p w:rsidR="00197954" w:rsidP="00197954" w:rsidRDefault="00197954" w14:paraId="0618D62A" w14:textId="77777777">
      <w:pPr>
        <w:pStyle w:val="broodtekst"/>
        <w:jc w:val="both"/>
      </w:pPr>
    </w:p>
    <w:p w:rsidR="00197954" w:rsidP="00197954" w:rsidRDefault="00197954" w14:paraId="01DCB64B" w14:textId="77777777">
      <w:pPr>
        <w:pStyle w:val="broodtekst"/>
        <w:ind w:left="284"/>
        <w:jc w:val="both"/>
      </w:pPr>
      <w:r>
        <w:t>Met deze aanbeveling lijkt te worden verondersteld dat grote hoeveelheden middelen worden toegekend. In de praktijk gaat dit om relatief kleine bedragen. Op deze relatief kleine bedragen weegt het opstellen van een gedegen beleidstheorie vaak niet op tegen de baten die de doeltreffendheid dienen.</w:t>
      </w:r>
    </w:p>
    <w:p w:rsidR="00197954" w:rsidP="00197954" w:rsidRDefault="00197954" w14:paraId="0B4A1518" w14:textId="77777777">
      <w:pPr>
        <w:pStyle w:val="broodtekst"/>
        <w:ind w:left="284"/>
        <w:jc w:val="both"/>
      </w:pPr>
    </w:p>
    <w:p w:rsidRPr="00291FF6" w:rsidR="00197954" w:rsidP="00197954" w:rsidRDefault="00197954" w14:paraId="3417F5E4" w14:textId="2A20DC99">
      <w:pPr>
        <w:pStyle w:val="broodtekst"/>
        <w:ind w:left="284"/>
        <w:jc w:val="both"/>
      </w:pPr>
      <w:r>
        <w:t xml:space="preserve">De post ‘Versterkingsgelden’ is een van de posten waarvan middelen worden uitgekeerd aan gemeenten. Echter, de aard van de Versterkingsgelden bemoeilijkt opvolging van deze aanbeveling. Voor de besteding van deze gelden wordt inhoudelijke verantwoording in de gemeenteraad afgelegd. Vanaf 2027 zal het uitkeren van deze gelden de vorm krijgen van een decentralisatie-uitkering (voorheen SPUK), wat het niet langer mogelijk maakt om verantwoording van de besteding van de gelden uit te vragen bij </w:t>
      </w:r>
      <w:proofErr w:type="gramStart"/>
      <w:r>
        <w:t>betreffende</w:t>
      </w:r>
      <w:proofErr w:type="gramEnd"/>
      <w:r>
        <w:t xml:space="preserve"> gemeenten. Het is voor de Versterkingsgelden daarmee dus aan de gemeenten om een beleidstheorie te maken en die te bespreken met hun eigen gemeenteraad. De aanbeveling zal dan ook </w:t>
      </w:r>
      <w:r w:rsidR="00671ABF">
        <w:t>onder de aandacht worden gebracht</w:t>
      </w:r>
      <w:r>
        <w:t xml:space="preserve"> </w:t>
      </w:r>
      <w:r w:rsidR="00671ABF">
        <w:t xml:space="preserve">van </w:t>
      </w:r>
      <w:r>
        <w:t xml:space="preserve">gemeenten. </w:t>
      </w:r>
    </w:p>
    <w:p w:rsidR="00197954" w:rsidP="00197954" w:rsidRDefault="00197954" w14:paraId="1640F0D5" w14:textId="77777777">
      <w:pPr>
        <w:pStyle w:val="broodtekst"/>
        <w:jc w:val="both"/>
      </w:pPr>
    </w:p>
    <w:p w:rsidR="00197954" w:rsidP="00197954" w:rsidRDefault="00197954" w14:paraId="5463CAC5" w14:textId="77777777">
      <w:pPr>
        <w:pStyle w:val="broodtekst"/>
        <w:jc w:val="both"/>
      </w:pPr>
    </w:p>
    <w:p w:rsidR="00197954" w:rsidP="00197954" w:rsidRDefault="00197954" w14:paraId="1366D048" w14:textId="77777777">
      <w:pPr>
        <w:pStyle w:val="broodtekst"/>
        <w:numPr>
          <w:ilvl w:val="0"/>
          <w:numId w:val="16"/>
        </w:numPr>
        <w:tabs>
          <w:tab w:val="left" w:pos="284"/>
          <w:tab w:val="left" w:pos="454"/>
        </w:tabs>
        <w:ind w:left="709" w:hanging="709"/>
        <w:jc w:val="both"/>
        <w:rPr>
          <w:u w:val="single"/>
        </w:rPr>
      </w:pPr>
      <w:r w:rsidRPr="00845461">
        <w:rPr>
          <w:u w:val="single"/>
        </w:rPr>
        <w:t xml:space="preserve">Verbetering van het inzicht in de doelmatigheid van het </w:t>
      </w:r>
      <w:r>
        <w:rPr>
          <w:u w:val="single"/>
        </w:rPr>
        <w:t>CT-beleid</w:t>
      </w:r>
    </w:p>
    <w:p w:rsidRPr="006D7495" w:rsidR="00197954" w:rsidP="00197954" w:rsidRDefault="00197954" w14:paraId="6A511ABE" w14:textId="77777777">
      <w:pPr>
        <w:pStyle w:val="broodtekst"/>
        <w:tabs>
          <w:tab w:val="left" w:pos="284"/>
        </w:tabs>
        <w:ind w:left="284"/>
        <w:jc w:val="both"/>
        <w:rPr>
          <w:i/>
          <w:iCs/>
          <w:u w:val="single"/>
        </w:rPr>
      </w:pPr>
      <w:r w:rsidRPr="006D7495">
        <w:rPr>
          <w:i/>
          <w:iCs/>
        </w:rPr>
        <w:t xml:space="preserve">Er wordt aanbevolen om te zorgen voor een volledig en gestructureerd overzicht van begrote middelen, inzet van personeel en kosten van alle beleidsmaatregelen. En daarbij ook de middelen en kosten voor de coördinerende rol van de NCTV op te nemen. Daarnaast wordt aanbevolen om een evaluatiekader voor doelmatigheid te ontwikkelen waarin vooraf kosten, verwachte resultaten en uitkomsten worden ingeschat, om zo beter in staat te zijn de proportionaliteit van uitgaven ten opzichte van behaalde resultaten te beoordelen. </w:t>
      </w:r>
    </w:p>
    <w:p w:rsidR="00197954" w:rsidP="00197954" w:rsidRDefault="00197954" w14:paraId="447BDAE4" w14:textId="77777777">
      <w:pPr>
        <w:pStyle w:val="broodtekst"/>
        <w:tabs>
          <w:tab w:val="left" w:pos="284"/>
        </w:tabs>
        <w:ind w:left="284"/>
        <w:jc w:val="both"/>
        <w:rPr>
          <w:u w:val="single"/>
        </w:rPr>
      </w:pPr>
    </w:p>
    <w:p w:rsidR="00197954" w:rsidP="00197954" w:rsidRDefault="00197954" w14:paraId="5E893DEF" w14:textId="75A5497B">
      <w:pPr>
        <w:pStyle w:val="broodtekst"/>
        <w:tabs>
          <w:tab w:val="left" w:pos="284"/>
        </w:tabs>
        <w:ind w:left="284"/>
        <w:jc w:val="both"/>
        <w:rPr>
          <w:u w:val="single"/>
        </w:rPr>
      </w:pPr>
      <w:r>
        <w:t>Deze aanbevelingen sluiten aan bij het voornemen om binnen de NCTV, binnen het beleidsterrein CT, meer projectmatig te werken en daarmee op voorhand een beter beeld te creëren van de beoogde doelstellingen en benodigde middelen.</w:t>
      </w:r>
      <w:r w:rsidR="00671ABF">
        <w:t xml:space="preserve"> </w:t>
      </w:r>
      <w:r>
        <w:t xml:space="preserve"> Ook komt het evalueren en monitoren van beleid terug bij het gebruik van het </w:t>
      </w:r>
      <w:proofErr w:type="spellStart"/>
      <w:r w:rsidR="006E027F">
        <w:t>r</w:t>
      </w:r>
      <w:r>
        <w:t>ijksbrede</w:t>
      </w:r>
      <w:proofErr w:type="spellEnd"/>
      <w:r>
        <w:t xml:space="preserve"> Beleidskompas. </w:t>
      </w:r>
    </w:p>
    <w:p w:rsidR="00197954" w:rsidP="00197954" w:rsidRDefault="00197954" w14:paraId="5219E33F" w14:textId="77777777">
      <w:pPr>
        <w:pStyle w:val="broodtekst"/>
        <w:tabs>
          <w:tab w:val="left" w:pos="284"/>
        </w:tabs>
        <w:ind w:left="284"/>
        <w:jc w:val="both"/>
        <w:rPr>
          <w:u w:val="single"/>
        </w:rPr>
      </w:pPr>
    </w:p>
    <w:p w:rsidRPr="006D7495" w:rsidR="00197954" w:rsidP="00197954" w:rsidRDefault="00197954" w14:paraId="462FD788" w14:textId="77777777">
      <w:pPr>
        <w:pStyle w:val="broodtekst"/>
        <w:tabs>
          <w:tab w:val="left" w:pos="284"/>
        </w:tabs>
        <w:ind w:left="284"/>
        <w:jc w:val="both"/>
        <w:rPr>
          <w:i/>
          <w:iCs/>
          <w:u w:val="single"/>
        </w:rPr>
      </w:pPr>
      <w:r w:rsidRPr="006D7495">
        <w:rPr>
          <w:i/>
          <w:iCs/>
        </w:rPr>
        <w:t xml:space="preserve">In de periodieke rapportage wordt daarnaast ook gewezen op de overweging om </w:t>
      </w:r>
      <w:proofErr w:type="spellStart"/>
      <w:r w:rsidRPr="006D7495">
        <w:rPr>
          <w:i/>
          <w:iCs/>
        </w:rPr>
        <w:t>ketenbrede</w:t>
      </w:r>
      <w:proofErr w:type="spellEnd"/>
      <w:r w:rsidRPr="006D7495">
        <w:rPr>
          <w:i/>
          <w:iCs/>
        </w:rPr>
        <w:t xml:space="preserve"> impactanalyses uit te voeren, om zo de werklast en middelenverdeling tussen partners structureel te kunnen analyseren en om in staat te zijn te uniformeren en centraliseren van het proces voor aanvragen, beoordeling en verantwoording van middelen. </w:t>
      </w:r>
    </w:p>
    <w:p w:rsidR="00197954" w:rsidP="00197954" w:rsidRDefault="00197954" w14:paraId="346C489C" w14:textId="77777777">
      <w:pPr>
        <w:pStyle w:val="broodtekst"/>
        <w:tabs>
          <w:tab w:val="left" w:pos="284"/>
        </w:tabs>
        <w:ind w:left="284"/>
        <w:jc w:val="both"/>
        <w:rPr>
          <w:u w:val="single"/>
        </w:rPr>
      </w:pPr>
    </w:p>
    <w:p w:rsidRPr="003934DD" w:rsidR="00197954" w:rsidP="00197954" w:rsidRDefault="00197954" w14:paraId="392A5819" w14:textId="7A093D7D">
      <w:pPr>
        <w:pStyle w:val="broodtekst"/>
        <w:tabs>
          <w:tab w:val="left" w:pos="284"/>
        </w:tabs>
        <w:ind w:left="284"/>
        <w:jc w:val="both"/>
        <w:rPr>
          <w:u w:val="single"/>
        </w:rPr>
      </w:pPr>
      <w:r>
        <w:t xml:space="preserve">Het uitvoeren van </w:t>
      </w:r>
      <w:proofErr w:type="spellStart"/>
      <w:r>
        <w:t>ketenbrede</w:t>
      </w:r>
      <w:proofErr w:type="spellEnd"/>
      <w:r>
        <w:t xml:space="preserve"> impactanalyses om de werklast en middelenverdeling tussen partners structureel te analyseren</w:t>
      </w:r>
      <w:r w:rsidR="006E027F">
        <w:t>,</w:t>
      </w:r>
      <w:r>
        <w:t xml:space="preserve"> gaat voorbij aan de coördinerende taak van de NCTV. Aan deze aanbeveling zal dan ook vanuit de NCTV geen nadere uitvoering worden gegeven. </w:t>
      </w:r>
    </w:p>
    <w:p w:rsidR="00197954" w:rsidP="00197954" w:rsidRDefault="00197954" w14:paraId="28827F3D" w14:textId="77777777">
      <w:pPr>
        <w:pStyle w:val="broodtekst"/>
        <w:ind w:left="454"/>
        <w:jc w:val="both"/>
      </w:pPr>
    </w:p>
    <w:p w:rsidR="00EC0273" w:rsidP="00197954" w:rsidRDefault="00EC0273" w14:paraId="2AD22B9E" w14:textId="77777777">
      <w:pPr>
        <w:pStyle w:val="broodtekst"/>
        <w:ind w:left="454"/>
        <w:jc w:val="both"/>
      </w:pPr>
    </w:p>
    <w:p w:rsidR="00197954" w:rsidP="00197954" w:rsidRDefault="00197954" w14:paraId="31581DEE" w14:textId="77777777">
      <w:pPr>
        <w:pStyle w:val="broodtekst"/>
        <w:numPr>
          <w:ilvl w:val="0"/>
          <w:numId w:val="16"/>
        </w:numPr>
        <w:tabs>
          <w:tab w:val="left" w:pos="227"/>
          <w:tab w:val="left" w:pos="454"/>
          <w:tab w:val="left" w:pos="680"/>
        </w:tabs>
        <w:ind w:hanging="947"/>
        <w:jc w:val="both"/>
        <w:rPr>
          <w:u w:val="single"/>
        </w:rPr>
      </w:pPr>
      <w:r w:rsidRPr="00845461">
        <w:rPr>
          <w:u w:val="single"/>
        </w:rPr>
        <w:t>Verbetering van het inzicht in de coördinerende rol van de NCTV</w:t>
      </w:r>
    </w:p>
    <w:p w:rsidRPr="006D7495" w:rsidR="00197954" w:rsidP="00197954" w:rsidRDefault="00197954" w14:paraId="1C80F3FA" w14:textId="77777777">
      <w:pPr>
        <w:pStyle w:val="broodtekst"/>
        <w:ind w:left="284"/>
        <w:jc w:val="both"/>
        <w:rPr>
          <w:i/>
          <w:iCs/>
          <w:u w:val="single"/>
        </w:rPr>
      </w:pPr>
      <w:r w:rsidRPr="006D7495">
        <w:rPr>
          <w:i/>
          <w:iCs/>
        </w:rPr>
        <w:t xml:space="preserve">Er wordt aanbevolen de coördinerende rol van de NCTV op te nemen in evaluatievragen en hierbij te overwegen om een aparte evaluatie van ketensamenwerkingen inclusief beleidstheorie en raamwerken voor procesevaluatie aan te bieden. Daarnaast wordt aanbevolen om meer aanvullend onderzoek te doen. </w:t>
      </w:r>
    </w:p>
    <w:p w:rsidR="00197954" w:rsidP="00197954" w:rsidRDefault="00197954" w14:paraId="1A1C805C" w14:textId="77777777">
      <w:pPr>
        <w:pStyle w:val="broodtekst"/>
        <w:ind w:left="284"/>
        <w:jc w:val="both"/>
        <w:rPr>
          <w:u w:val="single"/>
        </w:rPr>
      </w:pPr>
    </w:p>
    <w:p w:rsidRPr="003934DD" w:rsidR="00197954" w:rsidP="00197954" w:rsidRDefault="00197954" w14:paraId="52750849" w14:textId="77777777">
      <w:pPr>
        <w:pStyle w:val="broodtekst"/>
        <w:ind w:left="284"/>
        <w:jc w:val="both"/>
        <w:rPr>
          <w:u w:val="single"/>
        </w:rPr>
      </w:pPr>
      <w:r>
        <w:t xml:space="preserve">Het opnemen van </w:t>
      </w:r>
      <w:r w:rsidRPr="00CE33C6">
        <w:t xml:space="preserve">evaluatievragen </w:t>
      </w:r>
      <w:r>
        <w:t xml:space="preserve">ten aanzien </w:t>
      </w:r>
      <w:proofErr w:type="gramStart"/>
      <w:r>
        <w:t xml:space="preserve">van  </w:t>
      </w:r>
      <w:r w:rsidRPr="00CE33C6">
        <w:t>de</w:t>
      </w:r>
      <w:proofErr w:type="gramEnd"/>
      <w:r w:rsidRPr="00CE33C6">
        <w:t xml:space="preserve"> coördinerende rol van de NCTV voor toekomstig uit te voeren evaluaties van </w:t>
      </w:r>
      <w:proofErr w:type="spellStart"/>
      <w:r w:rsidRPr="00CE33C6">
        <w:t>contraterrorismebeleid</w:t>
      </w:r>
      <w:proofErr w:type="spellEnd"/>
      <w:r>
        <w:t xml:space="preserve"> is een aanbeveling die ik zal overnemen.</w:t>
      </w:r>
      <w:r w:rsidRPr="003F0D04">
        <w:t xml:space="preserve"> </w:t>
      </w:r>
      <w:r>
        <w:t>Mocht het opvolgen van bovenstaande aanbeveling niet leiden tot een sluitend beeld ten aanzien van de coördinerende rol, dan zou een apart onderzoek naar de coördinerende rol van de NCTV tot de mogelijkheden kunnen behoren.</w:t>
      </w:r>
    </w:p>
    <w:p w:rsidRPr="00F162F6" w:rsidR="00197954" w:rsidP="00197954" w:rsidRDefault="00197954" w14:paraId="6ECBC191" w14:textId="77777777">
      <w:pPr>
        <w:pStyle w:val="broodtekst"/>
        <w:jc w:val="both"/>
      </w:pPr>
    </w:p>
    <w:p w:rsidRPr="007F716D" w:rsidR="00197954" w:rsidP="00197954" w:rsidRDefault="00197954" w14:paraId="19CDCAD8" w14:textId="77777777">
      <w:pPr>
        <w:pStyle w:val="broodtekst"/>
        <w:jc w:val="both"/>
        <w:rPr>
          <w:i/>
          <w:iCs/>
        </w:rPr>
      </w:pPr>
      <w:r w:rsidRPr="007F716D">
        <w:rPr>
          <w:i/>
          <w:iCs/>
        </w:rPr>
        <w:t>Besparingsoptie</w:t>
      </w:r>
      <w:r>
        <w:rPr>
          <w:i/>
          <w:iCs/>
        </w:rPr>
        <w:t xml:space="preserve">s </w:t>
      </w:r>
      <w:r>
        <w:rPr>
          <w:rStyle w:val="Voetnootmarkering"/>
          <w:i/>
          <w:iCs/>
        </w:rPr>
        <w:footnoteReference w:id="4"/>
      </w:r>
    </w:p>
    <w:p w:rsidR="00197954" w:rsidP="00197954" w:rsidRDefault="00197954" w14:paraId="06EB7AFE" w14:textId="5F0BBD8A">
      <w:pPr>
        <w:pStyle w:val="broodtekst"/>
        <w:jc w:val="both"/>
      </w:pPr>
      <w:r>
        <w:t xml:space="preserve">Een vast onderdeel van de periodieke rapportage behelst het schetsen van een besparingsvariant van 20% op de budgettaire grondslag van het beleidsthema. In dit geval gaat het om het </w:t>
      </w:r>
      <w:proofErr w:type="spellStart"/>
      <w:r>
        <w:t>subthema</w:t>
      </w:r>
      <w:proofErr w:type="spellEnd"/>
      <w:r>
        <w:t xml:space="preserve"> contraterro</w:t>
      </w:r>
      <w:r w:rsidR="006E027F">
        <w:t>ris</w:t>
      </w:r>
      <w:r>
        <w:t xml:space="preserve">me, wat de kwantitatieve financiële grondslag van € 16,5 miljoen omvat. Drie posten die hieronder vallen hebben betrekking op beleidsinitiatieven, namelijk de CT-Versterkingsgelden, de CT-programmagelden en de geoormerkte gelden voor het Passenger Name </w:t>
      </w:r>
      <w:proofErr w:type="gramStart"/>
      <w:r>
        <w:t>Record(</w:t>
      </w:r>
      <w:proofErr w:type="gramEnd"/>
      <w:r>
        <w:t xml:space="preserve">PNR)-instrument. Hieronder vallen projecten van de NCTV (in samenwerking met partners), bijdragen aan medeoverheden, zelfstandige bestuursorganen en agentschappen, en subsidies aan private organisaties. </w:t>
      </w:r>
    </w:p>
    <w:p w:rsidR="00197954" w:rsidP="00197954" w:rsidRDefault="00197954" w14:paraId="12DA106F" w14:textId="77777777">
      <w:pPr>
        <w:pStyle w:val="broodtekst"/>
        <w:jc w:val="both"/>
      </w:pPr>
    </w:p>
    <w:p w:rsidR="00197954" w:rsidP="00197954" w:rsidRDefault="00197954" w14:paraId="52B5219A" w14:textId="77777777">
      <w:pPr>
        <w:pStyle w:val="broodtekst"/>
        <w:jc w:val="both"/>
      </w:pPr>
      <w:r>
        <w:t xml:space="preserve">Twee verschillende besparingsvarianten zijn in overweging genomen, een evenredige reductie van posten en gerichte bezuinigingen. De eerstgenoemde optie is niet goed uitvoerbaar, aangezien op deze manier niet meer kan worden voldaan aan meerjarig toegezegde uitgaven. Daarmee resteert de tweede optie, waarbij €3,3 miljoen bespaard (20% van de grondslag van €16,5 miljoen) dient te worden. </w:t>
      </w:r>
    </w:p>
    <w:p w:rsidR="00197954" w:rsidP="00197954" w:rsidRDefault="00197954" w14:paraId="09D70264" w14:textId="77777777">
      <w:pPr>
        <w:pStyle w:val="broodtekst"/>
        <w:jc w:val="both"/>
      </w:pPr>
      <w:r>
        <w:t xml:space="preserve">Vanwege </w:t>
      </w:r>
      <w:proofErr w:type="gramStart"/>
      <w:r>
        <w:t>reeds</w:t>
      </w:r>
      <w:proofErr w:type="gramEnd"/>
      <w:r>
        <w:t xml:space="preserve"> toegezegde uitgaven blijft van de grondslag van €16,5 miljoen slechts €6,3 miljoen over om op te bezuinigen. In de </w:t>
      </w:r>
      <w:proofErr w:type="spellStart"/>
      <w:r>
        <w:t>denkexcercitie</w:t>
      </w:r>
      <w:proofErr w:type="spellEnd"/>
      <w:r>
        <w:t xml:space="preserve"> is rekening gehouden met het absolute minimum dat benodigd is om de beleidsinitiatieven onder de posten CT-programma gelden en PNR-gelden te behouden. Dit leidt tot een uitkomst met een besparing van €2,9 miljoen op de CT-Versterkingsgelden, een besparing van €0,3 miljoen op de CT-programmagelden en een besparing van €0,1 miljoen op de PNR-gelden. </w:t>
      </w:r>
    </w:p>
    <w:p w:rsidR="00197954" w:rsidP="00197954" w:rsidRDefault="00197954" w14:paraId="188369F5" w14:textId="77777777">
      <w:pPr>
        <w:pStyle w:val="broodtekst"/>
        <w:jc w:val="both"/>
      </w:pPr>
    </w:p>
    <w:p w:rsidR="00197954" w:rsidP="00197954" w:rsidRDefault="00197954" w14:paraId="04849541" w14:textId="2BD534E4">
      <w:pPr>
        <w:pStyle w:val="broodtekst"/>
        <w:jc w:val="both"/>
      </w:pPr>
      <w:r>
        <w:t xml:space="preserve">In het </w:t>
      </w:r>
      <w:r w:rsidR="00A444A3">
        <w:t>C</w:t>
      </w:r>
      <w:r>
        <w:t xml:space="preserve">oalitieakkoord </w:t>
      </w:r>
      <w:r w:rsidR="00A444A3">
        <w:t xml:space="preserve">van </w:t>
      </w:r>
      <w:r w:rsidR="006E027F">
        <w:t xml:space="preserve">het </w:t>
      </w:r>
      <w:r w:rsidR="00A444A3">
        <w:t>kabinet Jetten</w:t>
      </w:r>
      <w:r>
        <w:t xml:space="preserve"> is nogmaals bekrachtigd dat </w:t>
      </w:r>
      <w:r w:rsidR="008F38FD">
        <w:t>de NCTV</w:t>
      </w:r>
      <w:r>
        <w:t xml:space="preserve"> inzet op de (lokale) aanpak van contraterrorisme en een gecoördineerde aanpak </w:t>
      </w:r>
      <w:r w:rsidR="00A444A3">
        <w:t>op</w:t>
      </w:r>
      <w:r>
        <w:t xml:space="preserve"> radicaliserende jongeren. Juist initiatieven die door deze bezuinigen worden geraakt, </w:t>
      </w:r>
      <w:r w:rsidR="00A444A3">
        <w:t xml:space="preserve">zoals </w:t>
      </w:r>
      <w:r>
        <w:t xml:space="preserve">vroegtijdige signalering van radicalisering, lokale preventie van radicalisering, intergemeentelijke samenwerking, training voor professionals, internationale preventieprojecten, beleidsflexibiliteit, kort cyclisch onderzoek en de verdere ontwikkeling van Passagiersinformatie-eenheid Nederland, vormen de </w:t>
      </w:r>
      <w:r>
        <w:lastRenderedPageBreak/>
        <w:t xml:space="preserve">ruggengraat van onze inzet in het tegengaan van (online) radicalisering en gewelddadig extremisme. Het afbouwen van de middelen past niet bij onze inzet om de nationale veiligheid te versterken. Daarom is in het </w:t>
      </w:r>
      <w:r w:rsidR="00A444A3">
        <w:t>C</w:t>
      </w:r>
      <w:r>
        <w:t xml:space="preserve">oalitieakkoord een aanvullend bedrag van 8 miljoen euro opgenomen om </w:t>
      </w:r>
      <w:r w:rsidR="00A444A3">
        <w:t>de CT-aanpak</w:t>
      </w:r>
      <w:r>
        <w:t xml:space="preserve"> te versterken. </w:t>
      </w:r>
    </w:p>
    <w:p w:rsidR="00197954" w:rsidP="00197954" w:rsidRDefault="00197954" w14:paraId="6D5E8965" w14:textId="77777777">
      <w:pPr>
        <w:pStyle w:val="broodtekst"/>
        <w:jc w:val="both"/>
      </w:pPr>
    </w:p>
    <w:p w:rsidRPr="00B64446" w:rsidR="00197954" w:rsidP="00197954" w:rsidRDefault="00197954" w14:paraId="5EC9DD07" w14:textId="77777777">
      <w:pPr>
        <w:pStyle w:val="broodtekst"/>
        <w:jc w:val="both"/>
        <w:rPr>
          <w:b/>
          <w:bCs/>
        </w:rPr>
      </w:pPr>
      <w:r w:rsidRPr="00B64446">
        <w:rPr>
          <w:b/>
          <w:bCs/>
        </w:rPr>
        <w:t>Afsluitend</w:t>
      </w:r>
    </w:p>
    <w:p w:rsidR="00197954" w:rsidP="00197954" w:rsidRDefault="00197954" w14:paraId="013140C5" w14:textId="77777777">
      <w:pPr>
        <w:pStyle w:val="broodtekst"/>
        <w:jc w:val="both"/>
      </w:pPr>
      <w:r>
        <w:t xml:space="preserve">De bevindingen en aanbevelingen in de periodieke rapportage bieden een goede basis voor de borging van een duurzaam, robuust en wendbaar CT-beleid. In de komende periode zullen deze bevindingen en aanbevelingen als hierboven geschetst worden benut om het CT-beleid verder te verbeteren. </w:t>
      </w:r>
    </w:p>
    <w:p w:rsidR="00197954" w:rsidP="00197954" w:rsidRDefault="00197954" w14:paraId="598E7645" w14:textId="77777777">
      <w:pPr>
        <w:pStyle w:val="broodtekst"/>
        <w:jc w:val="both"/>
      </w:pPr>
    </w:p>
    <w:p w:rsidR="00197954" w:rsidP="00197954" w:rsidRDefault="00197954" w14:paraId="495C1174" w14:textId="77777777">
      <w:pPr>
        <w:pStyle w:val="broodtekst"/>
        <w:jc w:val="both"/>
      </w:pPr>
    </w:p>
    <w:p w:rsidR="00197954" w:rsidP="00197954" w:rsidRDefault="00197954" w14:paraId="6C167305" w14:textId="77777777">
      <w:pPr>
        <w:pStyle w:val="broodtekst"/>
        <w:jc w:val="both"/>
      </w:pPr>
      <w:r>
        <w:t xml:space="preserve">De Minister van Justitie en Veiligheid, </w:t>
      </w:r>
    </w:p>
    <w:p w:rsidR="00197954" w:rsidP="00197954" w:rsidRDefault="00197954" w14:paraId="34476587" w14:textId="77777777">
      <w:pPr>
        <w:pStyle w:val="broodtekst"/>
        <w:jc w:val="both"/>
      </w:pPr>
    </w:p>
    <w:p w:rsidR="00197954" w:rsidP="00197954" w:rsidRDefault="00197954" w14:paraId="320EB64C" w14:textId="77777777">
      <w:pPr>
        <w:pStyle w:val="broodtekst"/>
        <w:jc w:val="both"/>
      </w:pPr>
    </w:p>
    <w:p w:rsidR="00197954" w:rsidP="00197954" w:rsidRDefault="00197954" w14:paraId="79745BAC" w14:textId="77777777">
      <w:pPr>
        <w:pStyle w:val="broodtekst"/>
        <w:jc w:val="both"/>
      </w:pPr>
    </w:p>
    <w:p w:rsidR="00197954" w:rsidP="00197954" w:rsidRDefault="00197954" w14:paraId="7FEDBC0F" w14:textId="77777777">
      <w:pPr>
        <w:pStyle w:val="broodtekst"/>
        <w:jc w:val="both"/>
      </w:pPr>
    </w:p>
    <w:p w:rsidR="00197954" w:rsidP="00197954" w:rsidRDefault="00197954" w14:paraId="5E547EEA" w14:textId="77777777">
      <w:pPr>
        <w:pStyle w:val="broodtekst"/>
        <w:jc w:val="both"/>
      </w:pPr>
      <w:r>
        <w:t>D.M. van Weel</w:t>
      </w:r>
    </w:p>
    <w:p w:rsidR="00197954" w:rsidP="00197954" w:rsidRDefault="00197954" w14:paraId="6A95AD66" w14:textId="77777777">
      <w:pPr>
        <w:pStyle w:val="broodtekst"/>
        <w:jc w:val="both"/>
      </w:pPr>
    </w:p>
    <w:p w:rsidR="00197954" w:rsidP="00197954" w:rsidRDefault="00197954" w14:paraId="0B2A0C75" w14:textId="77777777">
      <w:pPr>
        <w:pStyle w:val="broodtekst"/>
        <w:rPr>
          <w:b/>
          <w:bCs/>
        </w:rPr>
      </w:pPr>
    </w:p>
    <w:p w:rsidR="00197954" w:rsidP="00197954" w:rsidRDefault="00197954" w14:paraId="672C9548" w14:textId="77777777">
      <w:pPr>
        <w:pStyle w:val="broodtekst"/>
        <w:rPr>
          <w:b/>
          <w:bCs/>
        </w:rPr>
      </w:pPr>
    </w:p>
    <w:p w:rsidRPr="00197954" w:rsidR="002110EF" w:rsidP="00197954" w:rsidRDefault="002110EF" w14:paraId="1EA86CAB" w14:textId="29548D66"/>
    <w:sectPr w:rsidRPr="00197954" w:rsidR="002110E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41D9" w14:textId="77777777" w:rsidR="008818B4" w:rsidRDefault="008818B4">
      <w:pPr>
        <w:spacing w:line="240" w:lineRule="auto"/>
      </w:pPr>
      <w:r>
        <w:separator/>
      </w:r>
    </w:p>
  </w:endnote>
  <w:endnote w:type="continuationSeparator" w:id="0">
    <w:p w14:paraId="6DFB4388" w14:textId="77777777" w:rsidR="008818B4" w:rsidRDefault="00881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EBBFE I+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A5" w14:textId="77777777" w:rsidR="002110EF" w:rsidRDefault="002110E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E416" w14:textId="77777777" w:rsidR="008818B4" w:rsidRDefault="008818B4">
      <w:pPr>
        <w:spacing w:line="240" w:lineRule="auto"/>
      </w:pPr>
      <w:r>
        <w:separator/>
      </w:r>
    </w:p>
  </w:footnote>
  <w:footnote w:type="continuationSeparator" w:id="0">
    <w:p w14:paraId="10C73537" w14:textId="77777777" w:rsidR="008818B4" w:rsidRDefault="008818B4">
      <w:pPr>
        <w:spacing w:line="240" w:lineRule="auto"/>
      </w:pPr>
      <w:r>
        <w:continuationSeparator/>
      </w:r>
    </w:p>
  </w:footnote>
  <w:footnote w:id="1">
    <w:p w14:paraId="3467CE83" w14:textId="7EC185FC" w:rsidR="00197954" w:rsidRPr="00197954" w:rsidRDefault="00197954" w:rsidP="00197954">
      <w:pPr>
        <w:pStyle w:val="broodtekst"/>
        <w:spacing w:line="240" w:lineRule="auto"/>
        <w:jc w:val="both"/>
        <w:rPr>
          <w:sz w:val="16"/>
          <w:szCs w:val="16"/>
        </w:rPr>
      </w:pPr>
      <w:r w:rsidRPr="00197954">
        <w:rPr>
          <w:rStyle w:val="Voetnootmarkering"/>
          <w:sz w:val="16"/>
          <w:szCs w:val="16"/>
        </w:rPr>
        <w:footnoteRef/>
      </w:r>
      <w:r w:rsidRPr="00197954">
        <w:rPr>
          <w:sz w:val="16"/>
          <w:szCs w:val="16"/>
        </w:rPr>
        <w:t xml:space="preserve"> Het is verplicht om de doeltreffendheid en doelmatigheid van beleid periodiek te evalueren. De</w:t>
      </w:r>
      <w:r w:rsidR="00EC0273">
        <w:rPr>
          <w:sz w:val="16"/>
          <w:szCs w:val="16"/>
        </w:rPr>
        <w:t xml:space="preserve"> </w:t>
      </w:r>
      <w:r w:rsidRPr="00197954">
        <w:rPr>
          <w:sz w:val="16"/>
          <w:szCs w:val="16"/>
        </w:rPr>
        <w:t xml:space="preserve">uitgewerkte richtlijnen van beleidsevaluatie staan in de Regeling Periodiek Evaluatieonderzoek 2022. Met de Periodieke Rapportage </w:t>
      </w:r>
      <w:proofErr w:type="spellStart"/>
      <w:r w:rsidRPr="00197954">
        <w:rPr>
          <w:sz w:val="16"/>
          <w:szCs w:val="16"/>
        </w:rPr>
        <w:t>Contraterrorismebeleid</w:t>
      </w:r>
      <w:proofErr w:type="spellEnd"/>
      <w:r w:rsidRPr="00197954">
        <w:rPr>
          <w:sz w:val="16"/>
          <w:szCs w:val="16"/>
        </w:rPr>
        <w:t xml:space="preserve"> wordt voldaan aan deze verplichting. </w:t>
      </w:r>
    </w:p>
  </w:footnote>
  <w:footnote w:id="2">
    <w:p w14:paraId="0D6A4BE3" w14:textId="22C30793" w:rsidR="00197954" w:rsidRPr="00197954" w:rsidRDefault="00197954" w:rsidP="00197954">
      <w:pPr>
        <w:pStyle w:val="Voetnoottekst"/>
        <w:rPr>
          <w:sz w:val="16"/>
          <w:szCs w:val="16"/>
        </w:rPr>
      </w:pPr>
      <w:r w:rsidRPr="00197954">
        <w:rPr>
          <w:rStyle w:val="Voetnootmarkering"/>
          <w:sz w:val="16"/>
          <w:szCs w:val="16"/>
        </w:rPr>
        <w:footnoteRef/>
      </w:r>
      <w:r w:rsidRPr="00197954">
        <w:rPr>
          <w:sz w:val="16"/>
          <w:szCs w:val="16"/>
        </w:rPr>
        <w:t xml:space="preserve"> Kammerstukken II, 2023-2024, 30 821, nr. 237</w:t>
      </w:r>
      <w:r w:rsidR="00837E82">
        <w:rPr>
          <w:sz w:val="16"/>
          <w:szCs w:val="16"/>
        </w:rPr>
        <w:t>.</w:t>
      </w:r>
    </w:p>
  </w:footnote>
  <w:footnote w:id="3">
    <w:p w14:paraId="41EE0434" w14:textId="77777777" w:rsidR="00197954" w:rsidRPr="00197954" w:rsidRDefault="00197954" w:rsidP="00197954">
      <w:pPr>
        <w:pStyle w:val="Voetnoottekst"/>
        <w:rPr>
          <w:sz w:val="16"/>
          <w:szCs w:val="16"/>
        </w:rPr>
      </w:pPr>
      <w:r w:rsidRPr="00197954">
        <w:rPr>
          <w:rStyle w:val="Voetnootmarkering"/>
          <w:sz w:val="16"/>
          <w:szCs w:val="16"/>
        </w:rPr>
        <w:footnoteRef/>
      </w:r>
      <w:r w:rsidRPr="00197954">
        <w:rPr>
          <w:sz w:val="16"/>
          <w:szCs w:val="16"/>
        </w:rPr>
        <w:t xml:space="preserve"> </w:t>
      </w:r>
      <w:r w:rsidRPr="00197954">
        <w:rPr>
          <w:i/>
          <w:iCs/>
          <w:sz w:val="16"/>
          <w:szCs w:val="16"/>
        </w:rPr>
        <w:t xml:space="preserve">Eindrapport Periodieke Rapportage </w:t>
      </w:r>
      <w:proofErr w:type="spellStart"/>
      <w:r w:rsidRPr="00197954">
        <w:rPr>
          <w:i/>
          <w:iCs/>
          <w:sz w:val="16"/>
          <w:szCs w:val="16"/>
        </w:rPr>
        <w:t>Contraterrorismebeleid</w:t>
      </w:r>
      <w:proofErr w:type="spellEnd"/>
      <w:r w:rsidRPr="00197954">
        <w:rPr>
          <w:sz w:val="16"/>
          <w:szCs w:val="16"/>
        </w:rPr>
        <w:t xml:space="preserve"> (74090 – 19 november 2025) – Rand Europe en Berenschot, p. 7. </w:t>
      </w:r>
    </w:p>
  </w:footnote>
  <w:footnote w:id="4">
    <w:p w14:paraId="63241655" w14:textId="064F4D4D" w:rsidR="00197954" w:rsidRPr="00C73A8E" w:rsidRDefault="00197954" w:rsidP="00197954">
      <w:pPr>
        <w:pStyle w:val="Voetnoottekst"/>
        <w:rPr>
          <w:rFonts w:eastAsia="Times New Roman" w:cs="Times New Roman"/>
          <w:color w:val="auto"/>
          <w:sz w:val="16"/>
          <w:szCs w:val="16"/>
        </w:rPr>
      </w:pPr>
      <w:r w:rsidRPr="00197954">
        <w:rPr>
          <w:rStyle w:val="Voetnootmarkering"/>
          <w:sz w:val="16"/>
          <w:szCs w:val="16"/>
        </w:rPr>
        <w:footnoteRef/>
      </w:r>
      <w:r w:rsidRPr="00197954">
        <w:rPr>
          <w:sz w:val="16"/>
          <w:szCs w:val="16"/>
        </w:rPr>
        <w:t xml:space="preserve"> </w:t>
      </w:r>
      <w:r w:rsidR="00C73A8E">
        <w:rPr>
          <w:sz w:val="16"/>
          <w:szCs w:val="16"/>
        </w:rPr>
        <w:t xml:space="preserve">De, </w:t>
      </w:r>
      <w:r w:rsidR="00C73A8E">
        <w:rPr>
          <w:rFonts w:eastAsia="Times New Roman" w:cs="Times New Roman"/>
          <w:color w:val="auto"/>
          <w:sz w:val="16"/>
          <w:szCs w:val="16"/>
        </w:rPr>
        <w:t>i</w:t>
      </w:r>
      <w:r w:rsidR="00C73A8E" w:rsidRPr="00C73A8E">
        <w:rPr>
          <w:rFonts w:eastAsia="Times New Roman" w:cs="Times New Roman"/>
          <w:color w:val="auto"/>
          <w:sz w:val="16"/>
          <w:szCs w:val="16"/>
        </w:rPr>
        <w:t>n de Harbersbrief en budgettaire tabel in de periodieke rapportage, genoemde € 22 miljoen betrof het destijds ingeschatte structureel benodigde eindbedrag zoals ook onderbouwd in de Memorie van Toelichting op de Wet op het gebruik van passagiersgegevens voor de bestrijding van terroristische en ernstige misdrijven.</w:t>
      </w:r>
      <w:r w:rsidR="00C73A8E">
        <w:rPr>
          <w:rFonts w:eastAsia="Times New Roman" w:cs="Times New Roman"/>
          <w:color w:val="auto"/>
          <w:sz w:val="16"/>
          <w:szCs w:val="16"/>
        </w:rPr>
        <w:t xml:space="preserve"> </w:t>
      </w:r>
      <w:r w:rsidR="00C73A8E" w:rsidRPr="00C73A8E">
        <w:rPr>
          <w:rFonts w:eastAsia="Times New Roman" w:cs="Times New Roman"/>
          <w:color w:val="auto"/>
          <w:sz w:val="16"/>
          <w:szCs w:val="16"/>
        </w:rPr>
        <w:t xml:space="preserve">Naar dat bedrag is in een aantal jaren toegewerkt; In 2018 bedroeg het totaal beschikbaar gestelde PNR-budget afgerond 12 mln. </w:t>
      </w:r>
      <w:r w:rsidR="00C73A8E" w:rsidRPr="00C73A8E">
        <w:rPr>
          <w:sz w:val="16"/>
          <w:szCs w:val="16"/>
        </w:rPr>
        <w:t>Het noemen van de 22 miljoen in plaats van de 12 miljoen heeft geen impact op de uitgevoerde beleidsevaluatie en de daarbij horende conclusies.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EC8" w14:textId="6AFF12C7" w:rsidR="002110EF" w:rsidRDefault="00744C00">
    <w:r>
      <w:rPr>
        <w:noProof/>
      </w:rPr>
      <mc:AlternateContent>
        <mc:Choice Requires="wps">
          <w:drawing>
            <wp:anchor distT="0" distB="0" distL="0" distR="0" simplePos="0" relativeHeight="251652608" behindDoc="0" locked="1" layoutInCell="1" allowOverlap="1" wp14:anchorId="4E8CCAC4" wp14:editId="0A4BA7A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939C3B" w14:textId="0E0401F8" w:rsidR="002110EF" w:rsidRPr="007D4217" w:rsidRDefault="00744C00" w:rsidP="007D4217">
                          <w:pPr>
                            <w:pStyle w:val="Referentiegegevens"/>
                            <w:rPr>
                              <w:b/>
                              <w:bCs/>
                            </w:rPr>
                          </w:pPr>
                          <w:r w:rsidRPr="007D4217">
                            <w:rPr>
                              <w:b/>
                              <w:bCs/>
                            </w:rPr>
                            <w:t>Datum</w:t>
                          </w:r>
                        </w:p>
                        <w:p w14:paraId="44DD357D" w14:textId="449348BF" w:rsidR="002110EF" w:rsidRDefault="00CC4420">
                          <w:pPr>
                            <w:pStyle w:val="Referentiegegevens"/>
                          </w:pPr>
                          <w:sdt>
                            <w:sdtPr>
                              <w:id w:val="-2120279500"/>
                              <w:date w:fullDate="2026-03-19T00:00:00Z">
                                <w:dateFormat w:val="d MMMM yyyy"/>
                                <w:lid w:val="nl"/>
                                <w:storeMappedDataAs w:val="dateTime"/>
                                <w:calendar w:val="gregorian"/>
                              </w:date>
                            </w:sdtPr>
                            <w:sdtEndPr/>
                            <w:sdtContent>
                              <w:r w:rsidR="003041A7">
                                <w:t>1</w:t>
                              </w:r>
                              <w:r w:rsidR="008F38FD" w:rsidRPr="008F38FD">
                                <w:rPr>
                                  <w:lang w:val="nl"/>
                                </w:rPr>
                                <w:t>9 maart 2026</w:t>
                              </w:r>
                            </w:sdtContent>
                          </w:sdt>
                        </w:p>
                        <w:p w14:paraId="7559C846" w14:textId="77777777" w:rsidR="002110EF" w:rsidRDefault="002110EF">
                          <w:pPr>
                            <w:pStyle w:val="WitregelW1"/>
                          </w:pPr>
                        </w:p>
                        <w:p w14:paraId="10650F15" w14:textId="77777777" w:rsidR="002110EF" w:rsidRDefault="00744C00">
                          <w:pPr>
                            <w:pStyle w:val="Referentiegegevensbold"/>
                          </w:pPr>
                          <w:r>
                            <w:t>Onze referentie</w:t>
                          </w:r>
                        </w:p>
                        <w:p w14:paraId="1000509B" w14:textId="18878ECA" w:rsidR="002110EF" w:rsidRDefault="0090212D" w:rsidP="000F2F97">
                          <w:pPr>
                            <w:pStyle w:val="Referentiegegevens"/>
                          </w:pPr>
                          <w:r>
                            <w:t>7035470</w:t>
                          </w:r>
                        </w:p>
                      </w:txbxContent>
                    </wps:txbx>
                    <wps:bodyPr vert="horz" wrap="square" lIns="0" tIns="0" rIns="0" bIns="0" anchor="t" anchorCtr="0"/>
                  </wps:wsp>
                </a:graphicData>
              </a:graphic>
            </wp:anchor>
          </w:drawing>
        </mc:Choice>
        <mc:Fallback>
          <w:pict>
            <v:shapetype w14:anchorId="4E8CCAC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939C3B" w14:textId="0E0401F8" w:rsidR="002110EF" w:rsidRPr="007D4217" w:rsidRDefault="00744C00" w:rsidP="007D4217">
                    <w:pPr>
                      <w:pStyle w:val="Referentiegegevens"/>
                      <w:rPr>
                        <w:b/>
                        <w:bCs/>
                      </w:rPr>
                    </w:pPr>
                    <w:r w:rsidRPr="007D4217">
                      <w:rPr>
                        <w:b/>
                        <w:bCs/>
                      </w:rPr>
                      <w:t>Datum</w:t>
                    </w:r>
                  </w:p>
                  <w:p w14:paraId="44DD357D" w14:textId="449348BF" w:rsidR="002110EF" w:rsidRDefault="00CC4420">
                    <w:pPr>
                      <w:pStyle w:val="Referentiegegevens"/>
                    </w:pPr>
                    <w:sdt>
                      <w:sdtPr>
                        <w:id w:val="-2120279500"/>
                        <w:date w:fullDate="2026-03-19T00:00:00Z">
                          <w:dateFormat w:val="d MMMM yyyy"/>
                          <w:lid w:val="nl"/>
                          <w:storeMappedDataAs w:val="dateTime"/>
                          <w:calendar w:val="gregorian"/>
                        </w:date>
                      </w:sdtPr>
                      <w:sdtEndPr/>
                      <w:sdtContent>
                        <w:r w:rsidR="003041A7">
                          <w:t>1</w:t>
                        </w:r>
                        <w:r w:rsidR="008F38FD" w:rsidRPr="008F38FD">
                          <w:rPr>
                            <w:lang w:val="nl"/>
                          </w:rPr>
                          <w:t>9 maart 2026</w:t>
                        </w:r>
                      </w:sdtContent>
                    </w:sdt>
                  </w:p>
                  <w:p w14:paraId="7559C846" w14:textId="77777777" w:rsidR="002110EF" w:rsidRDefault="002110EF">
                    <w:pPr>
                      <w:pStyle w:val="WitregelW1"/>
                    </w:pPr>
                  </w:p>
                  <w:p w14:paraId="10650F15" w14:textId="77777777" w:rsidR="002110EF" w:rsidRDefault="00744C00">
                    <w:pPr>
                      <w:pStyle w:val="Referentiegegevensbold"/>
                    </w:pPr>
                    <w:r>
                      <w:t>Onze referentie</w:t>
                    </w:r>
                  </w:p>
                  <w:p w14:paraId="1000509B" w14:textId="18878ECA" w:rsidR="002110EF" w:rsidRDefault="0090212D" w:rsidP="000F2F97">
                    <w:pPr>
                      <w:pStyle w:val="Referentiegegevens"/>
                    </w:pPr>
                    <w:r>
                      <w:t>7035470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6AB0F2" wp14:editId="7F12E52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E60E83" w14:textId="77777777" w:rsidR="006219A6" w:rsidRDefault="006219A6"/>
                      </w:txbxContent>
                    </wps:txbx>
                    <wps:bodyPr vert="horz" wrap="square" lIns="0" tIns="0" rIns="0" bIns="0" anchor="t" anchorCtr="0"/>
                  </wps:wsp>
                </a:graphicData>
              </a:graphic>
            </wp:anchor>
          </w:drawing>
        </mc:Choice>
        <mc:Fallback>
          <w:pict>
            <v:shape w14:anchorId="136AB0F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5E60E83"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ED7CE2" wp14:editId="3BDCA5A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C6A7C0" w14:textId="22C3CC2A" w:rsidR="002110EF" w:rsidRDefault="00744C00">
                          <w:pPr>
                            <w:pStyle w:val="Referentiegegevens"/>
                          </w:pPr>
                          <w:r>
                            <w:t xml:space="preserve">Pagina </w:t>
                          </w:r>
                          <w:r>
                            <w:fldChar w:fldCharType="begin"/>
                          </w:r>
                          <w:r>
                            <w:instrText>PAGE</w:instrText>
                          </w:r>
                          <w:r>
                            <w:fldChar w:fldCharType="separate"/>
                          </w:r>
                          <w:r w:rsidR="00CB5710">
                            <w:rPr>
                              <w:noProof/>
                            </w:rPr>
                            <w:t>2</w:t>
                          </w:r>
                          <w:r>
                            <w:fldChar w:fldCharType="end"/>
                          </w:r>
                          <w:r>
                            <w:t xml:space="preserve"> van </w:t>
                          </w:r>
                          <w:r>
                            <w:fldChar w:fldCharType="begin"/>
                          </w:r>
                          <w:r>
                            <w:instrText>NUMPAGES</w:instrText>
                          </w:r>
                          <w:r>
                            <w:fldChar w:fldCharType="separate"/>
                          </w:r>
                          <w:r w:rsidR="00CB5710">
                            <w:rPr>
                              <w:noProof/>
                            </w:rPr>
                            <w:t>1</w:t>
                          </w:r>
                          <w:r>
                            <w:fldChar w:fldCharType="end"/>
                          </w:r>
                        </w:p>
                      </w:txbxContent>
                    </wps:txbx>
                    <wps:bodyPr vert="horz" wrap="square" lIns="0" tIns="0" rIns="0" bIns="0" anchor="t" anchorCtr="0"/>
                  </wps:wsp>
                </a:graphicData>
              </a:graphic>
            </wp:anchor>
          </w:drawing>
        </mc:Choice>
        <mc:Fallback>
          <w:pict>
            <v:shape w14:anchorId="12ED7C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C6A7C0" w14:textId="22C3CC2A" w:rsidR="002110EF" w:rsidRDefault="00744C00">
                    <w:pPr>
                      <w:pStyle w:val="Referentiegegevens"/>
                    </w:pPr>
                    <w:r>
                      <w:t xml:space="preserve">Pagina </w:t>
                    </w:r>
                    <w:r>
                      <w:fldChar w:fldCharType="begin"/>
                    </w:r>
                    <w:r>
                      <w:instrText>PAGE</w:instrText>
                    </w:r>
                    <w:r>
                      <w:fldChar w:fldCharType="separate"/>
                    </w:r>
                    <w:r w:rsidR="00CB5710">
                      <w:rPr>
                        <w:noProof/>
                      </w:rPr>
                      <w:t>2</w:t>
                    </w:r>
                    <w:r>
                      <w:fldChar w:fldCharType="end"/>
                    </w:r>
                    <w:r>
                      <w:t xml:space="preserve"> van </w:t>
                    </w:r>
                    <w:r>
                      <w:fldChar w:fldCharType="begin"/>
                    </w:r>
                    <w:r>
                      <w:instrText>NUMPAGES</w:instrText>
                    </w:r>
                    <w:r>
                      <w:fldChar w:fldCharType="separate"/>
                    </w:r>
                    <w:r w:rsidR="00CB571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8FA0" w14:textId="3CFF47D3" w:rsidR="002110EF" w:rsidRDefault="00744C00">
    <w:pPr>
      <w:spacing w:after="6377" w:line="14" w:lineRule="exact"/>
    </w:pPr>
    <w:r>
      <w:rPr>
        <w:noProof/>
      </w:rPr>
      <mc:AlternateContent>
        <mc:Choice Requires="wps">
          <w:drawing>
            <wp:anchor distT="0" distB="0" distL="0" distR="0" simplePos="0" relativeHeight="251655680" behindDoc="0" locked="1" layoutInCell="1" allowOverlap="1" wp14:anchorId="1ACC7A79" wp14:editId="3183364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BFA50D" w14:textId="77777777" w:rsidR="00197954" w:rsidRDefault="00197954" w:rsidP="00A36994">
                          <w:pPr>
                            <w:pStyle w:val="adres"/>
                          </w:pPr>
                        </w:p>
                        <w:p w14:paraId="032D0645" w14:textId="3A0DBA65" w:rsidR="002F325F" w:rsidRPr="00197954" w:rsidRDefault="00A36994" w:rsidP="00A36994">
                          <w:pPr>
                            <w:pStyle w:val="adres"/>
                          </w:pPr>
                          <w:r w:rsidRPr="00197954">
                            <w:t xml:space="preserve">Aan de Voorzitter van de </w:t>
                          </w:r>
                          <w:r w:rsidR="00F4447B" w:rsidRPr="00197954">
                            <w:t>Tweede Kamer</w:t>
                          </w:r>
                          <w:r w:rsidR="00635297">
                            <w:br/>
                          </w:r>
                          <w:r w:rsidR="00F4447B" w:rsidRPr="00197954">
                            <w:t>der Staten-Generaal</w:t>
                          </w:r>
                        </w:p>
                        <w:p w14:paraId="60C37690" w14:textId="77777777" w:rsidR="002F325F" w:rsidRPr="00197954" w:rsidRDefault="002F325F" w:rsidP="00A36994">
                          <w:pPr>
                            <w:pStyle w:val="adres"/>
                          </w:pPr>
                          <w:r w:rsidRPr="00197954">
                            <w:t>Postbus 20018</w:t>
                          </w:r>
                        </w:p>
                        <w:p w14:paraId="58441B47" w14:textId="3BB478BA" w:rsidR="00A36994" w:rsidRPr="00197954" w:rsidRDefault="002F325F" w:rsidP="00A36994">
                          <w:pPr>
                            <w:pStyle w:val="adres"/>
                          </w:pPr>
                          <w:r w:rsidRPr="00197954">
                            <w:t xml:space="preserve">2500 EA </w:t>
                          </w:r>
                          <w:r w:rsidR="00635297">
                            <w:t xml:space="preserve"> </w:t>
                          </w:r>
                          <w:r w:rsidRPr="00197954">
                            <w:t>DEN HAAG</w:t>
                          </w:r>
                          <w:r w:rsidR="00A36994" w:rsidRPr="00197954">
                            <w:fldChar w:fldCharType="begin"/>
                          </w:r>
                          <w:r w:rsidR="00A36994" w:rsidRPr="00197954">
                            <w:instrText xml:space="preserve"> DOCVARIABLE adres *\MERGEFORMAT </w:instrText>
                          </w:r>
                          <w:r w:rsidR="00A36994" w:rsidRPr="00197954">
                            <w:fldChar w:fldCharType="end"/>
                          </w:r>
                        </w:p>
                        <w:p w14:paraId="6546F212" w14:textId="3DB0D914" w:rsidR="002110EF" w:rsidRDefault="002110EF"/>
                      </w:txbxContent>
                    </wps:txbx>
                    <wps:bodyPr vert="horz" wrap="square" lIns="0" tIns="0" rIns="0" bIns="0" anchor="t" anchorCtr="0"/>
                  </wps:wsp>
                </a:graphicData>
              </a:graphic>
            </wp:anchor>
          </w:drawing>
        </mc:Choice>
        <mc:Fallback>
          <w:pict>
            <v:shapetype w14:anchorId="1ACC7A7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BFA50D" w14:textId="77777777" w:rsidR="00197954" w:rsidRDefault="00197954" w:rsidP="00A36994">
                    <w:pPr>
                      <w:pStyle w:val="adres"/>
                    </w:pPr>
                  </w:p>
                  <w:p w14:paraId="032D0645" w14:textId="3A0DBA65" w:rsidR="002F325F" w:rsidRPr="00197954" w:rsidRDefault="00A36994" w:rsidP="00A36994">
                    <w:pPr>
                      <w:pStyle w:val="adres"/>
                    </w:pPr>
                    <w:r w:rsidRPr="00197954">
                      <w:t xml:space="preserve">Aan de Voorzitter van de </w:t>
                    </w:r>
                    <w:r w:rsidR="00F4447B" w:rsidRPr="00197954">
                      <w:t>Tweede Kamer</w:t>
                    </w:r>
                    <w:r w:rsidR="00635297">
                      <w:br/>
                    </w:r>
                    <w:r w:rsidR="00F4447B" w:rsidRPr="00197954">
                      <w:t>der Staten-Generaal</w:t>
                    </w:r>
                  </w:p>
                  <w:p w14:paraId="60C37690" w14:textId="77777777" w:rsidR="002F325F" w:rsidRPr="00197954" w:rsidRDefault="002F325F" w:rsidP="00A36994">
                    <w:pPr>
                      <w:pStyle w:val="adres"/>
                    </w:pPr>
                    <w:r w:rsidRPr="00197954">
                      <w:t>Postbus 20018</w:t>
                    </w:r>
                  </w:p>
                  <w:p w14:paraId="58441B47" w14:textId="3BB478BA" w:rsidR="00A36994" w:rsidRPr="00197954" w:rsidRDefault="002F325F" w:rsidP="00A36994">
                    <w:pPr>
                      <w:pStyle w:val="adres"/>
                    </w:pPr>
                    <w:r w:rsidRPr="00197954">
                      <w:t xml:space="preserve">2500 EA </w:t>
                    </w:r>
                    <w:r w:rsidR="00635297">
                      <w:t xml:space="preserve"> </w:t>
                    </w:r>
                    <w:r w:rsidRPr="00197954">
                      <w:t>DEN HAAG</w:t>
                    </w:r>
                    <w:r w:rsidR="00A36994" w:rsidRPr="00197954">
                      <w:fldChar w:fldCharType="begin"/>
                    </w:r>
                    <w:r w:rsidR="00A36994" w:rsidRPr="00197954">
                      <w:instrText xml:space="preserve"> DOCVARIABLE adres *\MERGEFORMAT </w:instrText>
                    </w:r>
                    <w:r w:rsidR="00A36994" w:rsidRPr="00197954">
                      <w:fldChar w:fldCharType="end"/>
                    </w:r>
                  </w:p>
                  <w:p w14:paraId="6546F212" w14:textId="3DB0D914" w:rsidR="002110EF" w:rsidRDefault="002110E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C5C565" wp14:editId="0F5F0E15">
              <wp:simplePos x="0" y="0"/>
              <wp:positionH relativeFrom="margin">
                <wp:align>left</wp:align>
              </wp:positionH>
              <wp:positionV relativeFrom="page">
                <wp:posOffset>3352165</wp:posOffset>
              </wp:positionV>
              <wp:extent cx="4712970" cy="5003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13515" cy="500380"/>
                      </a:xfrm>
                      <a:prstGeom prst="rect">
                        <a:avLst/>
                      </a:prstGeom>
                      <a:noFill/>
                    </wps:spPr>
                    <wps:txbx>
                      <w:txbxContent>
                        <w:tbl>
                          <w:tblPr>
                            <w:tblW w:w="0" w:type="auto"/>
                            <w:tblInd w:w="-120" w:type="dxa"/>
                            <w:tblLayout w:type="fixed"/>
                            <w:tblLook w:val="07E0" w:firstRow="1" w:lastRow="1" w:firstColumn="1" w:lastColumn="1" w:noHBand="1" w:noVBand="1"/>
                          </w:tblPr>
                          <w:tblGrid>
                            <w:gridCol w:w="1254"/>
                            <w:gridCol w:w="5804"/>
                          </w:tblGrid>
                          <w:tr w:rsidR="002110EF" w14:paraId="5D95E4D2" w14:textId="77777777" w:rsidTr="00EA734D">
                            <w:trPr>
                              <w:trHeight w:val="240"/>
                            </w:trPr>
                            <w:tc>
                              <w:tcPr>
                                <w:tcW w:w="1254" w:type="dxa"/>
                              </w:tcPr>
                              <w:p w14:paraId="33C18393" w14:textId="77777777" w:rsidR="002110EF" w:rsidRPr="00EA734D" w:rsidRDefault="00744C00">
                                <w:r w:rsidRPr="00EA734D">
                                  <w:t>Datum</w:t>
                                </w:r>
                              </w:p>
                            </w:tc>
                            <w:tc>
                              <w:tcPr>
                                <w:tcW w:w="5804" w:type="dxa"/>
                              </w:tcPr>
                              <w:p w14:paraId="21E15C12" w14:textId="2A3B6B62" w:rsidR="002110EF" w:rsidRPr="00EA734D" w:rsidRDefault="00CC4420">
                                <w:sdt>
                                  <w:sdtPr>
                                    <w:id w:val="-1585052573"/>
                                    <w:date w:fullDate="2026-03-19T00:00:00Z">
                                      <w:dateFormat w:val="d MMMM yyyy"/>
                                      <w:lid w:val="nl"/>
                                      <w:storeMappedDataAs w:val="dateTime"/>
                                      <w:calendar w:val="gregorian"/>
                                    </w:date>
                                  </w:sdtPr>
                                  <w:sdtEndPr/>
                                  <w:sdtContent>
                                    <w:r w:rsidR="003041A7">
                                      <w:rPr>
                                        <w:lang w:val="nl"/>
                                      </w:rPr>
                                      <w:t>19</w:t>
                                    </w:r>
                                    <w:r w:rsidR="008F38FD" w:rsidRPr="008F38FD">
                                      <w:rPr>
                                        <w:lang w:val="nl"/>
                                      </w:rPr>
                                      <w:t xml:space="preserve"> maart 2026</w:t>
                                    </w:r>
                                  </w:sdtContent>
                                </w:sdt>
                              </w:p>
                            </w:tc>
                          </w:tr>
                          <w:tr w:rsidR="00197954" w14:paraId="3B4C1893" w14:textId="77777777" w:rsidTr="00EA734D">
                            <w:trPr>
                              <w:trHeight w:val="240"/>
                            </w:trPr>
                            <w:tc>
                              <w:tcPr>
                                <w:tcW w:w="1254" w:type="dxa"/>
                              </w:tcPr>
                              <w:p w14:paraId="5A7834AA" w14:textId="11F1B42C" w:rsidR="00197954" w:rsidRPr="00EA734D" w:rsidRDefault="00EA734D" w:rsidP="00197954">
                                <w:r w:rsidRPr="00EA734D">
                                  <w:t>Onderwerp</w:t>
                                </w:r>
                              </w:p>
                            </w:tc>
                            <w:tc>
                              <w:tcPr>
                                <w:tcW w:w="5804" w:type="dxa"/>
                              </w:tcPr>
                              <w:p w14:paraId="50893892" w14:textId="7D583314" w:rsidR="00197954" w:rsidRPr="00EA734D" w:rsidRDefault="00197954" w:rsidP="00197954">
                                <w:r w:rsidRPr="00EA734D">
                                  <w:t>Beleidsreactie Periodieke Rapportage</w:t>
                                </w:r>
                                <w:r w:rsidR="00EA734D">
                                  <w:t xml:space="preserve"> </w:t>
                                </w:r>
                                <w:proofErr w:type="spellStart"/>
                                <w:r w:rsidRPr="00EA734D">
                                  <w:t>Contraterrorismebeleid</w:t>
                                </w:r>
                                <w:proofErr w:type="spellEnd"/>
                                <w:r w:rsidRPr="00EA734D">
                                  <w:t xml:space="preserve"> 2025</w:t>
                                </w:r>
                              </w:p>
                            </w:tc>
                          </w:tr>
                          <w:tr w:rsidR="00EA734D" w14:paraId="44426D0D" w14:textId="77777777" w:rsidTr="00EA734D">
                            <w:trPr>
                              <w:trHeight w:val="240"/>
                            </w:trPr>
                            <w:tc>
                              <w:tcPr>
                                <w:tcW w:w="1254" w:type="dxa"/>
                              </w:tcPr>
                              <w:p w14:paraId="38F07A77" w14:textId="77777777" w:rsidR="00EA734D" w:rsidRPr="00EA734D" w:rsidRDefault="00EA734D" w:rsidP="00197954"/>
                            </w:tc>
                            <w:tc>
                              <w:tcPr>
                                <w:tcW w:w="5804" w:type="dxa"/>
                              </w:tcPr>
                              <w:p w14:paraId="7C96E7AA" w14:textId="77777777" w:rsidR="00EA734D" w:rsidRPr="00EA734D" w:rsidRDefault="00EA734D" w:rsidP="00197954"/>
                            </w:tc>
                          </w:tr>
                          <w:tr w:rsidR="00EA734D" w14:paraId="77F12602" w14:textId="77777777" w:rsidTr="00EA734D">
                            <w:trPr>
                              <w:trHeight w:val="240"/>
                            </w:trPr>
                            <w:tc>
                              <w:tcPr>
                                <w:tcW w:w="1254" w:type="dxa"/>
                              </w:tcPr>
                              <w:p w14:paraId="1B93A432" w14:textId="77777777" w:rsidR="00EA734D" w:rsidRPr="00EA734D" w:rsidRDefault="00EA734D" w:rsidP="00197954"/>
                            </w:tc>
                            <w:tc>
                              <w:tcPr>
                                <w:tcW w:w="5804" w:type="dxa"/>
                              </w:tcPr>
                              <w:p w14:paraId="0A0EE197" w14:textId="77777777" w:rsidR="00EA734D" w:rsidRPr="00EA734D" w:rsidRDefault="00EA734D" w:rsidP="00197954"/>
                            </w:tc>
                          </w:tr>
                        </w:tbl>
                        <w:p w14:paraId="71578994" w14:textId="77777777" w:rsidR="006219A6" w:rsidRDefault="006219A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5C565" id="46feebd0-aa3c-11ea-a756-beb5f67e67be" o:spid="_x0000_s1030" type="#_x0000_t202" style="position:absolute;margin-left:0;margin-top:263.95pt;width:371.1pt;height:39.4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254"/>
                      <w:gridCol w:w="5804"/>
                    </w:tblGrid>
                    <w:tr w:rsidR="002110EF" w14:paraId="5D95E4D2" w14:textId="77777777" w:rsidTr="00EA734D">
                      <w:trPr>
                        <w:trHeight w:val="240"/>
                      </w:trPr>
                      <w:tc>
                        <w:tcPr>
                          <w:tcW w:w="1254" w:type="dxa"/>
                        </w:tcPr>
                        <w:p w14:paraId="33C18393" w14:textId="77777777" w:rsidR="002110EF" w:rsidRPr="00EA734D" w:rsidRDefault="00744C00">
                          <w:r w:rsidRPr="00EA734D">
                            <w:t>Datum</w:t>
                          </w:r>
                        </w:p>
                      </w:tc>
                      <w:tc>
                        <w:tcPr>
                          <w:tcW w:w="5804" w:type="dxa"/>
                        </w:tcPr>
                        <w:p w14:paraId="21E15C12" w14:textId="2A3B6B62" w:rsidR="002110EF" w:rsidRPr="00EA734D" w:rsidRDefault="00CC4420">
                          <w:sdt>
                            <w:sdtPr>
                              <w:id w:val="-1585052573"/>
                              <w:date w:fullDate="2026-03-19T00:00:00Z">
                                <w:dateFormat w:val="d MMMM yyyy"/>
                                <w:lid w:val="nl"/>
                                <w:storeMappedDataAs w:val="dateTime"/>
                                <w:calendar w:val="gregorian"/>
                              </w:date>
                            </w:sdtPr>
                            <w:sdtEndPr/>
                            <w:sdtContent>
                              <w:r w:rsidR="003041A7">
                                <w:rPr>
                                  <w:lang w:val="nl"/>
                                </w:rPr>
                                <w:t>19</w:t>
                              </w:r>
                              <w:r w:rsidR="008F38FD" w:rsidRPr="008F38FD">
                                <w:rPr>
                                  <w:lang w:val="nl"/>
                                </w:rPr>
                                <w:t xml:space="preserve"> maart 2026</w:t>
                              </w:r>
                            </w:sdtContent>
                          </w:sdt>
                        </w:p>
                      </w:tc>
                    </w:tr>
                    <w:tr w:rsidR="00197954" w14:paraId="3B4C1893" w14:textId="77777777" w:rsidTr="00EA734D">
                      <w:trPr>
                        <w:trHeight w:val="240"/>
                      </w:trPr>
                      <w:tc>
                        <w:tcPr>
                          <w:tcW w:w="1254" w:type="dxa"/>
                        </w:tcPr>
                        <w:p w14:paraId="5A7834AA" w14:textId="11F1B42C" w:rsidR="00197954" w:rsidRPr="00EA734D" w:rsidRDefault="00EA734D" w:rsidP="00197954">
                          <w:r w:rsidRPr="00EA734D">
                            <w:t>Onderwerp</w:t>
                          </w:r>
                        </w:p>
                      </w:tc>
                      <w:tc>
                        <w:tcPr>
                          <w:tcW w:w="5804" w:type="dxa"/>
                        </w:tcPr>
                        <w:p w14:paraId="50893892" w14:textId="7D583314" w:rsidR="00197954" w:rsidRPr="00EA734D" w:rsidRDefault="00197954" w:rsidP="00197954">
                          <w:r w:rsidRPr="00EA734D">
                            <w:t>Beleidsreactie Periodieke Rapportage</w:t>
                          </w:r>
                          <w:r w:rsidR="00EA734D">
                            <w:t xml:space="preserve"> </w:t>
                          </w:r>
                          <w:proofErr w:type="spellStart"/>
                          <w:r w:rsidRPr="00EA734D">
                            <w:t>Contraterrorismebeleid</w:t>
                          </w:r>
                          <w:proofErr w:type="spellEnd"/>
                          <w:r w:rsidRPr="00EA734D">
                            <w:t xml:space="preserve"> 2025</w:t>
                          </w:r>
                        </w:p>
                      </w:tc>
                    </w:tr>
                    <w:tr w:rsidR="00EA734D" w14:paraId="44426D0D" w14:textId="77777777" w:rsidTr="00EA734D">
                      <w:trPr>
                        <w:trHeight w:val="240"/>
                      </w:trPr>
                      <w:tc>
                        <w:tcPr>
                          <w:tcW w:w="1254" w:type="dxa"/>
                        </w:tcPr>
                        <w:p w14:paraId="38F07A77" w14:textId="77777777" w:rsidR="00EA734D" w:rsidRPr="00EA734D" w:rsidRDefault="00EA734D" w:rsidP="00197954"/>
                      </w:tc>
                      <w:tc>
                        <w:tcPr>
                          <w:tcW w:w="5804" w:type="dxa"/>
                        </w:tcPr>
                        <w:p w14:paraId="7C96E7AA" w14:textId="77777777" w:rsidR="00EA734D" w:rsidRPr="00EA734D" w:rsidRDefault="00EA734D" w:rsidP="00197954"/>
                      </w:tc>
                    </w:tr>
                    <w:tr w:rsidR="00EA734D" w14:paraId="77F12602" w14:textId="77777777" w:rsidTr="00EA734D">
                      <w:trPr>
                        <w:trHeight w:val="240"/>
                      </w:trPr>
                      <w:tc>
                        <w:tcPr>
                          <w:tcW w:w="1254" w:type="dxa"/>
                        </w:tcPr>
                        <w:p w14:paraId="1B93A432" w14:textId="77777777" w:rsidR="00EA734D" w:rsidRPr="00EA734D" w:rsidRDefault="00EA734D" w:rsidP="00197954"/>
                      </w:tc>
                      <w:tc>
                        <w:tcPr>
                          <w:tcW w:w="5804" w:type="dxa"/>
                        </w:tcPr>
                        <w:p w14:paraId="0A0EE197" w14:textId="77777777" w:rsidR="00EA734D" w:rsidRPr="00EA734D" w:rsidRDefault="00EA734D" w:rsidP="00197954"/>
                      </w:tc>
                    </w:tr>
                  </w:tbl>
                  <w:p w14:paraId="71578994" w14:textId="77777777" w:rsidR="006219A6" w:rsidRDefault="006219A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60EC0EB" wp14:editId="462ED43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96E0EA" w14:textId="77777777" w:rsidR="00A36994" w:rsidRDefault="00A36994" w:rsidP="00A36994">
                          <w:pPr>
                            <w:pStyle w:val="afzendgegevens-bold"/>
                          </w:pPr>
                          <w:r>
                            <w:t xml:space="preserve">Ministerie van Justitie en Veiligheid </w:t>
                          </w:r>
                        </w:p>
                        <w:p w14:paraId="303F5437" w14:textId="77777777" w:rsidR="00A36994" w:rsidRDefault="00A36994" w:rsidP="00A36994">
                          <w:pPr>
                            <w:pStyle w:val="witregel1"/>
                          </w:pPr>
                          <w:r>
                            <w:t> </w:t>
                          </w:r>
                        </w:p>
                        <w:p w14:paraId="088E8858" w14:textId="77777777" w:rsidR="00A36994" w:rsidRDefault="00A36994" w:rsidP="00A36994">
                          <w:pPr>
                            <w:pStyle w:val="afzendgegevens"/>
                          </w:pPr>
                          <w:r>
                            <w:t>Turfmarkt 147</w:t>
                          </w:r>
                        </w:p>
                        <w:p w14:paraId="5F113A96" w14:textId="77777777" w:rsidR="00A36994" w:rsidRPr="004D4B7C" w:rsidRDefault="00A36994" w:rsidP="00A36994">
                          <w:pPr>
                            <w:pStyle w:val="afzendgegevens"/>
                            <w:rPr>
                              <w:lang w:val="de-DE"/>
                            </w:rPr>
                          </w:pPr>
                          <w:r w:rsidRPr="004D4B7C">
                            <w:rPr>
                              <w:lang w:val="de-DE"/>
                            </w:rPr>
                            <w:t>2511 DP  Den Haag</w:t>
                          </w:r>
                        </w:p>
                        <w:p w14:paraId="3301632F" w14:textId="77777777" w:rsidR="00A36994" w:rsidRPr="004D4B7C" w:rsidRDefault="00A36994" w:rsidP="00A36994">
                          <w:pPr>
                            <w:pStyle w:val="afzendgegevens"/>
                            <w:rPr>
                              <w:lang w:val="de-DE"/>
                            </w:rPr>
                          </w:pPr>
                          <w:r w:rsidRPr="004D4B7C">
                            <w:rPr>
                              <w:lang w:val="de-DE"/>
                            </w:rPr>
                            <w:t>Postbus 20301</w:t>
                          </w:r>
                        </w:p>
                        <w:p w14:paraId="5746E1FB" w14:textId="77777777" w:rsidR="00A36994" w:rsidRPr="004D4B7C" w:rsidRDefault="00A36994" w:rsidP="00A36994">
                          <w:pPr>
                            <w:pStyle w:val="afzendgegevens"/>
                            <w:rPr>
                              <w:lang w:val="de-DE"/>
                            </w:rPr>
                          </w:pPr>
                          <w:r w:rsidRPr="004D4B7C">
                            <w:rPr>
                              <w:lang w:val="de-DE"/>
                            </w:rPr>
                            <w:t>2500 EH  Den Haag</w:t>
                          </w:r>
                        </w:p>
                        <w:p w14:paraId="55584734" w14:textId="77777777" w:rsidR="00A36994" w:rsidRPr="004D4B7C" w:rsidRDefault="00A36994" w:rsidP="00A36994">
                          <w:pPr>
                            <w:pStyle w:val="afzendgegevens"/>
                            <w:rPr>
                              <w:lang w:val="de-DE"/>
                            </w:rPr>
                          </w:pPr>
                          <w:r w:rsidRPr="004D4B7C">
                            <w:rPr>
                              <w:lang w:val="de-DE"/>
                            </w:rPr>
                            <w:t>www.rijksoverheid.nl/jenv</w:t>
                          </w:r>
                        </w:p>
                        <w:p w14:paraId="7EDC900E" w14:textId="77777777" w:rsidR="00A36994" w:rsidRPr="006847BB" w:rsidRDefault="00A36994" w:rsidP="00A36994">
                          <w:pPr>
                            <w:pStyle w:val="witregel2"/>
                            <w:rPr>
                              <w:lang w:val="de-DE"/>
                            </w:rPr>
                          </w:pPr>
                          <w:r w:rsidRPr="006847BB">
                            <w:rPr>
                              <w:lang w:val="de-DE"/>
                            </w:rPr>
                            <w:t> </w:t>
                          </w:r>
                        </w:p>
                        <w:p w14:paraId="6E8F6E9B" w14:textId="0A9ACDB8" w:rsidR="00A36994" w:rsidRDefault="00A36994" w:rsidP="00A36994">
                          <w:pPr>
                            <w:pStyle w:val="referentiekopjes"/>
                          </w:pPr>
                          <w:r>
                            <w:t>On</w:t>
                          </w:r>
                          <w:r w:rsidR="007D4217">
                            <w:t>ze referentie</w:t>
                          </w:r>
                        </w:p>
                        <w:p w14:paraId="1E323D10" w14:textId="22B002FD" w:rsidR="000F2F97" w:rsidRPr="007D4217" w:rsidRDefault="002E2EC0" w:rsidP="007D4217">
                          <w:pPr>
                            <w:pStyle w:val="referentiegegevens0"/>
                          </w:pPr>
                          <w:r w:rsidRPr="002E2EC0">
                            <w:t>7035470</w:t>
                          </w:r>
                        </w:p>
                        <w:p w14:paraId="1AECF808" w14:textId="02A0C2DD" w:rsidR="00A36994" w:rsidRDefault="007D4217" w:rsidP="007D4217">
                          <w:pPr>
                            <w:pStyle w:val="witregel1"/>
                          </w:pPr>
                          <w:r>
                            <w:t>4</w:t>
                          </w:r>
                          <w:r w:rsidR="00A36994">
                            <w:t> </w:t>
                          </w:r>
                        </w:p>
                        <w:p w14:paraId="1B010EC2" w14:textId="77777777" w:rsidR="002110EF" w:rsidRPr="00A36994" w:rsidRDefault="002110EF">
                          <w:pPr>
                            <w:pStyle w:val="WitregelW2"/>
                          </w:pPr>
                        </w:p>
                        <w:p w14:paraId="129FE506" w14:textId="51E4832B" w:rsidR="002110EF" w:rsidRPr="006847BB" w:rsidRDefault="002110EF">
                          <w:pPr>
                            <w:pStyle w:val="Referentiegegevensbold"/>
                          </w:pPr>
                        </w:p>
                      </w:txbxContent>
                    </wps:txbx>
                    <wps:bodyPr vert="horz" wrap="square" lIns="0" tIns="0" rIns="0" bIns="0" anchor="t" anchorCtr="0"/>
                  </wps:wsp>
                </a:graphicData>
              </a:graphic>
            </wp:anchor>
          </w:drawing>
        </mc:Choice>
        <mc:Fallback>
          <w:pict>
            <v:shape w14:anchorId="060EC0E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D96E0EA" w14:textId="77777777" w:rsidR="00A36994" w:rsidRDefault="00A36994" w:rsidP="00A36994">
                    <w:pPr>
                      <w:pStyle w:val="afzendgegevens-bold"/>
                    </w:pPr>
                    <w:r>
                      <w:t xml:space="preserve">Ministerie van Justitie en Veiligheid </w:t>
                    </w:r>
                  </w:p>
                  <w:p w14:paraId="303F5437" w14:textId="77777777" w:rsidR="00A36994" w:rsidRDefault="00A36994" w:rsidP="00A36994">
                    <w:pPr>
                      <w:pStyle w:val="witregel1"/>
                    </w:pPr>
                    <w:r>
                      <w:t> </w:t>
                    </w:r>
                  </w:p>
                  <w:p w14:paraId="088E8858" w14:textId="77777777" w:rsidR="00A36994" w:rsidRDefault="00A36994" w:rsidP="00A36994">
                    <w:pPr>
                      <w:pStyle w:val="afzendgegevens"/>
                    </w:pPr>
                    <w:r>
                      <w:t>Turfmarkt 147</w:t>
                    </w:r>
                  </w:p>
                  <w:p w14:paraId="5F113A96" w14:textId="77777777" w:rsidR="00A36994" w:rsidRPr="004D4B7C" w:rsidRDefault="00A36994" w:rsidP="00A36994">
                    <w:pPr>
                      <w:pStyle w:val="afzendgegevens"/>
                      <w:rPr>
                        <w:lang w:val="de-DE"/>
                      </w:rPr>
                    </w:pPr>
                    <w:r w:rsidRPr="004D4B7C">
                      <w:rPr>
                        <w:lang w:val="de-DE"/>
                      </w:rPr>
                      <w:t>2511 DP  Den Haag</w:t>
                    </w:r>
                  </w:p>
                  <w:p w14:paraId="3301632F" w14:textId="77777777" w:rsidR="00A36994" w:rsidRPr="004D4B7C" w:rsidRDefault="00A36994" w:rsidP="00A36994">
                    <w:pPr>
                      <w:pStyle w:val="afzendgegevens"/>
                      <w:rPr>
                        <w:lang w:val="de-DE"/>
                      </w:rPr>
                    </w:pPr>
                    <w:r w:rsidRPr="004D4B7C">
                      <w:rPr>
                        <w:lang w:val="de-DE"/>
                      </w:rPr>
                      <w:t>Postbus 20301</w:t>
                    </w:r>
                  </w:p>
                  <w:p w14:paraId="5746E1FB" w14:textId="77777777" w:rsidR="00A36994" w:rsidRPr="004D4B7C" w:rsidRDefault="00A36994" w:rsidP="00A36994">
                    <w:pPr>
                      <w:pStyle w:val="afzendgegevens"/>
                      <w:rPr>
                        <w:lang w:val="de-DE"/>
                      </w:rPr>
                    </w:pPr>
                    <w:r w:rsidRPr="004D4B7C">
                      <w:rPr>
                        <w:lang w:val="de-DE"/>
                      </w:rPr>
                      <w:t>2500 EH  Den Haag</w:t>
                    </w:r>
                  </w:p>
                  <w:p w14:paraId="55584734" w14:textId="77777777" w:rsidR="00A36994" w:rsidRPr="004D4B7C" w:rsidRDefault="00A36994" w:rsidP="00A36994">
                    <w:pPr>
                      <w:pStyle w:val="afzendgegevens"/>
                      <w:rPr>
                        <w:lang w:val="de-DE"/>
                      </w:rPr>
                    </w:pPr>
                    <w:r w:rsidRPr="004D4B7C">
                      <w:rPr>
                        <w:lang w:val="de-DE"/>
                      </w:rPr>
                      <w:t>www.rijksoverheid.nl/jenv</w:t>
                    </w:r>
                  </w:p>
                  <w:p w14:paraId="7EDC900E" w14:textId="77777777" w:rsidR="00A36994" w:rsidRPr="006847BB" w:rsidRDefault="00A36994" w:rsidP="00A36994">
                    <w:pPr>
                      <w:pStyle w:val="witregel2"/>
                      <w:rPr>
                        <w:lang w:val="de-DE"/>
                      </w:rPr>
                    </w:pPr>
                    <w:r w:rsidRPr="006847BB">
                      <w:rPr>
                        <w:lang w:val="de-DE"/>
                      </w:rPr>
                      <w:t> </w:t>
                    </w:r>
                  </w:p>
                  <w:p w14:paraId="6E8F6E9B" w14:textId="0A9ACDB8" w:rsidR="00A36994" w:rsidRDefault="00A36994" w:rsidP="00A36994">
                    <w:pPr>
                      <w:pStyle w:val="referentiekopjes"/>
                    </w:pPr>
                    <w:r>
                      <w:t>On</w:t>
                    </w:r>
                    <w:r w:rsidR="007D4217">
                      <w:t>ze referentie</w:t>
                    </w:r>
                  </w:p>
                  <w:p w14:paraId="1E323D10" w14:textId="22B002FD" w:rsidR="000F2F97" w:rsidRPr="007D4217" w:rsidRDefault="002E2EC0" w:rsidP="007D4217">
                    <w:pPr>
                      <w:pStyle w:val="referentiegegevens0"/>
                    </w:pPr>
                    <w:r w:rsidRPr="002E2EC0">
                      <w:t>7035470</w:t>
                    </w:r>
                  </w:p>
                  <w:p w14:paraId="1AECF808" w14:textId="02A0C2DD" w:rsidR="00A36994" w:rsidRDefault="007D4217" w:rsidP="007D4217">
                    <w:pPr>
                      <w:pStyle w:val="witregel1"/>
                    </w:pPr>
                    <w:r>
                      <w:t>4</w:t>
                    </w:r>
                    <w:r w:rsidR="00A36994">
                      <w:t> </w:t>
                    </w:r>
                  </w:p>
                  <w:p w14:paraId="1B010EC2" w14:textId="77777777" w:rsidR="002110EF" w:rsidRPr="00A36994" w:rsidRDefault="002110EF">
                    <w:pPr>
                      <w:pStyle w:val="WitregelW2"/>
                    </w:pPr>
                  </w:p>
                  <w:p w14:paraId="129FE506" w14:textId="51E4832B" w:rsidR="002110EF" w:rsidRPr="006847BB" w:rsidRDefault="002110E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4C79FD" wp14:editId="10F0849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510FE6" w14:textId="77777777" w:rsidR="006219A6" w:rsidRDefault="006219A6"/>
                      </w:txbxContent>
                    </wps:txbx>
                    <wps:bodyPr vert="horz" wrap="square" lIns="0" tIns="0" rIns="0" bIns="0" anchor="t" anchorCtr="0"/>
                  </wps:wsp>
                </a:graphicData>
              </a:graphic>
            </wp:anchor>
          </w:drawing>
        </mc:Choice>
        <mc:Fallback>
          <w:pict>
            <v:shape w14:anchorId="004C79F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0510FE6"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1BC96E" wp14:editId="230B861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124572" w14:textId="77777777" w:rsidR="002110EF" w:rsidRDefault="00744C00">
                          <w:pPr>
                            <w:pStyle w:val="Referentiegegevens"/>
                          </w:pPr>
                          <w:r>
                            <w:t xml:space="preserve">Pagina </w:t>
                          </w:r>
                          <w:r>
                            <w:fldChar w:fldCharType="begin"/>
                          </w:r>
                          <w:r>
                            <w:instrText>PAGE</w:instrText>
                          </w:r>
                          <w:r>
                            <w:fldChar w:fldCharType="separate"/>
                          </w:r>
                          <w:r w:rsidR="00CB5710">
                            <w:rPr>
                              <w:noProof/>
                            </w:rPr>
                            <w:t>1</w:t>
                          </w:r>
                          <w:r>
                            <w:fldChar w:fldCharType="end"/>
                          </w:r>
                          <w:r>
                            <w:t xml:space="preserve"> van </w:t>
                          </w:r>
                          <w:r>
                            <w:fldChar w:fldCharType="begin"/>
                          </w:r>
                          <w:r>
                            <w:instrText>NUMPAGES</w:instrText>
                          </w:r>
                          <w:r>
                            <w:fldChar w:fldCharType="separate"/>
                          </w:r>
                          <w:r w:rsidR="00CB5710">
                            <w:rPr>
                              <w:noProof/>
                            </w:rPr>
                            <w:t>1</w:t>
                          </w:r>
                          <w:r>
                            <w:fldChar w:fldCharType="end"/>
                          </w:r>
                        </w:p>
                      </w:txbxContent>
                    </wps:txbx>
                    <wps:bodyPr vert="horz" wrap="square" lIns="0" tIns="0" rIns="0" bIns="0" anchor="t" anchorCtr="0"/>
                  </wps:wsp>
                </a:graphicData>
              </a:graphic>
            </wp:anchor>
          </w:drawing>
        </mc:Choice>
        <mc:Fallback>
          <w:pict>
            <v:shape w14:anchorId="761BC96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124572" w14:textId="77777777" w:rsidR="002110EF" w:rsidRDefault="00744C00">
                    <w:pPr>
                      <w:pStyle w:val="Referentiegegevens"/>
                    </w:pPr>
                    <w:r>
                      <w:t xml:space="preserve">Pagina </w:t>
                    </w:r>
                    <w:r>
                      <w:fldChar w:fldCharType="begin"/>
                    </w:r>
                    <w:r>
                      <w:instrText>PAGE</w:instrText>
                    </w:r>
                    <w:r>
                      <w:fldChar w:fldCharType="separate"/>
                    </w:r>
                    <w:r w:rsidR="00CB5710">
                      <w:rPr>
                        <w:noProof/>
                      </w:rPr>
                      <w:t>1</w:t>
                    </w:r>
                    <w:r>
                      <w:fldChar w:fldCharType="end"/>
                    </w:r>
                    <w:r>
                      <w:t xml:space="preserve"> van </w:t>
                    </w:r>
                    <w:r>
                      <w:fldChar w:fldCharType="begin"/>
                    </w:r>
                    <w:r>
                      <w:instrText>NUMPAGES</w:instrText>
                    </w:r>
                    <w:r>
                      <w:fldChar w:fldCharType="separate"/>
                    </w:r>
                    <w:r w:rsidR="00CB57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23F973" wp14:editId="5B2563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A29052" w14:textId="77777777" w:rsidR="002110EF" w:rsidRDefault="00744C00">
                          <w:pPr>
                            <w:spacing w:line="240" w:lineRule="auto"/>
                          </w:pPr>
                          <w:r>
                            <w:rPr>
                              <w:noProof/>
                            </w:rPr>
                            <w:drawing>
                              <wp:inline distT="0" distB="0" distL="0" distR="0" wp14:anchorId="195296EC" wp14:editId="1074A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23F97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A29052" w14:textId="77777777" w:rsidR="002110EF" w:rsidRDefault="00744C00">
                    <w:pPr>
                      <w:spacing w:line="240" w:lineRule="auto"/>
                    </w:pPr>
                    <w:r>
                      <w:rPr>
                        <w:noProof/>
                      </w:rPr>
                      <w:drawing>
                        <wp:inline distT="0" distB="0" distL="0" distR="0" wp14:anchorId="195296EC" wp14:editId="1074A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58C53A" wp14:editId="1C930C8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B8340" w14:textId="54571517" w:rsidR="002110EF" w:rsidRDefault="00A36994">
                          <w:pPr>
                            <w:spacing w:line="240" w:lineRule="auto"/>
                          </w:pPr>
                          <w:bookmarkStart w:id="2" w:name="woordmerk_bk"/>
                          <w:r>
                            <w:rPr>
                              <w:noProof/>
                            </w:rPr>
                            <w:drawing>
                              <wp:inline distT="0" distB="0" distL="0" distR="0" wp14:anchorId="2BD0FCB5" wp14:editId="6D810274">
                                <wp:extent cx="2339975" cy="1582626"/>
                                <wp:effectExtent l="0" t="0" r="3175" b="0"/>
                                <wp:docPr id="1246765761" name="Afbeelding 124676576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2"/>
                          <w:r w:rsidR="00744C00">
                            <w:rPr>
                              <w:noProof/>
                            </w:rPr>
                            <w:drawing>
                              <wp:inline distT="0" distB="0" distL="0" distR="0" wp14:anchorId="66755072" wp14:editId="3D9C1535">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58C53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8B8340" w14:textId="54571517" w:rsidR="002110EF" w:rsidRDefault="00A36994">
                    <w:pPr>
                      <w:spacing w:line="240" w:lineRule="auto"/>
                    </w:pPr>
                    <w:bookmarkStart w:id="3" w:name="woordmerk_bk"/>
                    <w:r>
                      <w:rPr>
                        <w:noProof/>
                      </w:rPr>
                      <w:drawing>
                        <wp:inline distT="0" distB="0" distL="0" distR="0" wp14:anchorId="2BD0FCB5" wp14:editId="6D810274">
                          <wp:extent cx="2339975" cy="1582626"/>
                          <wp:effectExtent l="0" t="0" r="3175" b="0"/>
                          <wp:docPr id="1246765761" name="Afbeelding 124676576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3"/>
                    <w:r w:rsidR="00744C00">
                      <w:rPr>
                        <w:noProof/>
                      </w:rPr>
                      <w:drawing>
                        <wp:inline distT="0" distB="0" distL="0" distR="0" wp14:anchorId="66755072" wp14:editId="3D9C1535">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5545D4" wp14:editId="7264B03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9AD5ED" w14:textId="1493134F" w:rsidR="002110EF" w:rsidRDefault="00744C00">
                          <w:pPr>
                            <w:pStyle w:val="Referentiegegevens"/>
                          </w:pPr>
                          <w:r>
                            <w:t>&gt; Retouradres</w:t>
                          </w:r>
                          <w:r w:rsidR="00B1129C">
                            <w:t xml:space="preserve"> Postbus 202301 2500 EH Den Haag</w:t>
                          </w:r>
                          <w:r>
                            <w:t xml:space="preserve">   </w:t>
                          </w:r>
                        </w:p>
                      </w:txbxContent>
                    </wps:txbx>
                    <wps:bodyPr vert="horz" wrap="square" lIns="0" tIns="0" rIns="0" bIns="0" anchor="t" anchorCtr="0"/>
                  </wps:wsp>
                </a:graphicData>
              </a:graphic>
            </wp:anchor>
          </w:drawing>
        </mc:Choice>
        <mc:Fallback>
          <w:pict>
            <v:shape w14:anchorId="505545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79AD5ED" w14:textId="1493134F" w:rsidR="002110EF" w:rsidRDefault="00744C00">
                    <w:pPr>
                      <w:pStyle w:val="Referentiegegevens"/>
                    </w:pPr>
                    <w:r>
                      <w:t>&gt; Retouradres</w:t>
                    </w:r>
                    <w:r w:rsidR="00B1129C">
                      <w:t xml:space="preserve"> Postbus 202301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BC6133"/>
    <w:multiLevelType w:val="multilevel"/>
    <w:tmpl w:val="22BDB85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E69037"/>
    <w:multiLevelType w:val="multilevel"/>
    <w:tmpl w:val="18124C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28C6BA8"/>
    <w:multiLevelType w:val="multilevel"/>
    <w:tmpl w:val="D89B4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6A34F98"/>
    <w:multiLevelType w:val="multilevel"/>
    <w:tmpl w:val="7E435D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DA34A5D"/>
    <w:multiLevelType w:val="multilevel"/>
    <w:tmpl w:val="780E2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1163072"/>
    <w:multiLevelType w:val="hybridMultilevel"/>
    <w:tmpl w:val="FA8EC0AC"/>
    <w:lvl w:ilvl="0" w:tplc="6A98DD9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CE2113"/>
    <w:multiLevelType w:val="hybridMultilevel"/>
    <w:tmpl w:val="3552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E22162"/>
    <w:multiLevelType w:val="multilevel"/>
    <w:tmpl w:val="BEA8A58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65B0288"/>
    <w:multiLevelType w:val="multilevel"/>
    <w:tmpl w:val="4CBB7A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BF1466F"/>
    <w:multiLevelType w:val="hybridMultilevel"/>
    <w:tmpl w:val="BBC0297E"/>
    <w:lvl w:ilvl="0" w:tplc="9D4603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464606"/>
    <w:multiLevelType w:val="hybridMultilevel"/>
    <w:tmpl w:val="3294E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0C00BD"/>
    <w:multiLevelType w:val="hybridMultilevel"/>
    <w:tmpl w:val="1DE896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DA0C61"/>
    <w:multiLevelType w:val="hybridMultilevel"/>
    <w:tmpl w:val="AEB61160"/>
    <w:lvl w:ilvl="0" w:tplc="0F12A554">
      <w:start w:val="1"/>
      <w:numFmt w:val="decimal"/>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15" w15:restartNumberingAfterBreak="0">
    <w:nsid w:val="6FB72056"/>
    <w:multiLevelType w:val="hybridMultilevel"/>
    <w:tmpl w:val="60FC236C"/>
    <w:lvl w:ilvl="0" w:tplc="0EB4874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6606984">
    <w:abstractNumId w:val="0"/>
  </w:num>
  <w:num w:numId="2" w16cid:durableId="1494637843">
    <w:abstractNumId w:val="9"/>
  </w:num>
  <w:num w:numId="3" w16cid:durableId="1704208669">
    <w:abstractNumId w:val="2"/>
  </w:num>
  <w:num w:numId="4" w16cid:durableId="835925015">
    <w:abstractNumId w:val="3"/>
  </w:num>
  <w:num w:numId="5" w16cid:durableId="48193851">
    <w:abstractNumId w:val="1"/>
  </w:num>
  <w:num w:numId="6" w16cid:durableId="1310400001">
    <w:abstractNumId w:val="10"/>
  </w:num>
  <w:num w:numId="7" w16cid:durableId="1509637279">
    <w:abstractNumId w:val="11"/>
  </w:num>
  <w:num w:numId="8" w16cid:durableId="1165438228">
    <w:abstractNumId w:val="6"/>
  </w:num>
  <w:num w:numId="9" w16cid:durableId="1123570788">
    <w:abstractNumId w:val="13"/>
  </w:num>
  <w:num w:numId="10" w16cid:durableId="690885521">
    <w:abstractNumId w:val="5"/>
  </w:num>
  <w:num w:numId="11" w16cid:durableId="1996294353">
    <w:abstractNumId w:val="4"/>
  </w:num>
  <w:num w:numId="12" w16cid:durableId="474490668">
    <w:abstractNumId w:val="15"/>
  </w:num>
  <w:num w:numId="13" w16cid:durableId="531460608">
    <w:abstractNumId w:val="7"/>
  </w:num>
  <w:num w:numId="14" w16cid:durableId="682317704">
    <w:abstractNumId w:val="12"/>
  </w:num>
  <w:num w:numId="15" w16cid:durableId="639194955">
    <w:abstractNumId w:val="8"/>
  </w:num>
  <w:num w:numId="16" w16cid:durableId="1814984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10"/>
    <w:rsid w:val="00013018"/>
    <w:rsid w:val="00022D78"/>
    <w:rsid w:val="00025901"/>
    <w:rsid w:val="000311F2"/>
    <w:rsid w:val="00032E1B"/>
    <w:rsid w:val="0004016F"/>
    <w:rsid w:val="00050E8A"/>
    <w:rsid w:val="00053B75"/>
    <w:rsid w:val="00056B06"/>
    <w:rsid w:val="00064F37"/>
    <w:rsid w:val="0006604F"/>
    <w:rsid w:val="00066630"/>
    <w:rsid w:val="00066944"/>
    <w:rsid w:val="00070A54"/>
    <w:rsid w:val="0007152B"/>
    <w:rsid w:val="00073F38"/>
    <w:rsid w:val="000741C2"/>
    <w:rsid w:val="00087ABD"/>
    <w:rsid w:val="0009054D"/>
    <w:rsid w:val="0009432B"/>
    <w:rsid w:val="000949DF"/>
    <w:rsid w:val="00094B91"/>
    <w:rsid w:val="000957B3"/>
    <w:rsid w:val="000A1859"/>
    <w:rsid w:val="000A3BF1"/>
    <w:rsid w:val="000A472E"/>
    <w:rsid w:val="000B159A"/>
    <w:rsid w:val="000B3EFE"/>
    <w:rsid w:val="000B4391"/>
    <w:rsid w:val="000B6003"/>
    <w:rsid w:val="000B7C05"/>
    <w:rsid w:val="000C163F"/>
    <w:rsid w:val="000C3743"/>
    <w:rsid w:val="000C50F1"/>
    <w:rsid w:val="000D3C51"/>
    <w:rsid w:val="000D4F03"/>
    <w:rsid w:val="000D7672"/>
    <w:rsid w:val="000E12E4"/>
    <w:rsid w:val="000E69BF"/>
    <w:rsid w:val="000F2F97"/>
    <w:rsid w:val="00101E11"/>
    <w:rsid w:val="001021E3"/>
    <w:rsid w:val="00103317"/>
    <w:rsid w:val="001103D0"/>
    <w:rsid w:val="00111BE4"/>
    <w:rsid w:val="00113052"/>
    <w:rsid w:val="001200DF"/>
    <w:rsid w:val="001202E3"/>
    <w:rsid w:val="00121473"/>
    <w:rsid w:val="00125461"/>
    <w:rsid w:val="00143185"/>
    <w:rsid w:val="00145862"/>
    <w:rsid w:val="001501D1"/>
    <w:rsid w:val="0015659A"/>
    <w:rsid w:val="001607EA"/>
    <w:rsid w:val="00164279"/>
    <w:rsid w:val="00167B21"/>
    <w:rsid w:val="00171984"/>
    <w:rsid w:val="001731CE"/>
    <w:rsid w:val="0019001D"/>
    <w:rsid w:val="00192C4D"/>
    <w:rsid w:val="00196BDE"/>
    <w:rsid w:val="00197954"/>
    <w:rsid w:val="001B067B"/>
    <w:rsid w:val="001B1FF9"/>
    <w:rsid w:val="001C23EA"/>
    <w:rsid w:val="001C4858"/>
    <w:rsid w:val="001D1900"/>
    <w:rsid w:val="001D2D72"/>
    <w:rsid w:val="001E5644"/>
    <w:rsid w:val="001E5E99"/>
    <w:rsid w:val="001F02E7"/>
    <w:rsid w:val="001F1736"/>
    <w:rsid w:val="001F2631"/>
    <w:rsid w:val="001F56C0"/>
    <w:rsid w:val="001F5F13"/>
    <w:rsid w:val="002110EF"/>
    <w:rsid w:val="00214E0A"/>
    <w:rsid w:val="002208F1"/>
    <w:rsid w:val="00220A7E"/>
    <w:rsid w:val="00220E7A"/>
    <w:rsid w:val="00221FDE"/>
    <w:rsid w:val="002254FB"/>
    <w:rsid w:val="002279E7"/>
    <w:rsid w:val="002305D2"/>
    <w:rsid w:val="00236C1A"/>
    <w:rsid w:val="0024030C"/>
    <w:rsid w:val="00241897"/>
    <w:rsid w:val="00251DD5"/>
    <w:rsid w:val="00253037"/>
    <w:rsid w:val="00264695"/>
    <w:rsid w:val="00264E8E"/>
    <w:rsid w:val="00270E9E"/>
    <w:rsid w:val="00272C26"/>
    <w:rsid w:val="00276B85"/>
    <w:rsid w:val="00283007"/>
    <w:rsid w:val="00284F09"/>
    <w:rsid w:val="002A034E"/>
    <w:rsid w:val="002A5D39"/>
    <w:rsid w:val="002C29DD"/>
    <w:rsid w:val="002C7E6F"/>
    <w:rsid w:val="002D0FED"/>
    <w:rsid w:val="002D782A"/>
    <w:rsid w:val="002E144B"/>
    <w:rsid w:val="002E204D"/>
    <w:rsid w:val="002E2EC0"/>
    <w:rsid w:val="002F325F"/>
    <w:rsid w:val="002F5C32"/>
    <w:rsid w:val="002F6D30"/>
    <w:rsid w:val="003041A7"/>
    <w:rsid w:val="00311B18"/>
    <w:rsid w:val="003153E1"/>
    <w:rsid w:val="0032774D"/>
    <w:rsid w:val="003319CC"/>
    <w:rsid w:val="00343C51"/>
    <w:rsid w:val="003512F7"/>
    <w:rsid w:val="0035362F"/>
    <w:rsid w:val="00356531"/>
    <w:rsid w:val="00366678"/>
    <w:rsid w:val="00371A78"/>
    <w:rsid w:val="00371E05"/>
    <w:rsid w:val="00377B5D"/>
    <w:rsid w:val="0038502F"/>
    <w:rsid w:val="00385324"/>
    <w:rsid w:val="00390A0A"/>
    <w:rsid w:val="0039649B"/>
    <w:rsid w:val="003A0AED"/>
    <w:rsid w:val="003A2280"/>
    <w:rsid w:val="003A4C0E"/>
    <w:rsid w:val="003B4CDA"/>
    <w:rsid w:val="003B74E9"/>
    <w:rsid w:val="003C2DBC"/>
    <w:rsid w:val="003D02F5"/>
    <w:rsid w:val="003D1B39"/>
    <w:rsid w:val="003D2B0C"/>
    <w:rsid w:val="003D35F0"/>
    <w:rsid w:val="003E0D69"/>
    <w:rsid w:val="003E163C"/>
    <w:rsid w:val="003E3D17"/>
    <w:rsid w:val="003E77C3"/>
    <w:rsid w:val="003E7942"/>
    <w:rsid w:val="003F71BE"/>
    <w:rsid w:val="0040158C"/>
    <w:rsid w:val="004102E6"/>
    <w:rsid w:val="00410A97"/>
    <w:rsid w:val="00410D13"/>
    <w:rsid w:val="00423354"/>
    <w:rsid w:val="00433518"/>
    <w:rsid w:val="00445505"/>
    <w:rsid w:val="004473C6"/>
    <w:rsid w:val="00453D2D"/>
    <w:rsid w:val="0045506E"/>
    <w:rsid w:val="00467D8F"/>
    <w:rsid w:val="0047600A"/>
    <w:rsid w:val="0048422D"/>
    <w:rsid w:val="00492643"/>
    <w:rsid w:val="004A01E3"/>
    <w:rsid w:val="004A0F70"/>
    <w:rsid w:val="004A2A49"/>
    <w:rsid w:val="004A6A94"/>
    <w:rsid w:val="004B2060"/>
    <w:rsid w:val="004B5CF7"/>
    <w:rsid w:val="004D29D8"/>
    <w:rsid w:val="004D3E19"/>
    <w:rsid w:val="004E2174"/>
    <w:rsid w:val="004E405F"/>
    <w:rsid w:val="004E560E"/>
    <w:rsid w:val="004F0EDC"/>
    <w:rsid w:val="004F2EC4"/>
    <w:rsid w:val="005127A7"/>
    <w:rsid w:val="00514C3C"/>
    <w:rsid w:val="0051532E"/>
    <w:rsid w:val="00526461"/>
    <w:rsid w:val="00532C0E"/>
    <w:rsid w:val="0054084A"/>
    <w:rsid w:val="0054254D"/>
    <w:rsid w:val="00550AD8"/>
    <w:rsid w:val="00552C34"/>
    <w:rsid w:val="00562499"/>
    <w:rsid w:val="00564786"/>
    <w:rsid w:val="00564BC5"/>
    <w:rsid w:val="00570483"/>
    <w:rsid w:val="005756C6"/>
    <w:rsid w:val="00576089"/>
    <w:rsid w:val="0057750C"/>
    <w:rsid w:val="00577514"/>
    <w:rsid w:val="00581107"/>
    <w:rsid w:val="00582163"/>
    <w:rsid w:val="005948C5"/>
    <w:rsid w:val="0059619E"/>
    <w:rsid w:val="00597ED1"/>
    <w:rsid w:val="005A784E"/>
    <w:rsid w:val="005B2083"/>
    <w:rsid w:val="005C0173"/>
    <w:rsid w:val="005C09D9"/>
    <w:rsid w:val="005C3E7A"/>
    <w:rsid w:val="005C4CA3"/>
    <w:rsid w:val="005C6974"/>
    <w:rsid w:val="005D357E"/>
    <w:rsid w:val="005E37D6"/>
    <w:rsid w:val="005F401B"/>
    <w:rsid w:val="00600AD7"/>
    <w:rsid w:val="00603F5E"/>
    <w:rsid w:val="0060424B"/>
    <w:rsid w:val="0060637A"/>
    <w:rsid w:val="00607BDB"/>
    <w:rsid w:val="00610D64"/>
    <w:rsid w:val="00613324"/>
    <w:rsid w:val="00621317"/>
    <w:rsid w:val="006219A6"/>
    <w:rsid w:val="00623567"/>
    <w:rsid w:val="00627ABC"/>
    <w:rsid w:val="00630619"/>
    <w:rsid w:val="00635297"/>
    <w:rsid w:val="00641452"/>
    <w:rsid w:val="0064278F"/>
    <w:rsid w:val="00644FE6"/>
    <w:rsid w:val="006450EB"/>
    <w:rsid w:val="00645FB0"/>
    <w:rsid w:val="006461A5"/>
    <w:rsid w:val="00650597"/>
    <w:rsid w:val="00650EA5"/>
    <w:rsid w:val="006552A5"/>
    <w:rsid w:val="00663D1E"/>
    <w:rsid w:val="00667A2A"/>
    <w:rsid w:val="00671ABF"/>
    <w:rsid w:val="0067384D"/>
    <w:rsid w:val="00673B2E"/>
    <w:rsid w:val="006847BB"/>
    <w:rsid w:val="0068584B"/>
    <w:rsid w:val="00687B7F"/>
    <w:rsid w:val="00697D17"/>
    <w:rsid w:val="00697F20"/>
    <w:rsid w:val="006A556D"/>
    <w:rsid w:val="006B4D14"/>
    <w:rsid w:val="006B55C6"/>
    <w:rsid w:val="006B6D1B"/>
    <w:rsid w:val="006B7364"/>
    <w:rsid w:val="006B7CD6"/>
    <w:rsid w:val="006C46CE"/>
    <w:rsid w:val="006C4765"/>
    <w:rsid w:val="006C68D6"/>
    <w:rsid w:val="006D02F5"/>
    <w:rsid w:val="006D5DCD"/>
    <w:rsid w:val="006D7D89"/>
    <w:rsid w:val="006E0075"/>
    <w:rsid w:val="006E027F"/>
    <w:rsid w:val="006E193C"/>
    <w:rsid w:val="006F1A2D"/>
    <w:rsid w:val="006F2984"/>
    <w:rsid w:val="006F35DE"/>
    <w:rsid w:val="00702D6E"/>
    <w:rsid w:val="00703D59"/>
    <w:rsid w:val="00711D42"/>
    <w:rsid w:val="0071283A"/>
    <w:rsid w:val="00716B67"/>
    <w:rsid w:val="007200B5"/>
    <w:rsid w:val="00720A5C"/>
    <w:rsid w:val="0072599A"/>
    <w:rsid w:val="00731093"/>
    <w:rsid w:val="00732827"/>
    <w:rsid w:val="0073364F"/>
    <w:rsid w:val="00735D34"/>
    <w:rsid w:val="00740F44"/>
    <w:rsid w:val="007410A6"/>
    <w:rsid w:val="0074130A"/>
    <w:rsid w:val="00741EB5"/>
    <w:rsid w:val="0074392A"/>
    <w:rsid w:val="00744C00"/>
    <w:rsid w:val="0074612C"/>
    <w:rsid w:val="0075173F"/>
    <w:rsid w:val="007538F9"/>
    <w:rsid w:val="00756654"/>
    <w:rsid w:val="00760492"/>
    <w:rsid w:val="007639A5"/>
    <w:rsid w:val="00764C1D"/>
    <w:rsid w:val="007711A8"/>
    <w:rsid w:val="0077213B"/>
    <w:rsid w:val="0077435F"/>
    <w:rsid w:val="00774B13"/>
    <w:rsid w:val="00775F1C"/>
    <w:rsid w:val="00777FB0"/>
    <w:rsid w:val="00780F09"/>
    <w:rsid w:val="00791C72"/>
    <w:rsid w:val="00793A21"/>
    <w:rsid w:val="007A2999"/>
    <w:rsid w:val="007A7CF0"/>
    <w:rsid w:val="007B040F"/>
    <w:rsid w:val="007B0A45"/>
    <w:rsid w:val="007B3875"/>
    <w:rsid w:val="007C21EA"/>
    <w:rsid w:val="007C2FD5"/>
    <w:rsid w:val="007C75D0"/>
    <w:rsid w:val="007D3BCD"/>
    <w:rsid w:val="007D4217"/>
    <w:rsid w:val="007D4AC7"/>
    <w:rsid w:val="007D54FB"/>
    <w:rsid w:val="007D5CB9"/>
    <w:rsid w:val="007D6CA0"/>
    <w:rsid w:val="007E0250"/>
    <w:rsid w:val="007E432A"/>
    <w:rsid w:val="007F03EF"/>
    <w:rsid w:val="007F0A79"/>
    <w:rsid w:val="007F24DE"/>
    <w:rsid w:val="0080175A"/>
    <w:rsid w:val="00804096"/>
    <w:rsid w:val="008121E4"/>
    <w:rsid w:val="00817C7F"/>
    <w:rsid w:val="008206C3"/>
    <w:rsid w:val="00823344"/>
    <w:rsid w:val="00823B7D"/>
    <w:rsid w:val="00824A84"/>
    <w:rsid w:val="00833222"/>
    <w:rsid w:val="00837E82"/>
    <w:rsid w:val="00843CC6"/>
    <w:rsid w:val="00846920"/>
    <w:rsid w:val="0084732C"/>
    <w:rsid w:val="0085046E"/>
    <w:rsid w:val="00853BD1"/>
    <w:rsid w:val="00855187"/>
    <w:rsid w:val="008554B9"/>
    <w:rsid w:val="008554F2"/>
    <w:rsid w:val="0085646A"/>
    <w:rsid w:val="00857FEB"/>
    <w:rsid w:val="00862BA0"/>
    <w:rsid w:val="00863386"/>
    <w:rsid w:val="00865203"/>
    <w:rsid w:val="00867697"/>
    <w:rsid w:val="008747F7"/>
    <w:rsid w:val="008818B4"/>
    <w:rsid w:val="00883594"/>
    <w:rsid w:val="00883924"/>
    <w:rsid w:val="00884A86"/>
    <w:rsid w:val="00896D3D"/>
    <w:rsid w:val="008A0B77"/>
    <w:rsid w:val="008A33D7"/>
    <w:rsid w:val="008A460F"/>
    <w:rsid w:val="008A7970"/>
    <w:rsid w:val="008B3E09"/>
    <w:rsid w:val="008B4B81"/>
    <w:rsid w:val="008B6A77"/>
    <w:rsid w:val="008C7468"/>
    <w:rsid w:val="008D0424"/>
    <w:rsid w:val="008D2240"/>
    <w:rsid w:val="008D30E1"/>
    <w:rsid w:val="008E22F1"/>
    <w:rsid w:val="008E5D05"/>
    <w:rsid w:val="008F1FB5"/>
    <w:rsid w:val="008F355E"/>
    <w:rsid w:val="008F38FD"/>
    <w:rsid w:val="008F4CCA"/>
    <w:rsid w:val="008F5D7C"/>
    <w:rsid w:val="008F7EA4"/>
    <w:rsid w:val="0090122E"/>
    <w:rsid w:val="00901EE8"/>
    <w:rsid w:val="0090212D"/>
    <w:rsid w:val="009022E1"/>
    <w:rsid w:val="00902D5D"/>
    <w:rsid w:val="00902E1F"/>
    <w:rsid w:val="00904973"/>
    <w:rsid w:val="00905909"/>
    <w:rsid w:val="00907750"/>
    <w:rsid w:val="00913C3C"/>
    <w:rsid w:val="00920BDA"/>
    <w:rsid w:val="00925934"/>
    <w:rsid w:val="0093059C"/>
    <w:rsid w:val="00931D29"/>
    <w:rsid w:val="00934EB6"/>
    <w:rsid w:val="009365F4"/>
    <w:rsid w:val="0095515E"/>
    <w:rsid w:val="00961232"/>
    <w:rsid w:val="00961F50"/>
    <w:rsid w:val="009831F7"/>
    <w:rsid w:val="0098497E"/>
    <w:rsid w:val="0098504D"/>
    <w:rsid w:val="009924BC"/>
    <w:rsid w:val="00997C40"/>
    <w:rsid w:val="009A0FF7"/>
    <w:rsid w:val="009B5782"/>
    <w:rsid w:val="009B7C51"/>
    <w:rsid w:val="009C1ADF"/>
    <w:rsid w:val="009C6669"/>
    <w:rsid w:val="009E0082"/>
    <w:rsid w:val="009E06A1"/>
    <w:rsid w:val="009E3061"/>
    <w:rsid w:val="009F1B0A"/>
    <w:rsid w:val="00A01DFE"/>
    <w:rsid w:val="00A11F67"/>
    <w:rsid w:val="00A1369C"/>
    <w:rsid w:val="00A14364"/>
    <w:rsid w:val="00A150AD"/>
    <w:rsid w:val="00A21F42"/>
    <w:rsid w:val="00A24996"/>
    <w:rsid w:val="00A33655"/>
    <w:rsid w:val="00A34556"/>
    <w:rsid w:val="00A36994"/>
    <w:rsid w:val="00A37EA0"/>
    <w:rsid w:val="00A43480"/>
    <w:rsid w:val="00A444A3"/>
    <w:rsid w:val="00A50B43"/>
    <w:rsid w:val="00A54187"/>
    <w:rsid w:val="00A54DA7"/>
    <w:rsid w:val="00A550E5"/>
    <w:rsid w:val="00A55B90"/>
    <w:rsid w:val="00A63E86"/>
    <w:rsid w:val="00A6664B"/>
    <w:rsid w:val="00A672DA"/>
    <w:rsid w:val="00A6733F"/>
    <w:rsid w:val="00A70CF7"/>
    <w:rsid w:val="00A71457"/>
    <w:rsid w:val="00A76ED0"/>
    <w:rsid w:val="00A91A82"/>
    <w:rsid w:val="00A93CC8"/>
    <w:rsid w:val="00A96C6B"/>
    <w:rsid w:val="00AA35C8"/>
    <w:rsid w:val="00AA4443"/>
    <w:rsid w:val="00AA5E7A"/>
    <w:rsid w:val="00AA6737"/>
    <w:rsid w:val="00AA6881"/>
    <w:rsid w:val="00AB1313"/>
    <w:rsid w:val="00AB3494"/>
    <w:rsid w:val="00AB432D"/>
    <w:rsid w:val="00AB459F"/>
    <w:rsid w:val="00AC0BAD"/>
    <w:rsid w:val="00AC3E9F"/>
    <w:rsid w:val="00AC3FF7"/>
    <w:rsid w:val="00AD15E8"/>
    <w:rsid w:val="00AD19ED"/>
    <w:rsid w:val="00AD69F3"/>
    <w:rsid w:val="00AE0D3E"/>
    <w:rsid w:val="00AE3E44"/>
    <w:rsid w:val="00AE7659"/>
    <w:rsid w:val="00AF4380"/>
    <w:rsid w:val="00AF459A"/>
    <w:rsid w:val="00AF6977"/>
    <w:rsid w:val="00AF77BE"/>
    <w:rsid w:val="00B00923"/>
    <w:rsid w:val="00B04151"/>
    <w:rsid w:val="00B1129C"/>
    <w:rsid w:val="00B12CC7"/>
    <w:rsid w:val="00B14819"/>
    <w:rsid w:val="00B17E1B"/>
    <w:rsid w:val="00B2057F"/>
    <w:rsid w:val="00B2739B"/>
    <w:rsid w:val="00B500B7"/>
    <w:rsid w:val="00B510CD"/>
    <w:rsid w:val="00B61C0D"/>
    <w:rsid w:val="00B632E3"/>
    <w:rsid w:val="00B776DC"/>
    <w:rsid w:val="00B85B1C"/>
    <w:rsid w:val="00B91DA9"/>
    <w:rsid w:val="00B92F2C"/>
    <w:rsid w:val="00B94C39"/>
    <w:rsid w:val="00BA0020"/>
    <w:rsid w:val="00BA341F"/>
    <w:rsid w:val="00BA49D9"/>
    <w:rsid w:val="00BB14A0"/>
    <w:rsid w:val="00BB32A8"/>
    <w:rsid w:val="00BC28DF"/>
    <w:rsid w:val="00BC7315"/>
    <w:rsid w:val="00BD1AA3"/>
    <w:rsid w:val="00BD2B9D"/>
    <w:rsid w:val="00BD5D75"/>
    <w:rsid w:val="00BE0942"/>
    <w:rsid w:val="00BE538B"/>
    <w:rsid w:val="00BE606C"/>
    <w:rsid w:val="00BF3451"/>
    <w:rsid w:val="00BF4F5F"/>
    <w:rsid w:val="00BF5F1F"/>
    <w:rsid w:val="00C00FBE"/>
    <w:rsid w:val="00C04F06"/>
    <w:rsid w:val="00C10E8F"/>
    <w:rsid w:val="00C2002D"/>
    <w:rsid w:val="00C21703"/>
    <w:rsid w:val="00C222BB"/>
    <w:rsid w:val="00C22703"/>
    <w:rsid w:val="00C22D47"/>
    <w:rsid w:val="00C2673C"/>
    <w:rsid w:val="00C42E27"/>
    <w:rsid w:val="00C54850"/>
    <w:rsid w:val="00C60D52"/>
    <w:rsid w:val="00C7092A"/>
    <w:rsid w:val="00C73A8E"/>
    <w:rsid w:val="00C76852"/>
    <w:rsid w:val="00C76A9E"/>
    <w:rsid w:val="00C834B2"/>
    <w:rsid w:val="00C83EDD"/>
    <w:rsid w:val="00C931FC"/>
    <w:rsid w:val="00C95084"/>
    <w:rsid w:val="00C96D6E"/>
    <w:rsid w:val="00CA010C"/>
    <w:rsid w:val="00CA1CFB"/>
    <w:rsid w:val="00CA4AF2"/>
    <w:rsid w:val="00CA5795"/>
    <w:rsid w:val="00CB5710"/>
    <w:rsid w:val="00CC1B52"/>
    <w:rsid w:val="00CC368E"/>
    <w:rsid w:val="00CC4BB9"/>
    <w:rsid w:val="00CC54A1"/>
    <w:rsid w:val="00CC5D3E"/>
    <w:rsid w:val="00CD6053"/>
    <w:rsid w:val="00CE409E"/>
    <w:rsid w:val="00CE6024"/>
    <w:rsid w:val="00CF5DA8"/>
    <w:rsid w:val="00CF7E95"/>
    <w:rsid w:val="00D003FF"/>
    <w:rsid w:val="00D0089D"/>
    <w:rsid w:val="00D061AB"/>
    <w:rsid w:val="00D07719"/>
    <w:rsid w:val="00D077A2"/>
    <w:rsid w:val="00D1179F"/>
    <w:rsid w:val="00D21A18"/>
    <w:rsid w:val="00D22EA6"/>
    <w:rsid w:val="00D2384E"/>
    <w:rsid w:val="00D30909"/>
    <w:rsid w:val="00D326F8"/>
    <w:rsid w:val="00D342A2"/>
    <w:rsid w:val="00D439E4"/>
    <w:rsid w:val="00D44E1F"/>
    <w:rsid w:val="00D57028"/>
    <w:rsid w:val="00D65240"/>
    <w:rsid w:val="00D73DB5"/>
    <w:rsid w:val="00D7483D"/>
    <w:rsid w:val="00D8212C"/>
    <w:rsid w:val="00D91DB6"/>
    <w:rsid w:val="00D92232"/>
    <w:rsid w:val="00D92725"/>
    <w:rsid w:val="00D929EE"/>
    <w:rsid w:val="00D942EB"/>
    <w:rsid w:val="00DA32D4"/>
    <w:rsid w:val="00DA732D"/>
    <w:rsid w:val="00DA741E"/>
    <w:rsid w:val="00DB4D56"/>
    <w:rsid w:val="00DB7AF3"/>
    <w:rsid w:val="00DC103C"/>
    <w:rsid w:val="00DC37C7"/>
    <w:rsid w:val="00DC7434"/>
    <w:rsid w:val="00DC79BF"/>
    <w:rsid w:val="00DD27D8"/>
    <w:rsid w:val="00DD31F5"/>
    <w:rsid w:val="00DD5974"/>
    <w:rsid w:val="00DE13C9"/>
    <w:rsid w:val="00DE26FF"/>
    <w:rsid w:val="00DE2A9A"/>
    <w:rsid w:val="00DF2340"/>
    <w:rsid w:val="00DF48F1"/>
    <w:rsid w:val="00DF49FC"/>
    <w:rsid w:val="00DF6683"/>
    <w:rsid w:val="00DF698B"/>
    <w:rsid w:val="00E04AE4"/>
    <w:rsid w:val="00E053E5"/>
    <w:rsid w:val="00E059B6"/>
    <w:rsid w:val="00E05F9C"/>
    <w:rsid w:val="00E07CA7"/>
    <w:rsid w:val="00E11F39"/>
    <w:rsid w:val="00E131AE"/>
    <w:rsid w:val="00E1348C"/>
    <w:rsid w:val="00E20ADB"/>
    <w:rsid w:val="00E2575D"/>
    <w:rsid w:val="00E25C88"/>
    <w:rsid w:val="00E27FB8"/>
    <w:rsid w:val="00E30338"/>
    <w:rsid w:val="00E52A2C"/>
    <w:rsid w:val="00E52FEE"/>
    <w:rsid w:val="00E57085"/>
    <w:rsid w:val="00E62748"/>
    <w:rsid w:val="00E6341D"/>
    <w:rsid w:val="00E64667"/>
    <w:rsid w:val="00E66830"/>
    <w:rsid w:val="00E812D3"/>
    <w:rsid w:val="00E8190B"/>
    <w:rsid w:val="00E8257F"/>
    <w:rsid w:val="00EA734D"/>
    <w:rsid w:val="00EB44AC"/>
    <w:rsid w:val="00EB4EEA"/>
    <w:rsid w:val="00EC01BD"/>
    <w:rsid w:val="00EC0273"/>
    <w:rsid w:val="00EC4BF9"/>
    <w:rsid w:val="00ED4891"/>
    <w:rsid w:val="00ED4D77"/>
    <w:rsid w:val="00EE07F4"/>
    <w:rsid w:val="00EE140C"/>
    <w:rsid w:val="00EF0DF2"/>
    <w:rsid w:val="00F06793"/>
    <w:rsid w:val="00F12EB7"/>
    <w:rsid w:val="00F17E68"/>
    <w:rsid w:val="00F223CD"/>
    <w:rsid w:val="00F236FF"/>
    <w:rsid w:val="00F3342D"/>
    <w:rsid w:val="00F335CA"/>
    <w:rsid w:val="00F41B71"/>
    <w:rsid w:val="00F4447B"/>
    <w:rsid w:val="00F507AE"/>
    <w:rsid w:val="00F50968"/>
    <w:rsid w:val="00F567D0"/>
    <w:rsid w:val="00F6092E"/>
    <w:rsid w:val="00F61558"/>
    <w:rsid w:val="00F6183E"/>
    <w:rsid w:val="00F64C3A"/>
    <w:rsid w:val="00F7314E"/>
    <w:rsid w:val="00F76C0B"/>
    <w:rsid w:val="00F81206"/>
    <w:rsid w:val="00F8206F"/>
    <w:rsid w:val="00F84D78"/>
    <w:rsid w:val="00F969A1"/>
    <w:rsid w:val="00F969B2"/>
    <w:rsid w:val="00F97752"/>
    <w:rsid w:val="00FA11B0"/>
    <w:rsid w:val="00FA1446"/>
    <w:rsid w:val="00FA3145"/>
    <w:rsid w:val="00FA516A"/>
    <w:rsid w:val="00FA57AD"/>
    <w:rsid w:val="00FA7796"/>
    <w:rsid w:val="00FB1EA8"/>
    <w:rsid w:val="00FB2A06"/>
    <w:rsid w:val="00FC1BFA"/>
    <w:rsid w:val="00FC56C6"/>
    <w:rsid w:val="00FE3101"/>
    <w:rsid w:val="00FE363A"/>
    <w:rsid w:val="00FE723C"/>
    <w:rsid w:val="00FF04A2"/>
    <w:rsid w:val="00FF13D8"/>
    <w:rsid w:val="00FF35DA"/>
    <w:rsid w:val="00FF6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CB5710"/>
    <w:pPr>
      <w:ind w:left="720"/>
      <w:contextualSpacing/>
    </w:pPr>
  </w:style>
  <w:style w:type="paragraph" w:styleId="Voetnoottekst">
    <w:name w:val="footnote text"/>
    <w:basedOn w:val="Standaard"/>
    <w:link w:val="VoetnoottekstChar"/>
    <w:semiHidden/>
    <w:unhideWhenUsed/>
    <w:rsid w:val="000E69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E69BF"/>
    <w:rPr>
      <w:rFonts w:ascii="Verdana" w:hAnsi="Verdana"/>
      <w:color w:val="000000"/>
    </w:rPr>
  </w:style>
  <w:style w:type="character" w:styleId="Voetnootmarkering">
    <w:name w:val="footnote reference"/>
    <w:basedOn w:val="Standaardalinea-lettertype"/>
    <w:semiHidden/>
    <w:unhideWhenUsed/>
    <w:rsid w:val="000E69BF"/>
    <w:rPr>
      <w:vertAlign w:val="superscript"/>
    </w:rPr>
  </w:style>
  <w:style w:type="character" w:styleId="Verwijzingopmerking">
    <w:name w:val="annotation reference"/>
    <w:basedOn w:val="Standaardalinea-lettertype"/>
    <w:uiPriority w:val="99"/>
    <w:semiHidden/>
    <w:unhideWhenUsed/>
    <w:rsid w:val="00BE0942"/>
    <w:rPr>
      <w:sz w:val="16"/>
      <w:szCs w:val="16"/>
    </w:rPr>
  </w:style>
  <w:style w:type="paragraph" w:styleId="Tekstopmerking">
    <w:name w:val="annotation text"/>
    <w:basedOn w:val="Standaard"/>
    <w:link w:val="TekstopmerkingChar"/>
    <w:uiPriority w:val="99"/>
    <w:unhideWhenUsed/>
    <w:rsid w:val="00BE0942"/>
    <w:pPr>
      <w:spacing w:line="240" w:lineRule="auto"/>
    </w:pPr>
    <w:rPr>
      <w:sz w:val="20"/>
      <w:szCs w:val="20"/>
    </w:rPr>
  </w:style>
  <w:style w:type="character" w:customStyle="1" w:styleId="TekstopmerkingChar">
    <w:name w:val="Tekst opmerking Char"/>
    <w:basedOn w:val="Standaardalinea-lettertype"/>
    <w:link w:val="Tekstopmerking"/>
    <w:uiPriority w:val="99"/>
    <w:rsid w:val="00BE0942"/>
    <w:rPr>
      <w:rFonts w:ascii="Verdana" w:hAnsi="Verdana"/>
      <w:color w:val="000000"/>
    </w:rPr>
  </w:style>
  <w:style w:type="paragraph" w:customStyle="1" w:styleId="TableParagraph">
    <w:name w:val="Table Paragraph"/>
    <w:basedOn w:val="Standaard"/>
    <w:uiPriority w:val="1"/>
    <w:qFormat/>
    <w:rsid w:val="00BB32A8"/>
    <w:pPr>
      <w:widowControl w:val="0"/>
      <w:autoSpaceDE w:val="0"/>
      <w:spacing w:line="240" w:lineRule="auto"/>
      <w:ind w:left="107"/>
      <w:textAlignment w:val="auto"/>
    </w:pPr>
    <w:rPr>
      <w:rFonts w:eastAsia="Verdana" w:cs="Verdana"/>
      <w:color w:val="auto"/>
      <w:sz w:val="22"/>
      <w:szCs w:val="22"/>
      <w:lang w:eastAsia="en-US"/>
    </w:rPr>
  </w:style>
  <w:style w:type="paragraph" w:customStyle="1" w:styleId="Default">
    <w:name w:val="Default"/>
    <w:rsid w:val="00BB32A8"/>
    <w:pPr>
      <w:autoSpaceDE w:val="0"/>
      <w:adjustRightInd w:val="0"/>
      <w:textAlignment w:val="auto"/>
    </w:pPr>
    <w:rPr>
      <w:rFonts w:ascii="EBBFE I+ Univers" w:eastAsiaTheme="minorHAnsi" w:hAnsi="EBBFE I+ Univers" w:cs="EBBFE I+ Univers"/>
      <w:color w:val="000000"/>
      <w:sz w:val="24"/>
      <w:szCs w:val="24"/>
      <w:lang w:eastAsia="en-US"/>
      <w14:ligatures w14:val="standardContextual"/>
    </w:rPr>
  </w:style>
  <w:style w:type="paragraph" w:styleId="Revisie">
    <w:name w:val="Revision"/>
    <w:hidden/>
    <w:uiPriority w:val="99"/>
    <w:semiHidden/>
    <w:rsid w:val="00BB32A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97F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7F2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D0FED"/>
    <w:rPr>
      <w:b/>
      <w:bCs/>
    </w:rPr>
  </w:style>
  <w:style w:type="character" w:customStyle="1" w:styleId="OnderwerpvanopmerkingChar">
    <w:name w:val="Onderwerp van opmerking Char"/>
    <w:basedOn w:val="TekstopmerkingChar"/>
    <w:link w:val="Onderwerpvanopmerking"/>
    <w:uiPriority w:val="99"/>
    <w:semiHidden/>
    <w:rsid w:val="002D0FED"/>
    <w:rPr>
      <w:rFonts w:ascii="Verdana" w:hAnsi="Verdana"/>
      <w:b/>
      <w:bCs/>
      <w:color w:val="000000"/>
    </w:rPr>
  </w:style>
  <w:style w:type="character" w:styleId="Onopgelostemelding">
    <w:name w:val="Unresolved Mention"/>
    <w:basedOn w:val="Standaardalinea-lettertype"/>
    <w:uiPriority w:val="99"/>
    <w:semiHidden/>
    <w:unhideWhenUsed/>
    <w:rsid w:val="00CC5D3E"/>
    <w:rPr>
      <w:color w:val="605E5C"/>
      <w:shd w:val="clear" w:color="auto" w:fill="E1DFDD"/>
    </w:rPr>
  </w:style>
  <w:style w:type="paragraph" w:customStyle="1" w:styleId="witregel1">
    <w:name w:val="witregel1"/>
    <w:basedOn w:val="Standaard"/>
    <w:rsid w:val="00A3699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A3699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A3699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afzendgegevens-bold">
    <w:name w:val="afzendgegevens-bold"/>
    <w:basedOn w:val="afzendgegevens"/>
    <w:rsid w:val="00A36994"/>
    <w:rPr>
      <w:b/>
    </w:rPr>
  </w:style>
  <w:style w:type="paragraph" w:customStyle="1" w:styleId="adres">
    <w:name w:val="adres"/>
    <w:basedOn w:val="Standaard"/>
    <w:rsid w:val="00A36994"/>
    <w:pPr>
      <w:tabs>
        <w:tab w:val="left" w:pos="227"/>
        <w:tab w:val="left" w:pos="454"/>
        <w:tab w:val="left" w:pos="680"/>
      </w:tabs>
      <w:autoSpaceDE w:val="0"/>
      <w:adjustRightInd w:val="0"/>
      <w:textAlignment w:val="auto"/>
    </w:pPr>
    <w:rPr>
      <w:rFonts w:eastAsia="Times New Roman" w:cs="Times New Roman"/>
      <w:noProof/>
      <w:color w:val="auto"/>
    </w:rPr>
  </w:style>
  <w:style w:type="character" w:styleId="GevolgdeHyperlink">
    <w:name w:val="FollowedHyperlink"/>
    <w:basedOn w:val="Standaardalinea-lettertype"/>
    <w:uiPriority w:val="99"/>
    <w:semiHidden/>
    <w:unhideWhenUsed/>
    <w:rsid w:val="00AA35C8"/>
    <w:rPr>
      <w:color w:val="96607D" w:themeColor="followedHyperlink"/>
      <w:u w:val="single"/>
    </w:rPr>
  </w:style>
  <w:style w:type="paragraph" w:customStyle="1" w:styleId="broodtekst">
    <w:name w:val="broodtekst"/>
    <w:basedOn w:val="Standaard"/>
    <w:qFormat/>
    <w:rsid w:val="00453D2D"/>
    <w:pPr>
      <w:autoSpaceDE w:val="0"/>
      <w:adjustRightInd w:val="0"/>
      <w:textAlignment w:val="auto"/>
    </w:pPr>
    <w:rPr>
      <w:rFonts w:eastAsia="Times New Roman" w:cs="Times New Roman"/>
      <w:color w:val="auto"/>
    </w:rPr>
  </w:style>
  <w:style w:type="paragraph" w:customStyle="1" w:styleId="broodtekst-bold">
    <w:name w:val="broodtekst-bold"/>
    <w:basedOn w:val="broodtekst"/>
    <w:uiPriority w:val="1"/>
    <w:qFormat/>
    <w:rsid w:val="00453D2D"/>
    <w:rPr>
      <w:b/>
    </w:rPr>
  </w:style>
  <w:style w:type="paragraph" w:customStyle="1" w:styleId="opsomming-bullet">
    <w:name w:val="opsomming-bullet"/>
    <w:basedOn w:val="broodtekst"/>
    <w:rsid w:val="007D4217"/>
    <w:pPr>
      <w:tabs>
        <w:tab w:val="left" w:pos="227"/>
        <w:tab w:val="left" w:pos="454"/>
        <w:tab w:val="left" w:pos="680"/>
        <w:tab w:val="left" w:pos="907"/>
        <w:tab w:val="left" w:pos="1134"/>
        <w:tab w:val="left" w:pos="1361"/>
        <w:tab w:val="left" w:pos="1588"/>
        <w:tab w:val="left" w:pos="1814"/>
        <w:tab w:val="left" w:pos="2041"/>
      </w:tabs>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9757">
      <w:bodyDiv w:val="1"/>
      <w:marLeft w:val="0"/>
      <w:marRight w:val="0"/>
      <w:marTop w:val="0"/>
      <w:marBottom w:val="0"/>
      <w:divBdr>
        <w:top w:val="none" w:sz="0" w:space="0" w:color="auto"/>
        <w:left w:val="none" w:sz="0" w:space="0" w:color="auto"/>
        <w:bottom w:val="none" w:sz="0" w:space="0" w:color="auto"/>
        <w:right w:val="none" w:sz="0" w:space="0" w:color="auto"/>
      </w:divBdr>
      <w:divsChild>
        <w:div w:id="1211452538">
          <w:marLeft w:val="0"/>
          <w:marRight w:val="0"/>
          <w:marTop w:val="0"/>
          <w:marBottom w:val="0"/>
          <w:divBdr>
            <w:top w:val="none" w:sz="0" w:space="0" w:color="auto"/>
            <w:left w:val="none" w:sz="0" w:space="0" w:color="auto"/>
            <w:bottom w:val="none" w:sz="0" w:space="0" w:color="auto"/>
            <w:right w:val="none" w:sz="0" w:space="0" w:color="auto"/>
          </w:divBdr>
        </w:div>
      </w:divsChild>
    </w:div>
    <w:div w:id="459302837">
      <w:bodyDiv w:val="1"/>
      <w:marLeft w:val="0"/>
      <w:marRight w:val="0"/>
      <w:marTop w:val="0"/>
      <w:marBottom w:val="0"/>
      <w:divBdr>
        <w:top w:val="none" w:sz="0" w:space="0" w:color="auto"/>
        <w:left w:val="none" w:sz="0" w:space="0" w:color="auto"/>
        <w:bottom w:val="none" w:sz="0" w:space="0" w:color="auto"/>
        <w:right w:val="none" w:sz="0" w:space="0" w:color="auto"/>
      </w:divBdr>
    </w:div>
    <w:div w:id="493180362">
      <w:bodyDiv w:val="1"/>
      <w:marLeft w:val="0"/>
      <w:marRight w:val="0"/>
      <w:marTop w:val="0"/>
      <w:marBottom w:val="0"/>
      <w:divBdr>
        <w:top w:val="none" w:sz="0" w:space="0" w:color="auto"/>
        <w:left w:val="none" w:sz="0" w:space="0" w:color="auto"/>
        <w:bottom w:val="none" w:sz="0" w:space="0" w:color="auto"/>
        <w:right w:val="none" w:sz="0" w:space="0" w:color="auto"/>
      </w:divBdr>
    </w:div>
    <w:div w:id="527065772">
      <w:bodyDiv w:val="1"/>
      <w:marLeft w:val="0"/>
      <w:marRight w:val="0"/>
      <w:marTop w:val="0"/>
      <w:marBottom w:val="0"/>
      <w:divBdr>
        <w:top w:val="none" w:sz="0" w:space="0" w:color="auto"/>
        <w:left w:val="none" w:sz="0" w:space="0" w:color="auto"/>
        <w:bottom w:val="none" w:sz="0" w:space="0" w:color="auto"/>
        <w:right w:val="none" w:sz="0" w:space="0" w:color="auto"/>
      </w:divBdr>
    </w:div>
    <w:div w:id="579872394">
      <w:bodyDiv w:val="1"/>
      <w:marLeft w:val="0"/>
      <w:marRight w:val="0"/>
      <w:marTop w:val="0"/>
      <w:marBottom w:val="0"/>
      <w:divBdr>
        <w:top w:val="none" w:sz="0" w:space="0" w:color="auto"/>
        <w:left w:val="none" w:sz="0" w:space="0" w:color="auto"/>
        <w:bottom w:val="none" w:sz="0" w:space="0" w:color="auto"/>
        <w:right w:val="none" w:sz="0" w:space="0" w:color="auto"/>
      </w:divBdr>
    </w:div>
    <w:div w:id="644286558">
      <w:bodyDiv w:val="1"/>
      <w:marLeft w:val="0"/>
      <w:marRight w:val="0"/>
      <w:marTop w:val="0"/>
      <w:marBottom w:val="0"/>
      <w:divBdr>
        <w:top w:val="none" w:sz="0" w:space="0" w:color="auto"/>
        <w:left w:val="none" w:sz="0" w:space="0" w:color="auto"/>
        <w:bottom w:val="none" w:sz="0" w:space="0" w:color="auto"/>
        <w:right w:val="none" w:sz="0" w:space="0" w:color="auto"/>
      </w:divBdr>
    </w:div>
    <w:div w:id="657660471">
      <w:bodyDiv w:val="1"/>
      <w:marLeft w:val="0"/>
      <w:marRight w:val="0"/>
      <w:marTop w:val="0"/>
      <w:marBottom w:val="0"/>
      <w:divBdr>
        <w:top w:val="none" w:sz="0" w:space="0" w:color="auto"/>
        <w:left w:val="none" w:sz="0" w:space="0" w:color="auto"/>
        <w:bottom w:val="none" w:sz="0" w:space="0" w:color="auto"/>
        <w:right w:val="none" w:sz="0" w:space="0" w:color="auto"/>
      </w:divBdr>
    </w:div>
    <w:div w:id="751321584">
      <w:bodyDiv w:val="1"/>
      <w:marLeft w:val="0"/>
      <w:marRight w:val="0"/>
      <w:marTop w:val="0"/>
      <w:marBottom w:val="0"/>
      <w:divBdr>
        <w:top w:val="none" w:sz="0" w:space="0" w:color="auto"/>
        <w:left w:val="none" w:sz="0" w:space="0" w:color="auto"/>
        <w:bottom w:val="none" w:sz="0" w:space="0" w:color="auto"/>
        <w:right w:val="none" w:sz="0" w:space="0" w:color="auto"/>
      </w:divBdr>
    </w:div>
    <w:div w:id="923488922">
      <w:bodyDiv w:val="1"/>
      <w:marLeft w:val="0"/>
      <w:marRight w:val="0"/>
      <w:marTop w:val="0"/>
      <w:marBottom w:val="0"/>
      <w:divBdr>
        <w:top w:val="none" w:sz="0" w:space="0" w:color="auto"/>
        <w:left w:val="none" w:sz="0" w:space="0" w:color="auto"/>
        <w:bottom w:val="none" w:sz="0" w:space="0" w:color="auto"/>
        <w:right w:val="none" w:sz="0" w:space="0" w:color="auto"/>
      </w:divBdr>
    </w:div>
    <w:div w:id="933782142">
      <w:bodyDiv w:val="1"/>
      <w:marLeft w:val="0"/>
      <w:marRight w:val="0"/>
      <w:marTop w:val="0"/>
      <w:marBottom w:val="0"/>
      <w:divBdr>
        <w:top w:val="none" w:sz="0" w:space="0" w:color="auto"/>
        <w:left w:val="none" w:sz="0" w:space="0" w:color="auto"/>
        <w:bottom w:val="none" w:sz="0" w:space="0" w:color="auto"/>
        <w:right w:val="none" w:sz="0" w:space="0" w:color="auto"/>
      </w:divBdr>
    </w:div>
    <w:div w:id="979728048">
      <w:bodyDiv w:val="1"/>
      <w:marLeft w:val="0"/>
      <w:marRight w:val="0"/>
      <w:marTop w:val="0"/>
      <w:marBottom w:val="0"/>
      <w:divBdr>
        <w:top w:val="none" w:sz="0" w:space="0" w:color="auto"/>
        <w:left w:val="none" w:sz="0" w:space="0" w:color="auto"/>
        <w:bottom w:val="none" w:sz="0" w:space="0" w:color="auto"/>
        <w:right w:val="none" w:sz="0" w:space="0" w:color="auto"/>
      </w:divBdr>
    </w:div>
    <w:div w:id="10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8894855">
          <w:marLeft w:val="0"/>
          <w:marRight w:val="0"/>
          <w:marTop w:val="0"/>
          <w:marBottom w:val="0"/>
          <w:divBdr>
            <w:top w:val="none" w:sz="0" w:space="0" w:color="auto"/>
            <w:left w:val="none" w:sz="0" w:space="0" w:color="auto"/>
            <w:bottom w:val="none" w:sz="0" w:space="0" w:color="auto"/>
            <w:right w:val="none" w:sz="0" w:space="0" w:color="auto"/>
          </w:divBdr>
        </w:div>
      </w:divsChild>
    </w:div>
    <w:div w:id="1364016026">
      <w:bodyDiv w:val="1"/>
      <w:marLeft w:val="0"/>
      <w:marRight w:val="0"/>
      <w:marTop w:val="0"/>
      <w:marBottom w:val="0"/>
      <w:divBdr>
        <w:top w:val="none" w:sz="0" w:space="0" w:color="auto"/>
        <w:left w:val="none" w:sz="0" w:space="0" w:color="auto"/>
        <w:bottom w:val="none" w:sz="0" w:space="0" w:color="auto"/>
        <w:right w:val="none" w:sz="0" w:space="0" w:color="auto"/>
      </w:divBdr>
    </w:div>
    <w:div w:id="1380276355">
      <w:bodyDiv w:val="1"/>
      <w:marLeft w:val="0"/>
      <w:marRight w:val="0"/>
      <w:marTop w:val="0"/>
      <w:marBottom w:val="0"/>
      <w:divBdr>
        <w:top w:val="none" w:sz="0" w:space="0" w:color="auto"/>
        <w:left w:val="none" w:sz="0" w:space="0" w:color="auto"/>
        <w:bottom w:val="none" w:sz="0" w:space="0" w:color="auto"/>
        <w:right w:val="none" w:sz="0" w:space="0" w:color="auto"/>
      </w:divBdr>
    </w:div>
    <w:div w:id="1526361877">
      <w:bodyDiv w:val="1"/>
      <w:marLeft w:val="0"/>
      <w:marRight w:val="0"/>
      <w:marTop w:val="0"/>
      <w:marBottom w:val="0"/>
      <w:divBdr>
        <w:top w:val="none" w:sz="0" w:space="0" w:color="auto"/>
        <w:left w:val="none" w:sz="0" w:space="0" w:color="auto"/>
        <w:bottom w:val="none" w:sz="0" w:space="0" w:color="auto"/>
        <w:right w:val="none" w:sz="0" w:space="0" w:color="auto"/>
      </w:divBdr>
    </w:div>
    <w:div w:id="1709066055">
      <w:bodyDiv w:val="1"/>
      <w:marLeft w:val="0"/>
      <w:marRight w:val="0"/>
      <w:marTop w:val="0"/>
      <w:marBottom w:val="0"/>
      <w:divBdr>
        <w:top w:val="none" w:sz="0" w:space="0" w:color="auto"/>
        <w:left w:val="none" w:sz="0" w:space="0" w:color="auto"/>
        <w:bottom w:val="none" w:sz="0" w:space="0" w:color="auto"/>
        <w:right w:val="none" w:sz="0" w:space="0" w:color="auto"/>
      </w:divBdr>
    </w:div>
    <w:div w:id="1722902412">
      <w:bodyDiv w:val="1"/>
      <w:marLeft w:val="0"/>
      <w:marRight w:val="0"/>
      <w:marTop w:val="0"/>
      <w:marBottom w:val="0"/>
      <w:divBdr>
        <w:top w:val="none" w:sz="0" w:space="0" w:color="auto"/>
        <w:left w:val="none" w:sz="0" w:space="0" w:color="auto"/>
        <w:bottom w:val="none" w:sz="0" w:space="0" w:color="auto"/>
        <w:right w:val="none" w:sz="0" w:space="0" w:color="auto"/>
      </w:divBdr>
      <w:divsChild>
        <w:div w:id="1467510157">
          <w:marLeft w:val="0"/>
          <w:marRight w:val="0"/>
          <w:marTop w:val="0"/>
          <w:marBottom w:val="0"/>
          <w:divBdr>
            <w:top w:val="none" w:sz="0" w:space="0" w:color="auto"/>
            <w:left w:val="none" w:sz="0" w:space="0" w:color="auto"/>
            <w:bottom w:val="none" w:sz="0" w:space="0" w:color="auto"/>
            <w:right w:val="none" w:sz="0" w:space="0" w:color="auto"/>
          </w:divBdr>
        </w:div>
      </w:divsChild>
    </w:div>
    <w:div w:id="1779645226">
      <w:bodyDiv w:val="1"/>
      <w:marLeft w:val="0"/>
      <w:marRight w:val="0"/>
      <w:marTop w:val="0"/>
      <w:marBottom w:val="0"/>
      <w:divBdr>
        <w:top w:val="none" w:sz="0" w:space="0" w:color="auto"/>
        <w:left w:val="none" w:sz="0" w:space="0" w:color="auto"/>
        <w:bottom w:val="none" w:sz="0" w:space="0" w:color="auto"/>
        <w:right w:val="none" w:sz="0" w:space="0" w:color="auto"/>
      </w:divBdr>
    </w:div>
    <w:div w:id="1918199890">
      <w:bodyDiv w:val="1"/>
      <w:marLeft w:val="0"/>
      <w:marRight w:val="0"/>
      <w:marTop w:val="0"/>
      <w:marBottom w:val="0"/>
      <w:divBdr>
        <w:top w:val="none" w:sz="0" w:space="0" w:color="auto"/>
        <w:left w:val="none" w:sz="0" w:space="0" w:color="auto"/>
        <w:bottom w:val="none" w:sz="0" w:space="0" w:color="auto"/>
        <w:right w:val="none" w:sz="0" w:space="0" w:color="auto"/>
      </w:divBdr>
      <w:divsChild>
        <w:div w:id="2115861639">
          <w:marLeft w:val="0"/>
          <w:marRight w:val="0"/>
          <w:marTop w:val="0"/>
          <w:marBottom w:val="0"/>
          <w:divBdr>
            <w:top w:val="none" w:sz="0" w:space="0" w:color="auto"/>
            <w:left w:val="none" w:sz="0" w:space="0" w:color="auto"/>
            <w:bottom w:val="none" w:sz="0" w:space="0" w:color="auto"/>
            <w:right w:val="none" w:sz="0" w:space="0" w:color="auto"/>
          </w:divBdr>
        </w:div>
      </w:divsChild>
    </w:div>
    <w:div w:id="204100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1784</ap:Words>
  <ap:Characters>9815</ap:Characters>
  <ap:DocSecurity>0</ap:DocSecurity>
  <ap:Lines>81</ap:Lines>
  <ap:Paragraphs>23</ap:Paragraphs>
  <ap:ScaleCrop>false</ap:ScaleCrop>
  <ap:LinksUpToDate>false</ap:LinksUpToDate>
  <ap:CharactersWithSpaces>11576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2026-03-19T09:58:00.0000000Z</dcterms:created>
  <dcterms:modified xsi:type="dcterms:W3CDTF">2026-03-19T09:58:00.0000000Z</dcterms:modified>
  <dc:description>------------------------</dc:description>
  <dc:subject/>
  <keywords/>
  <version/>
  <category/>
</coreProperties>
</file>