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D7730C" w:rsidRDefault="00CC6C89" w14:paraId="7B17CFAD" w14:textId="77777777">
      <w:pPr>
        <w:spacing w:line="240" w:lineRule="atLeast"/>
      </w:pPr>
    </w:p>
    <w:p w:rsidR="00CC6C89" w:rsidP="00D7730C" w:rsidRDefault="00CC6C89" w14:paraId="5B871363" w14:textId="77777777">
      <w:pPr>
        <w:spacing w:line="240" w:lineRule="atLeast"/>
      </w:pPr>
    </w:p>
    <w:p w:rsidR="00CC6C89" w:rsidP="00D7730C" w:rsidRDefault="00CC6C89" w14:paraId="67FF9A66"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Pr="00E8113B" w:rsidR="00D14EA2" w:rsidP="00D7730C" w:rsidRDefault="007C571D" w14:paraId="53D3284D" w14:textId="77777777">
      <w:pPr>
        <w:spacing w:line="240" w:lineRule="auto"/>
        <w:rPr>
          <w:szCs w:val="18"/>
        </w:rPr>
      </w:pPr>
      <w:r w:rsidRPr="00E8113B">
        <w:rPr>
          <w:szCs w:val="18"/>
        </w:rPr>
        <w:t xml:space="preserve">Geachte Voorzitter, </w:t>
      </w:r>
    </w:p>
    <w:p w:rsidRPr="00E8113B" w:rsidR="00D14EA2" w:rsidP="00D7730C" w:rsidRDefault="00D14EA2" w14:paraId="66BDE55E" w14:textId="77777777">
      <w:pPr>
        <w:spacing w:line="240" w:lineRule="auto"/>
        <w:rPr>
          <w:szCs w:val="18"/>
        </w:rPr>
      </w:pPr>
    </w:p>
    <w:p w:rsidRPr="00E8113B" w:rsidR="00AC3A44" w:rsidP="00D7730C" w:rsidRDefault="007C571D" w14:paraId="1E15275C" w14:textId="77777777">
      <w:pPr>
        <w:spacing w:line="240" w:lineRule="auto"/>
        <w:rPr>
          <w:szCs w:val="18"/>
        </w:rPr>
      </w:pPr>
      <w:r w:rsidRPr="00E8113B">
        <w:rPr>
          <w:szCs w:val="18"/>
        </w:rPr>
        <w:t xml:space="preserve">Met bijgaande brief stuur ik u, mede namens de minister van Volksgezondheid, Welzijn en Sport </w:t>
      </w:r>
      <w:r>
        <w:rPr>
          <w:szCs w:val="18"/>
        </w:rPr>
        <w:t>(VWS)</w:t>
      </w:r>
      <w:r w:rsidR="00020FFD">
        <w:rPr>
          <w:szCs w:val="18"/>
        </w:rPr>
        <w:t>,</w:t>
      </w:r>
      <w:r>
        <w:rPr>
          <w:szCs w:val="18"/>
        </w:rPr>
        <w:t xml:space="preserve"> </w:t>
      </w:r>
      <w:r w:rsidRPr="00E8113B">
        <w:rPr>
          <w:szCs w:val="18"/>
        </w:rPr>
        <w:t xml:space="preserve">de beleidsreactie op het advies van de Gezondheidsraad (GR) over </w:t>
      </w:r>
      <w:r>
        <w:rPr>
          <w:szCs w:val="18"/>
        </w:rPr>
        <w:t>‘</w:t>
      </w:r>
      <w:r w:rsidRPr="00E8113B">
        <w:rPr>
          <w:szCs w:val="18"/>
        </w:rPr>
        <w:t>Risicoreductie en vroegdiagnostiek van dementie</w:t>
      </w:r>
      <w:r>
        <w:rPr>
          <w:szCs w:val="18"/>
        </w:rPr>
        <w:t>’</w:t>
      </w:r>
      <w:r w:rsidRPr="00E8113B">
        <w:rPr>
          <w:szCs w:val="18"/>
        </w:rPr>
        <w:t xml:space="preserve">. Het advies </w:t>
      </w:r>
      <w:r w:rsidRPr="00E8113B">
        <w:rPr>
          <w:szCs w:val="18"/>
        </w:rPr>
        <w:t>heeft u eerder ontvangen</w:t>
      </w:r>
      <w:r w:rsidR="00677B60">
        <w:rPr>
          <w:szCs w:val="18"/>
        </w:rPr>
        <w:t>.</w:t>
      </w:r>
      <w:r>
        <w:rPr>
          <w:rStyle w:val="Voetnootmarkering"/>
          <w:szCs w:val="18"/>
        </w:rPr>
        <w:footnoteReference w:id="1"/>
      </w:r>
      <w:r w:rsidRPr="00E8113B">
        <w:rPr>
          <w:szCs w:val="18"/>
        </w:rPr>
        <w:t xml:space="preserve"> Bij de aanbieding van het advies </w:t>
      </w:r>
      <w:r>
        <w:rPr>
          <w:szCs w:val="18"/>
        </w:rPr>
        <w:t>was u</w:t>
      </w:r>
      <w:r w:rsidRPr="00E8113B">
        <w:rPr>
          <w:szCs w:val="18"/>
        </w:rPr>
        <w:t xml:space="preserve"> toegezegd dat in het begin van 2026 een inhoudelijke reactie zou </w:t>
      </w:r>
      <w:r>
        <w:rPr>
          <w:szCs w:val="18"/>
        </w:rPr>
        <w:t>volgen</w:t>
      </w:r>
      <w:r w:rsidRPr="00E8113B">
        <w:rPr>
          <w:szCs w:val="18"/>
        </w:rPr>
        <w:t>.</w:t>
      </w:r>
    </w:p>
    <w:p w:rsidRPr="00E8113B" w:rsidR="00AC3A44" w:rsidP="00D7730C" w:rsidRDefault="00AC3A44" w14:paraId="2C93B097" w14:textId="77777777">
      <w:pPr>
        <w:spacing w:line="240" w:lineRule="auto"/>
        <w:rPr>
          <w:szCs w:val="18"/>
        </w:rPr>
      </w:pPr>
    </w:p>
    <w:p w:rsidRPr="00E8113B" w:rsidR="00AC3A44" w:rsidP="00D7730C" w:rsidRDefault="007C571D" w14:paraId="38EA653A" w14:textId="77777777">
      <w:pPr>
        <w:spacing w:line="240" w:lineRule="auto"/>
        <w:rPr>
          <w:szCs w:val="18"/>
        </w:rPr>
      </w:pPr>
      <w:r w:rsidRPr="00E8113B">
        <w:rPr>
          <w:szCs w:val="18"/>
        </w:rPr>
        <w:t xml:space="preserve">In deze brief zet ik de belangrijkste bevindingen en aanbevelingen van dit GR-advies uiteen en geef ik vervolgens mijn reactie. Daarbij is de indeling van het advies gevolgd aan de hand van de twee centrale thema’s uit het advies: risicoreductie </w:t>
      </w:r>
      <w:r>
        <w:rPr>
          <w:szCs w:val="18"/>
        </w:rPr>
        <w:t xml:space="preserve">en </w:t>
      </w:r>
      <w:r w:rsidRPr="00E8113B">
        <w:rPr>
          <w:szCs w:val="18"/>
        </w:rPr>
        <w:t>vroegdiagnostiek.</w:t>
      </w:r>
    </w:p>
    <w:p w:rsidRPr="00E8113B" w:rsidR="00AC3A44" w:rsidP="00D7730C" w:rsidRDefault="00AC3A44" w14:paraId="133A29C8" w14:textId="77777777">
      <w:pPr>
        <w:spacing w:line="240" w:lineRule="auto"/>
        <w:rPr>
          <w:szCs w:val="18"/>
        </w:rPr>
      </w:pPr>
    </w:p>
    <w:p w:rsidRPr="00E8113B" w:rsidR="00AC3A44" w:rsidP="00D7730C" w:rsidRDefault="007C571D" w14:paraId="39618A9D" w14:textId="77777777">
      <w:pPr>
        <w:spacing w:line="240" w:lineRule="auto"/>
        <w:rPr>
          <w:i/>
          <w:iCs/>
          <w:szCs w:val="18"/>
        </w:rPr>
      </w:pPr>
      <w:r w:rsidRPr="00E8113B">
        <w:rPr>
          <w:i/>
          <w:iCs/>
          <w:szCs w:val="18"/>
        </w:rPr>
        <w:t>Aanleiding GR-adviesaanvraag</w:t>
      </w:r>
    </w:p>
    <w:p w:rsidRPr="00E8113B" w:rsidR="00AC3A44" w:rsidP="00D7730C" w:rsidRDefault="007C571D" w14:paraId="6E0F8246" w14:textId="77777777">
      <w:pPr>
        <w:spacing w:line="240" w:lineRule="auto"/>
        <w:rPr>
          <w:szCs w:val="18"/>
        </w:rPr>
      </w:pPr>
      <w:r w:rsidRPr="00E8113B">
        <w:rPr>
          <w:szCs w:val="18"/>
        </w:rPr>
        <w:t>In Nederland krijgt 1 op de 5 mensen dementie.</w:t>
      </w:r>
      <w:r w:rsidRPr="00E8113B">
        <w:rPr>
          <w:rFonts w:cs="Open Sans"/>
          <w:color w:val="000000"/>
          <w:szCs w:val="18"/>
          <w:shd w:val="clear" w:color="auto" w:fill="FFFFFF"/>
        </w:rPr>
        <w:t xml:space="preserve"> </w:t>
      </w:r>
      <w:r w:rsidRPr="00E8113B">
        <w:rPr>
          <w:szCs w:val="18"/>
        </w:rPr>
        <w:t>Bij vrouwen is dat zelfs 1 op de 3. Op dit moment zijn er in Nederland ongeveer 310.000 mensen met dementie. Hiervan zijn naar schatting 15.000 jonger dan 65 jaar. Onder mensen met een</w:t>
      </w:r>
      <w:r w:rsidR="009231DC">
        <w:rPr>
          <w:szCs w:val="18"/>
        </w:rPr>
        <w:t xml:space="preserve"> </w:t>
      </w:r>
      <w:r w:rsidRPr="00E8113B">
        <w:rPr>
          <w:szCs w:val="18"/>
        </w:rPr>
        <w:t>migratieachtergrond neemt het aantal mensen met dementie snel toe. De huidige prognose is dat het aantal mensen met dementie stijgt tot ruim 500.000 in 2040 en 610.000 in 2050</w:t>
      </w:r>
      <w:r w:rsidR="00D12156">
        <w:rPr>
          <w:szCs w:val="18"/>
        </w:rPr>
        <w:t>.</w:t>
      </w:r>
      <w:r>
        <w:rPr>
          <w:rStyle w:val="Voetnootmarkering"/>
          <w:szCs w:val="18"/>
        </w:rPr>
        <w:footnoteReference w:id="2"/>
      </w:r>
      <w:r w:rsidRPr="00E8113B">
        <w:rPr>
          <w:szCs w:val="18"/>
        </w:rPr>
        <w:t xml:space="preserve"> </w:t>
      </w:r>
      <w:r>
        <w:rPr>
          <w:szCs w:val="18"/>
        </w:rPr>
        <w:t>De ziektelast van dementie zal tussen 2022 en 2050 met 150 procent toenemen</w:t>
      </w:r>
      <w:r w:rsidR="00D12156">
        <w:rPr>
          <w:szCs w:val="18"/>
        </w:rPr>
        <w:t>.</w:t>
      </w:r>
      <w:r>
        <w:rPr>
          <w:rStyle w:val="Voetnootmarkering"/>
          <w:szCs w:val="18"/>
        </w:rPr>
        <w:footnoteReference w:id="3"/>
      </w:r>
      <w:r>
        <w:rPr>
          <w:szCs w:val="18"/>
        </w:rPr>
        <w:t xml:space="preserve"> </w:t>
      </w:r>
      <w:r w:rsidRPr="00E8113B">
        <w:rPr>
          <w:szCs w:val="18"/>
        </w:rPr>
        <w:t>De zorgkosten voor dementie zullen navenant stijgen: van € 1</w:t>
      </w:r>
      <w:r>
        <w:rPr>
          <w:szCs w:val="18"/>
        </w:rPr>
        <w:t>2</w:t>
      </w:r>
      <w:r w:rsidRPr="00E8113B">
        <w:rPr>
          <w:szCs w:val="18"/>
        </w:rPr>
        <w:t xml:space="preserve"> mld. in 202</w:t>
      </w:r>
      <w:r>
        <w:rPr>
          <w:szCs w:val="18"/>
        </w:rPr>
        <w:t>5</w:t>
      </w:r>
      <w:r w:rsidRPr="00E8113B">
        <w:rPr>
          <w:szCs w:val="18"/>
        </w:rPr>
        <w:t xml:space="preserve"> naar € 15,6 mld. in 2040</w:t>
      </w:r>
      <w:r w:rsidR="00D12156">
        <w:rPr>
          <w:szCs w:val="18"/>
        </w:rPr>
        <w:t>.</w:t>
      </w:r>
      <w:r>
        <w:rPr>
          <w:rStyle w:val="Voetnootmarkering"/>
          <w:szCs w:val="18"/>
        </w:rPr>
        <w:footnoteReference w:id="4"/>
      </w:r>
      <w:r w:rsidRPr="00E8113B">
        <w:rPr>
          <w:szCs w:val="18"/>
        </w:rPr>
        <w:t xml:space="preserve"> Dementie ontwikkelt zich daarmee tot de belangrijkste doodsoorzaak in Nederland en tot de duurste aandoening.</w:t>
      </w:r>
    </w:p>
    <w:p w:rsidRPr="00E8113B" w:rsidR="00AC3A44" w:rsidP="00D7730C" w:rsidRDefault="00AC3A44" w14:paraId="64059E14" w14:textId="77777777">
      <w:pPr>
        <w:spacing w:line="240" w:lineRule="auto"/>
        <w:rPr>
          <w:szCs w:val="18"/>
        </w:rPr>
      </w:pPr>
    </w:p>
    <w:p w:rsidRPr="00E8113B" w:rsidR="00AC3A44" w:rsidP="00D7730C" w:rsidRDefault="007C571D" w14:paraId="468E5FC6" w14:textId="77777777">
      <w:pPr>
        <w:spacing w:line="240" w:lineRule="auto"/>
        <w:rPr>
          <w:szCs w:val="18"/>
        </w:rPr>
      </w:pPr>
      <w:r w:rsidRPr="00E8113B">
        <w:rPr>
          <w:szCs w:val="18"/>
        </w:rPr>
        <w:t xml:space="preserve">De ziekte is in alle gevallen bijzonder ingrijpend voor de mensen met dementie en hun naasten. Er is op dit moment nog geen genezing voor dementie. Naarmate de symptomen van dementie toenemen, hebben mensen met dementie steeds meer ondersteuning en zorg nodig. </w:t>
      </w:r>
    </w:p>
    <w:p w:rsidRPr="00E8113B" w:rsidR="00AC3A44" w:rsidP="00D7730C" w:rsidRDefault="007C571D" w14:paraId="5EFD0818" w14:textId="77777777">
      <w:pPr>
        <w:spacing w:line="240" w:lineRule="auto"/>
        <w:rPr>
          <w:szCs w:val="18"/>
        </w:rPr>
      </w:pPr>
      <w:r w:rsidRPr="00E8113B">
        <w:rPr>
          <w:szCs w:val="18"/>
        </w:rPr>
        <w:t xml:space="preserve">Omdat dementie een groot gezondheidsprobleem is en er nog geen effectieve behandeling bestaat, is het belangrijk om te investeren in preventie, het zo lang </w:t>
      </w:r>
      <w:r w:rsidRPr="00E8113B">
        <w:rPr>
          <w:szCs w:val="18"/>
        </w:rPr>
        <w:lastRenderedPageBreak/>
        <w:t xml:space="preserve">mogelijk uitstellen van de ziekte en het vroeg herkennen ervan, zodat mensen snel de juiste ondersteuning kunnen krijgen. Daarom </w:t>
      </w:r>
      <w:r>
        <w:rPr>
          <w:szCs w:val="18"/>
        </w:rPr>
        <w:t xml:space="preserve">heeft de GR op verzoek van </w:t>
      </w:r>
      <w:r w:rsidR="00D12156">
        <w:rPr>
          <w:szCs w:val="18"/>
        </w:rPr>
        <w:t xml:space="preserve">het ministerie van </w:t>
      </w:r>
      <w:r>
        <w:rPr>
          <w:szCs w:val="18"/>
        </w:rPr>
        <w:t xml:space="preserve">VWS in november 2025 een advies uitgebracht over risicoreductie en </w:t>
      </w:r>
      <w:r w:rsidR="006B7305">
        <w:rPr>
          <w:szCs w:val="18"/>
        </w:rPr>
        <w:t>vroegdiagnostiek</w:t>
      </w:r>
      <w:r>
        <w:rPr>
          <w:szCs w:val="18"/>
        </w:rPr>
        <w:t xml:space="preserve"> van dementie. </w:t>
      </w:r>
    </w:p>
    <w:p w:rsidRPr="00E8113B" w:rsidR="00AC3A44" w:rsidP="00D7730C" w:rsidRDefault="00AC3A44" w14:paraId="2C2C6067" w14:textId="77777777">
      <w:pPr>
        <w:spacing w:line="240" w:lineRule="auto"/>
        <w:rPr>
          <w:szCs w:val="18"/>
        </w:rPr>
      </w:pPr>
    </w:p>
    <w:p w:rsidRPr="00E8113B" w:rsidR="00AC3A44" w:rsidP="00D7730C" w:rsidRDefault="007C571D" w14:paraId="3D7B2789" w14:textId="77777777">
      <w:pPr>
        <w:spacing w:line="240" w:lineRule="auto"/>
        <w:rPr>
          <w:i/>
          <w:iCs/>
          <w:szCs w:val="18"/>
        </w:rPr>
      </w:pPr>
      <w:r w:rsidRPr="00E8113B">
        <w:rPr>
          <w:i/>
          <w:iCs/>
          <w:szCs w:val="18"/>
        </w:rPr>
        <w:t>Samenvatting advies</w:t>
      </w:r>
    </w:p>
    <w:p w:rsidRPr="00524064" w:rsidR="00AC3A44" w:rsidP="00D7730C" w:rsidRDefault="007C571D" w14:paraId="38A87DA0" w14:textId="77777777">
      <w:pPr>
        <w:spacing w:line="240" w:lineRule="auto"/>
        <w:rPr>
          <w:szCs w:val="18"/>
        </w:rPr>
      </w:pPr>
      <w:r w:rsidRPr="00E8113B">
        <w:rPr>
          <w:szCs w:val="18"/>
        </w:rPr>
        <w:t xml:space="preserve">De GR ziet vooralsnog geen meerwaarde in een brede inzet van vroegdiagnostiek voor het verlagen van de ziektelast door dementie en acht de inzet </w:t>
      </w:r>
      <w:r w:rsidR="006B7305">
        <w:rPr>
          <w:szCs w:val="18"/>
        </w:rPr>
        <w:t xml:space="preserve">van vroegdiagnostiek nu </w:t>
      </w:r>
      <w:r w:rsidRPr="00E8113B">
        <w:rPr>
          <w:szCs w:val="18"/>
        </w:rPr>
        <w:t>niet gerechtvaardigd. De beschikbare methoden voor vroegdiagnostiek, met name biomarker</w:t>
      </w:r>
      <w:r w:rsidR="009231DC">
        <w:rPr>
          <w:szCs w:val="18"/>
        </w:rPr>
        <w:t>-</w:t>
      </w:r>
      <w:r w:rsidRPr="00E8113B">
        <w:rPr>
          <w:szCs w:val="18"/>
        </w:rPr>
        <w:t xml:space="preserve">testen, zijn onvoldoende betrouwbaar om buiten de specialistische ziekenhuiszorg breed toe te passen. Daarnaast ontbreekt een effectieve therapeutische </w:t>
      </w:r>
      <w:r w:rsidRPr="00524064">
        <w:rPr>
          <w:szCs w:val="18"/>
        </w:rPr>
        <w:t xml:space="preserve">behandeling om bij een vroege </w:t>
      </w:r>
      <w:r w:rsidRPr="00524064">
        <w:rPr>
          <w:szCs w:val="18"/>
        </w:rPr>
        <w:t>diagnose het ziekteproces te stop</w:t>
      </w:r>
      <w:r w:rsidR="000E2DA1">
        <w:rPr>
          <w:szCs w:val="18"/>
        </w:rPr>
        <w:t>p</w:t>
      </w:r>
      <w:r w:rsidRPr="00524064">
        <w:rPr>
          <w:szCs w:val="18"/>
        </w:rPr>
        <w:t xml:space="preserve">en of </w:t>
      </w:r>
      <w:r>
        <w:rPr>
          <w:szCs w:val="18"/>
        </w:rPr>
        <w:t xml:space="preserve">te </w:t>
      </w:r>
      <w:r w:rsidRPr="00524064">
        <w:rPr>
          <w:szCs w:val="18"/>
        </w:rPr>
        <w:t>vertragen.</w:t>
      </w:r>
    </w:p>
    <w:p w:rsidRPr="00E8113B" w:rsidR="00AC3A44" w:rsidP="00D7730C" w:rsidRDefault="007C571D" w14:paraId="32E82836" w14:textId="77777777">
      <w:pPr>
        <w:spacing w:line="240" w:lineRule="auto"/>
        <w:rPr>
          <w:szCs w:val="18"/>
        </w:rPr>
      </w:pPr>
      <w:r w:rsidRPr="00524064">
        <w:rPr>
          <w:szCs w:val="18"/>
        </w:rPr>
        <w:t xml:space="preserve">De GR adviseert daarom primair in te zetten op preventieve maatregelen die het risico op het ontwikkelen van dementie kunnen verkleinen en pleit </w:t>
      </w:r>
      <w:r w:rsidR="000E2DA1">
        <w:rPr>
          <w:szCs w:val="18"/>
        </w:rPr>
        <w:t>er</w:t>
      </w:r>
      <w:r w:rsidRPr="00524064">
        <w:rPr>
          <w:szCs w:val="18"/>
        </w:rPr>
        <w:t xml:space="preserve">voor om </w:t>
      </w:r>
      <w:r w:rsidRPr="00524064">
        <w:rPr>
          <w:color w:val="262626"/>
          <w:szCs w:val="18"/>
          <w:shd w:val="clear" w:color="auto" w:fill="FFFFFF"/>
        </w:rPr>
        <w:t>de bestaande maatregelen ter preventie van andere chronische aandoeningen met dezelfde risicofactoren – zoals hart- en vaatziekten – te versterken en te ver</w:t>
      </w:r>
      <w:r w:rsidR="00E27496">
        <w:rPr>
          <w:color w:val="262626"/>
          <w:szCs w:val="18"/>
          <w:shd w:val="clear" w:color="auto" w:fill="FFFFFF"/>
        </w:rPr>
        <w:softHyphen/>
      </w:r>
      <w:r w:rsidRPr="00524064">
        <w:rPr>
          <w:color w:val="262626"/>
          <w:szCs w:val="18"/>
          <w:shd w:val="clear" w:color="auto" w:fill="FFFFFF"/>
        </w:rPr>
        <w:t>breden. </w:t>
      </w:r>
      <w:r>
        <w:rPr>
          <w:szCs w:val="18"/>
        </w:rPr>
        <w:t xml:space="preserve">Hierbij vraagt de GR </w:t>
      </w:r>
      <w:r w:rsidRPr="00E8113B">
        <w:rPr>
          <w:szCs w:val="18"/>
        </w:rPr>
        <w:t>specifieke aandacht voor het voorkomen en behandelen van hoge bloeddruk.</w:t>
      </w:r>
      <w:r w:rsidRPr="00524064">
        <w:rPr>
          <w:rFonts w:ascii="Trebuchet MS" w:hAnsi="Trebuchet MS"/>
          <w:color w:val="262626"/>
          <w:sz w:val="27"/>
          <w:szCs w:val="27"/>
          <w:shd w:val="clear" w:color="auto" w:fill="FFFFFF"/>
        </w:rPr>
        <w:t xml:space="preserve"> </w:t>
      </w:r>
    </w:p>
    <w:p w:rsidRPr="009C78A3" w:rsidR="00AC3A44" w:rsidP="00D7730C" w:rsidRDefault="007C571D" w14:paraId="0F5B653B" w14:textId="77777777">
      <w:pPr>
        <w:spacing w:line="240" w:lineRule="auto"/>
        <w:rPr>
          <w:szCs w:val="18"/>
        </w:rPr>
      </w:pPr>
      <w:r w:rsidRPr="007869B0">
        <w:rPr>
          <w:szCs w:val="18"/>
        </w:rPr>
        <w:t>De GR adviseert preventieve maatregelen zowel te richten op hoogrisicogroepen als op de gehele bevolking.</w:t>
      </w:r>
      <w:r w:rsidRPr="00E8113B">
        <w:rPr>
          <w:szCs w:val="18"/>
        </w:rPr>
        <w:t xml:space="preserve"> </w:t>
      </w:r>
      <w:r>
        <w:rPr>
          <w:szCs w:val="18"/>
        </w:rPr>
        <w:t xml:space="preserve">Daarnaast adviseert de GR </w:t>
      </w:r>
      <w:r w:rsidRPr="009C78A3">
        <w:rPr>
          <w:szCs w:val="18"/>
        </w:rPr>
        <w:t>om preventieve maat</w:t>
      </w:r>
      <w:r w:rsidR="00E27496">
        <w:rPr>
          <w:szCs w:val="18"/>
        </w:rPr>
        <w:softHyphen/>
      </w:r>
      <w:r w:rsidRPr="009C78A3">
        <w:rPr>
          <w:szCs w:val="18"/>
        </w:rPr>
        <w:t xml:space="preserve">regelen af te stemmen op de </w:t>
      </w:r>
      <w:r>
        <w:rPr>
          <w:szCs w:val="18"/>
        </w:rPr>
        <w:t xml:space="preserve">specifieke </w:t>
      </w:r>
      <w:r w:rsidRPr="009C78A3">
        <w:rPr>
          <w:szCs w:val="18"/>
        </w:rPr>
        <w:t>doelgroep</w:t>
      </w:r>
      <w:r>
        <w:rPr>
          <w:szCs w:val="18"/>
        </w:rPr>
        <w:t xml:space="preserve">en nl. </w:t>
      </w:r>
      <w:r w:rsidRPr="009C78A3">
        <w:rPr>
          <w:szCs w:val="18"/>
        </w:rPr>
        <w:t>mensen met een migratie</w:t>
      </w:r>
      <w:r w:rsidR="00E27496">
        <w:rPr>
          <w:szCs w:val="18"/>
        </w:rPr>
        <w:softHyphen/>
      </w:r>
      <w:r w:rsidRPr="009C78A3">
        <w:rPr>
          <w:szCs w:val="18"/>
        </w:rPr>
        <w:t>achtergrond</w:t>
      </w:r>
      <w:r>
        <w:rPr>
          <w:szCs w:val="18"/>
        </w:rPr>
        <w:t>,</w:t>
      </w:r>
      <w:r w:rsidRPr="009C78A3">
        <w:rPr>
          <w:szCs w:val="18"/>
        </w:rPr>
        <w:t xml:space="preserve"> mensen met een verstandelijke beperking </w:t>
      </w:r>
      <w:r>
        <w:rPr>
          <w:szCs w:val="18"/>
        </w:rPr>
        <w:t xml:space="preserve">en </w:t>
      </w:r>
      <w:r w:rsidRPr="009C78A3">
        <w:rPr>
          <w:szCs w:val="18"/>
        </w:rPr>
        <w:t xml:space="preserve">jonge </w:t>
      </w:r>
      <w:r>
        <w:rPr>
          <w:szCs w:val="18"/>
        </w:rPr>
        <w:t>mensen met dementie.</w:t>
      </w:r>
      <w:r w:rsidRPr="009C78A3">
        <w:rPr>
          <w:szCs w:val="18"/>
        </w:rPr>
        <w:t xml:space="preserve"> </w:t>
      </w:r>
    </w:p>
    <w:p w:rsidRPr="00E8113B" w:rsidR="00AC3A44" w:rsidP="00D7730C" w:rsidRDefault="00AC3A44" w14:paraId="40473218" w14:textId="77777777">
      <w:pPr>
        <w:spacing w:line="240" w:lineRule="auto"/>
        <w:rPr>
          <w:szCs w:val="18"/>
        </w:rPr>
      </w:pPr>
    </w:p>
    <w:p w:rsidRPr="002464CD" w:rsidR="00AC3A44" w:rsidP="00D7730C" w:rsidRDefault="007C571D" w14:paraId="06599C43" w14:textId="77777777">
      <w:pPr>
        <w:spacing w:line="240" w:lineRule="auto"/>
        <w:rPr>
          <w:i/>
          <w:iCs/>
          <w:szCs w:val="18"/>
        </w:rPr>
      </w:pPr>
      <w:r w:rsidRPr="002464CD">
        <w:rPr>
          <w:i/>
          <w:iCs/>
          <w:szCs w:val="18"/>
        </w:rPr>
        <w:t>Beleidsreactie</w:t>
      </w:r>
    </w:p>
    <w:p w:rsidRPr="00E8113B" w:rsidR="00AC3A44" w:rsidP="00D7730C" w:rsidRDefault="007C571D" w14:paraId="36CC6C24" w14:textId="77777777">
      <w:pPr>
        <w:spacing w:line="240" w:lineRule="auto"/>
        <w:rPr>
          <w:szCs w:val="18"/>
        </w:rPr>
      </w:pPr>
      <w:r w:rsidRPr="00E8113B">
        <w:rPr>
          <w:szCs w:val="18"/>
        </w:rPr>
        <w:t>Allereerst wil ik de GR en de commissieleden bedanken voor hun werk en het opgeleverde advies. Veel van de geïdentificeerde kennishiaten zijn zeer her</w:t>
      </w:r>
      <w:r w:rsidR="00E27496">
        <w:rPr>
          <w:szCs w:val="18"/>
        </w:rPr>
        <w:softHyphen/>
      </w:r>
      <w:r w:rsidRPr="00E8113B">
        <w:rPr>
          <w:szCs w:val="18"/>
        </w:rPr>
        <w:t xml:space="preserve">kenbaar en </w:t>
      </w:r>
      <w:r w:rsidR="00F968C4">
        <w:rPr>
          <w:szCs w:val="18"/>
        </w:rPr>
        <w:t xml:space="preserve">ik </w:t>
      </w:r>
      <w:r w:rsidRPr="00E8113B">
        <w:rPr>
          <w:szCs w:val="18"/>
        </w:rPr>
        <w:t xml:space="preserve">zie </w:t>
      </w:r>
      <w:r>
        <w:rPr>
          <w:szCs w:val="18"/>
        </w:rPr>
        <w:t xml:space="preserve">de aandacht voor risicoreductie </w:t>
      </w:r>
      <w:r w:rsidRPr="00E8113B">
        <w:rPr>
          <w:szCs w:val="18"/>
        </w:rPr>
        <w:t xml:space="preserve">als ondersteuning van mijn huidige beleidsinzet en de kennisprogrammering binnen de Nationale </w:t>
      </w:r>
      <w:r w:rsidR="006B7305">
        <w:rPr>
          <w:szCs w:val="18"/>
        </w:rPr>
        <w:t>D</w:t>
      </w:r>
      <w:r w:rsidRPr="00E8113B">
        <w:rPr>
          <w:szCs w:val="18"/>
        </w:rPr>
        <w:t>ementiestrategie</w:t>
      </w:r>
      <w:r>
        <w:rPr>
          <w:szCs w:val="18"/>
        </w:rPr>
        <w:t xml:space="preserve"> (NDS)</w:t>
      </w:r>
      <w:r w:rsidRPr="00E8113B">
        <w:rPr>
          <w:szCs w:val="18"/>
        </w:rPr>
        <w:t>.</w:t>
      </w:r>
      <w:r>
        <w:rPr>
          <w:szCs w:val="18"/>
        </w:rPr>
        <w:t xml:space="preserve"> </w:t>
      </w:r>
      <w:r w:rsidRPr="00E8113B">
        <w:rPr>
          <w:szCs w:val="18"/>
        </w:rPr>
        <w:t xml:space="preserve">Ook geeft het rapport nieuwe inzichten en handvatten die ik verder met betrokken partijen wil gaan oppakken. </w:t>
      </w:r>
    </w:p>
    <w:p w:rsidRPr="00E8113B" w:rsidR="00AC3A44" w:rsidP="00D7730C" w:rsidRDefault="00AC3A44" w14:paraId="5B5D6496" w14:textId="77777777">
      <w:pPr>
        <w:spacing w:line="240" w:lineRule="auto"/>
        <w:rPr>
          <w:szCs w:val="18"/>
        </w:rPr>
      </w:pPr>
    </w:p>
    <w:p w:rsidRPr="000C5AF8" w:rsidR="00AC3A44" w:rsidP="00D7730C" w:rsidRDefault="007C571D" w14:paraId="28E8C195" w14:textId="77777777">
      <w:pPr>
        <w:spacing w:line="240" w:lineRule="auto"/>
        <w:rPr>
          <w:i/>
          <w:iCs/>
          <w:szCs w:val="18"/>
          <w:u w:val="single"/>
        </w:rPr>
      </w:pPr>
      <w:r w:rsidRPr="000C5AF8">
        <w:rPr>
          <w:i/>
          <w:iCs/>
          <w:szCs w:val="18"/>
          <w:u w:val="single"/>
        </w:rPr>
        <w:t xml:space="preserve">Risicoreductie </w:t>
      </w:r>
    </w:p>
    <w:p w:rsidRPr="00E8113B" w:rsidR="00AC3A44" w:rsidP="00D7730C" w:rsidRDefault="007C571D" w14:paraId="04574AF9" w14:textId="77777777">
      <w:pPr>
        <w:spacing w:line="240" w:lineRule="auto"/>
        <w:rPr>
          <w:szCs w:val="18"/>
        </w:rPr>
      </w:pPr>
      <w:r>
        <w:rPr>
          <w:szCs w:val="18"/>
        </w:rPr>
        <w:t>De minister van VWS en i</w:t>
      </w:r>
      <w:r w:rsidR="00753F5E">
        <w:rPr>
          <w:szCs w:val="18"/>
        </w:rPr>
        <w:t>k</w:t>
      </w:r>
      <w:r w:rsidRPr="00E8113B" w:rsidR="00753F5E">
        <w:rPr>
          <w:szCs w:val="18"/>
        </w:rPr>
        <w:t xml:space="preserve"> omarm</w:t>
      </w:r>
      <w:r>
        <w:rPr>
          <w:szCs w:val="18"/>
        </w:rPr>
        <w:t>en</w:t>
      </w:r>
      <w:r w:rsidRPr="00E8113B" w:rsidR="00753F5E">
        <w:rPr>
          <w:szCs w:val="18"/>
        </w:rPr>
        <w:t xml:space="preserve"> de oproep van de </w:t>
      </w:r>
      <w:r w:rsidR="00753F5E">
        <w:rPr>
          <w:szCs w:val="18"/>
        </w:rPr>
        <w:t>GR</w:t>
      </w:r>
      <w:r w:rsidRPr="00E8113B" w:rsidR="00753F5E">
        <w:rPr>
          <w:szCs w:val="18"/>
        </w:rPr>
        <w:t xml:space="preserve"> om in te zetten op preventie. Het huidig</w:t>
      </w:r>
      <w:r w:rsidR="00F968C4">
        <w:rPr>
          <w:szCs w:val="18"/>
        </w:rPr>
        <w:t>e</w:t>
      </w:r>
      <w:r w:rsidRPr="00E8113B" w:rsidR="00753F5E">
        <w:rPr>
          <w:szCs w:val="18"/>
        </w:rPr>
        <w:t xml:space="preserve"> kabinet en vorige kabinetten zetten hier </w:t>
      </w:r>
      <w:r w:rsidRPr="00E8113B" w:rsidR="000E2DA1">
        <w:rPr>
          <w:szCs w:val="18"/>
        </w:rPr>
        <w:t>al</w:t>
      </w:r>
      <w:r w:rsidRPr="00E8113B" w:rsidR="00753F5E">
        <w:rPr>
          <w:szCs w:val="18"/>
        </w:rPr>
        <w:t xml:space="preserve"> belangrijke stappen toe. Zo zijn in de Samenhangende preventiestrategie (opvolger van het Nationaal Preventie</w:t>
      </w:r>
      <w:r w:rsidR="00E27496">
        <w:rPr>
          <w:szCs w:val="18"/>
        </w:rPr>
        <w:softHyphen/>
      </w:r>
      <w:r w:rsidRPr="00E8113B" w:rsidR="00753F5E">
        <w:rPr>
          <w:szCs w:val="18"/>
        </w:rPr>
        <w:t xml:space="preserve">akkoord) ambities geformuleerd op gebied van meerdere leefstijlfactoren die ook als risicofactor voor dementie gelden, zoals de preventie van gehoorschade en roken. Het advies is een steun in de rug om deze inzet voort te zetten, onder andere via de Samenhangende preventiestrategie. </w:t>
      </w:r>
    </w:p>
    <w:p w:rsidRPr="00E8113B" w:rsidR="00AC3A44" w:rsidP="00D7730C" w:rsidRDefault="00AC3A44" w14:paraId="23E3DDC5" w14:textId="77777777">
      <w:pPr>
        <w:spacing w:line="240" w:lineRule="auto"/>
        <w:rPr>
          <w:szCs w:val="18"/>
        </w:rPr>
      </w:pPr>
    </w:p>
    <w:p w:rsidR="00AC3A44" w:rsidP="00D7730C" w:rsidRDefault="007C571D" w14:paraId="77BF8197" w14:textId="77777777">
      <w:pPr>
        <w:spacing w:line="240" w:lineRule="auto"/>
        <w:rPr>
          <w:color w:val="000000" w:themeColor="text1"/>
          <w:szCs w:val="18"/>
        </w:rPr>
      </w:pPr>
      <w:r w:rsidRPr="00DD740B">
        <w:rPr>
          <w:szCs w:val="18"/>
        </w:rPr>
        <w:t>In de geactualiseerde NDS</w:t>
      </w:r>
      <w:r>
        <w:rPr>
          <w:rStyle w:val="Voetnootmarkering"/>
          <w:szCs w:val="18"/>
        </w:rPr>
        <w:footnoteReference w:id="5"/>
      </w:r>
      <w:r w:rsidRPr="00DD740B">
        <w:rPr>
          <w:szCs w:val="18"/>
        </w:rPr>
        <w:t xml:space="preserve">, die op 29 januari 2026 aan uw Kamer is aangeboden, wordt onder andere </w:t>
      </w:r>
      <w:r w:rsidRPr="00DD740B">
        <w:t>meer aandacht besteed aan preventie. Voor de uitvoering van deze hernieuwde strategie word</w:t>
      </w:r>
      <w:r>
        <w:t>en</w:t>
      </w:r>
      <w:r w:rsidRPr="00DD740B">
        <w:t xml:space="preserve"> middelen ingezet vanuit </w:t>
      </w:r>
      <w:r>
        <w:t>het</w:t>
      </w:r>
      <w:r w:rsidRPr="00DD740B">
        <w:t xml:space="preserve"> Hoofdlijnenakkoord Ouderenzorg (HLO). Binnen het HLO ligt de focus op onder andere het ve</w:t>
      </w:r>
      <w:r w:rsidRPr="00DD740B">
        <w:rPr>
          <w:color w:val="000000" w:themeColor="text1"/>
          <w:szCs w:val="18"/>
        </w:rPr>
        <w:t>rsterken van de zelfredzaamheid van ouderen (reablement), om functionele achteruitgang te vertragen.</w:t>
      </w:r>
      <w:r w:rsidRPr="00DD740B">
        <w:rPr>
          <w:color w:val="000000" w:themeColor="text1"/>
        </w:rPr>
        <w:t xml:space="preserve"> </w:t>
      </w:r>
      <w:r w:rsidR="003B1E2C">
        <w:t xml:space="preserve">Daarbij is het uitgangspunt dat mensen, ook wanneer sprake is van dementie, zoveel mogelijk hun eigen regie behouden en dat hun kwaliteit van </w:t>
      </w:r>
      <w:r w:rsidR="00531764">
        <w:t>bestaan</w:t>
      </w:r>
      <w:r w:rsidR="003B1E2C">
        <w:t xml:space="preserve"> centraal staat. </w:t>
      </w:r>
      <w:r w:rsidRPr="00DD740B">
        <w:rPr>
          <w:color w:val="000000" w:themeColor="text1"/>
          <w:szCs w:val="18"/>
        </w:rPr>
        <w:t xml:space="preserve">Door het stimuleren van dagelijkse activiteiten en zelfmanagement, </w:t>
      </w:r>
      <w:r w:rsidRPr="00DD740B" w:rsidR="000E2DA1">
        <w:rPr>
          <w:color w:val="000000" w:themeColor="text1"/>
          <w:szCs w:val="18"/>
        </w:rPr>
        <w:t>en ook</w:t>
      </w:r>
      <w:r w:rsidRPr="00DD740B">
        <w:rPr>
          <w:color w:val="000000" w:themeColor="text1"/>
          <w:szCs w:val="18"/>
        </w:rPr>
        <w:t xml:space="preserve"> het versterken van de sociale basis, wordt bijgedragen aan het behoud en de versterking van de cognitieve reserve. Hiermee levert het HLO </w:t>
      </w:r>
      <w:r w:rsidRPr="00DD740B" w:rsidR="000E2DA1">
        <w:rPr>
          <w:color w:val="000000" w:themeColor="text1"/>
          <w:szCs w:val="18"/>
        </w:rPr>
        <w:t>ook</w:t>
      </w:r>
      <w:r w:rsidRPr="00DD740B">
        <w:rPr>
          <w:color w:val="000000" w:themeColor="text1"/>
          <w:szCs w:val="18"/>
        </w:rPr>
        <w:t xml:space="preserve"> een belangrijke bijdrage aan de preventie van dementie.</w:t>
      </w:r>
    </w:p>
    <w:p w:rsidR="00020FFD" w:rsidP="00D7730C" w:rsidRDefault="00020FFD" w14:paraId="08DB7273" w14:textId="77777777">
      <w:pPr>
        <w:spacing w:line="240" w:lineRule="auto"/>
        <w:rPr>
          <w:color w:val="000000" w:themeColor="text1"/>
          <w:szCs w:val="18"/>
        </w:rPr>
      </w:pPr>
    </w:p>
    <w:p w:rsidR="00020FFD" w:rsidP="00D7730C" w:rsidRDefault="00020FFD" w14:paraId="65C24B2A" w14:textId="77777777">
      <w:pPr>
        <w:spacing w:line="240" w:lineRule="auto"/>
        <w:rPr>
          <w:color w:val="000000" w:themeColor="text1"/>
          <w:szCs w:val="18"/>
        </w:rPr>
      </w:pPr>
    </w:p>
    <w:p w:rsidR="00AC3A44" w:rsidP="00D7730C" w:rsidRDefault="00AC3A44" w14:paraId="69CA7C99" w14:textId="77777777">
      <w:pPr>
        <w:spacing w:line="240" w:lineRule="auto"/>
        <w:rPr>
          <w:color w:val="000000" w:themeColor="text1"/>
          <w:szCs w:val="18"/>
        </w:rPr>
      </w:pPr>
    </w:p>
    <w:p w:rsidRPr="0019064A" w:rsidR="00AC3A44" w:rsidP="00D7730C" w:rsidRDefault="007C571D" w14:paraId="181ADA78" w14:textId="77777777">
      <w:pPr>
        <w:spacing w:line="240" w:lineRule="auto"/>
        <w:rPr>
          <w:color w:val="000000" w:themeColor="text1"/>
          <w:szCs w:val="18"/>
        </w:rPr>
      </w:pPr>
      <w:r>
        <w:rPr>
          <w:szCs w:val="18"/>
        </w:rPr>
        <w:lastRenderedPageBreak/>
        <w:t>I</w:t>
      </w:r>
      <w:r w:rsidRPr="00E8113B">
        <w:rPr>
          <w:szCs w:val="18"/>
        </w:rPr>
        <w:t xml:space="preserve">n het Aanvullend Zorg en Welzijn Akkoord (AZWA) is afgesproken om een bredere </w:t>
      </w:r>
      <w:r w:rsidRPr="00E8113B">
        <w:rPr>
          <w:i/>
          <w:iCs/>
          <w:szCs w:val="18"/>
        </w:rPr>
        <w:t>basisfunctionaliteit</w:t>
      </w:r>
      <w:r w:rsidRPr="00E8113B">
        <w:rPr>
          <w:szCs w:val="18"/>
        </w:rPr>
        <w:t xml:space="preserve"> voor dementie te ontwikkelen waar ook preventie deel van</w:t>
      </w:r>
      <w:r>
        <w:rPr>
          <w:szCs w:val="18"/>
        </w:rPr>
        <w:t xml:space="preserve"> </w:t>
      </w:r>
      <w:r w:rsidRPr="00E8113B">
        <w:rPr>
          <w:szCs w:val="18"/>
        </w:rPr>
        <w:t>uit maakt. Een basisfunctionaliteit omvat landelijke afspraken over hoe we samen</w:t>
      </w:r>
      <w:r w:rsidR="00E27496">
        <w:rPr>
          <w:szCs w:val="18"/>
        </w:rPr>
        <w:softHyphen/>
      </w:r>
      <w:r w:rsidRPr="00E8113B">
        <w:rPr>
          <w:szCs w:val="18"/>
        </w:rPr>
        <w:t xml:space="preserve">werken op het snijvlak van publieke gezondheid, zorg en sociaal domein rondom een bepaald thema, zoals dementie. Op dit moment werken </w:t>
      </w:r>
      <w:r>
        <w:rPr>
          <w:szCs w:val="18"/>
        </w:rPr>
        <w:t xml:space="preserve">de </w:t>
      </w:r>
      <w:r w:rsidRPr="00E8113B">
        <w:rPr>
          <w:szCs w:val="18"/>
        </w:rPr>
        <w:t>V</w:t>
      </w:r>
      <w:r>
        <w:rPr>
          <w:szCs w:val="18"/>
        </w:rPr>
        <w:t xml:space="preserve">ereniging van </w:t>
      </w:r>
      <w:r w:rsidRPr="00E8113B">
        <w:rPr>
          <w:szCs w:val="18"/>
        </w:rPr>
        <w:t>N</w:t>
      </w:r>
      <w:r>
        <w:rPr>
          <w:szCs w:val="18"/>
        </w:rPr>
        <w:t xml:space="preserve">ederlandse </w:t>
      </w:r>
      <w:r w:rsidRPr="00E8113B">
        <w:rPr>
          <w:szCs w:val="18"/>
        </w:rPr>
        <w:t>G</w:t>
      </w:r>
      <w:r>
        <w:rPr>
          <w:szCs w:val="18"/>
        </w:rPr>
        <w:t>emeenten (VNG)</w:t>
      </w:r>
      <w:r w:rsidRPr="00E8113B">
        <w:rPr>
          <w:szCs w:val="18"/>
        </w:rPr>
        <w:t>, Zorgverzekeraars Nederland</w:t>
      </w:r>
      <w:r>
        <w:rPr>
          <w:szCs w:val="18"/>
        </w:rPr>
        <w:t xml:space="preserve"> (ZN)</w:t>
      </w:r>
      <w:r w:rsidRPr="00E8113B">
        <w:rPr>
          <w:szCs w:val="18"/>
        </w:rPr>
        <w:t xml:space="preserve"> en het ministerie van VWS </w:t>
      </w:r>
      <w:r>
        <w:rPr>
          <w:szCs w:val="18"/>
        </w:rPr>
        <w:t>in samenwerking met de andere NDS-pa</w:t>
      </w:r>
      <w:r>
        <w:rPr>
          <w:szCs w:val="18"/>
        </w:rPr>
        <w:t xml:space="preserve">rtijen </w:t>
      </w:r>
      <w:r w:rsidRPr="00E8113B">
        <w:rPr>
          <w:szCs w:val="18"/>
        </w:rPr>
        <w:t xml:space="preserve">het landelijk kader uit van de basisfunctionaliteit. Naast de basisfunctionaliteit dementie is er in het AZWA aandacht voor verschillende basisfunctionaliteiten </w:t>
      </w:r>
      <w:r>
        <w:rPr>
          <w:szCs w:val="18"/>
        </w:rPr>
        <w:t xml:space="preserve">en risicofactoren </w:t>
      </w:r>
      <w:r w:rsidRPr="00E8113B">
        <w:rPr>
          <w:szCs w:val="18"/>
        </w:rPr>
        <w:t>die raken aan dementie</w:t>
      </w:r>
      <w:r w:rsidR="000E2DA1">
        <w:rPr>
          <w:szCs w:val="18"/>
        </w:rPr>
        <w:t>,</w:t>
      </w:r>
      <w:r w:rsidRPr="00E8113B">
        <w:rPr>
          <w:szCs w:val="18"/>
        </w:rPr>
        <w:t xml:space="preserve"> zoals het terugdringen van roken</w:t>
      </w:r>
      <w:r>
        <w:rPr>
          <w:szCs w:val="18"/>
        </w:rPr>
        <w:t>,</w:t>
      </w:r>
      <w:r w:rsidRPr="00E8113B">
        <w:rPr>
          <w:szCs w:val="18"/>
        </w:rPr>
        <w:t xml:space="preserve"> overgewicht</w:t>
      </w:r>
      <w:r>
        <w:rPr>
          <w:szCs w:val="18"/>
        </w:rPr>
        <w:t xml:space="preserve"> en </w:t>
      </w:r>
      <w:r w:rsidRPr="00E8113B">
        <w:rPr>
          <w:szCs w:val="18"/>
        </w:rPr>
        <w:t>eenzaamheid. De in het AZWA beschreven afspraken over de versterking van de sociale basis z</w:t>
      </w:r>
      <w:r>
        <w:rPr>
          <w:szCs w:val="18"/>
        </w:rPr>
        <w:t xml:space="preserve">ullen </w:t>
      </w:r>
      <w:r w:rsidRPr="00E8113B">
        <w:rPr>
          <w:szCs w:val="18"/>
        </w:rPr>
        <w:t xml:space="preserve">eveneens bijdragen aan het tegengaan van eenzaamheid en dragen dus ook bij aan risicoreductie op dementie. </w:t>
      </w:r>
    </w:p>
    <w:p w:rsidR="00AC3A44" w:rsidP="00D7730C" w:rsidRDefault="00AC3A44" w14:paraId="593BDBC0" w14:textId="77777777">
      <w:pPr>
        <w:spacing w:line="240" w:lineRule="auto"/>
        <w:rPr>
          <w:szCs w:val="18"/>
        </w:rPr>
      </w:pPr>
    </w:p>
    <w:p w:rsidR="00AC3A44" w:rsidP="00D7730C" w:rsidRDefault="007C571D" w14:paraId="686A2A64" w14:textId="77777777">
      <w:pPr>
        <w:tabs>
          <w:tab w:val="num" w:pos="720"/>
        </w:tabs>
        <w:spacing w:line="240" w:lineRule="auto"/>
        <w:rPr>
          <w:szCs w:val="18"/>
        </w:rPr>
      </w:pPr>
      <w:r w:rsidRPr="00E8113B">
        <w:rPr>
          <w:szCs w:val="18"/>
        </w:rPr>
        <w:t xml:space="preserve">De </w:t>
      </w:r>
      <w:r>
        <w:rPr>
          <w:szCs w:val="18"/>
        </w:rPr>
        <w:t>GR</w:t>
      </w:r>
      <w:r w:rsidRPr="00E8113B">
        <w:rPr>
          <w:szCs w:val="18"/>
        </w:rPr>
        <w:t xml:space="preserve"> constateert terecht dat eenduidig </w:t>
      </w:r>
      <w:r>
        <w:rPr>
          <w:szCs w:val="18"/>
        </w:rPr>
        <w:t xml:space="preserve">causaal </w:t>
      </w:r>
      <w:r w:rsidRPr="00E8113B">
        <w:rPr>
          <w:szCs w:val="18"/>
        </w:rPr>
        <w:t xml:space="preserve">bewijs </w:t>
      </w:r>
      <w:r>
        <w:rPr>
          <w:szCs w:val="18"/>
        </w:rPr>
        <w:t xml:space="preserve">ontbreekt dat </w:t>
      </w:r>
      <w:r w:rsidRPr="00E8113B">
        <w:rPr>
          <w:szCs w:val="18"/>
        </w:rPr>
        <w:t xml:space="preserve">maatregelen op risicofactoren voor dementie het risico daadwerkelijk verlagen en dat dit moeilijk te onderzoeken is. </w:t>
      </w:r>
    </w:p>
    <w:p w:rsidRPr="00BD4E43" w:rsidR="00AC3A44" w:rsidP="00D7730C" w:rsidRDefault="007C571D" w14:paraId="4BE92FC5" w14:textId="77777777">
      <w:pPr>
        <w:tabs>
          <w:tab w:val="num" w:pos="720"/>
        </w:tabs>
        <w:spacing w:line="240" w:lineRule="auto"/>
        <w:rPr>
          <w:szCs w:val="18"/>
        </w:rPr>
      </w:pPr>
      <w:r w:rsidRPr="00E8113B">
        <w:rPr>
          <w:szCs w:val="18"/>
        </w:rPr>
        <w:t>Op 16 december 2025 heeft de</w:t>
      </w:r>
      <w:r w:rsidR="00380A78">
        <w:rPr>
          <w:szCs w:val="18"/>
        </w:rPr>
        <w:t xml:space="preserve"> toenmalige</w:t>
      </w:r>
      <w:r w:rsidRPr="00E8113B">
        <w:rPr>
          <w:szCs w:val="18"/>
        </w:rPr>
        <w:t xml:space="preserve"> staatssecretaris J</w:t>
      </w:r>
      <w:r>
        <w:rPr>
          <w:szCs w:val="18"/>
        </w:rPr>
        <w:t xml:space="preserve">eugd, </w:t>
      </w:r>
      <w:r w:rsidRPr="00E8113B">
        <w:rPr>
          <w:szCs w:val="18"/>
        </w:rPr>
        <w:t>P</w:t>
      </w:r>
      <w:r>
        <w:rPr>
          <w:szCs w:val="18"/>
        </w:rPr>
        <w:t xml:space="preserve">reventie en </w:t>
      </w:r>
      <w:r w:rsidRPr="00E8113B">
        <w:rPr>
          <w:szCs w:val="18"/>
        </w:rPr>
        <w:t>S</w:t>
      </w:r>
      <w:r>
        <w:rPr>
          <w:szCs w:val="18"/>
        </w:rPr>
        <w:t>port (JPS)</w:t>
      </w:r>
      <w:r w:rsidRPr="00E8113B">
        <w:rPr>
          <w:szCs w:val="18"/>
        </w:rPr>
        <w:t xml:space="preserve"> uw Kamer geïnformeerd over de ontwikkeling van het afwegingskader voor het investeringsmodel preventie</w:t>
      </w:r>
      <w:r>
        <w:rPr>
          <w:rStyle w:val="Voetnootmarkering"/>
          <w:szCs w:val="18"/>
        </w:rPr>
        <w:footnoteReference w:id="6"/>
      </w:r>
      <w:r w:rsidRPr="00E8113B">
        <w:rPr>
          <w:szCs w:val="18"/>
        </w:rPr>
        <w:t>, dat voortbouwt op de richtlijn passend bewijs. Enkele casussen ter ontwikkeling van dit afwegingskader zijn al uit</w:t>
      </w:r>
      <w:r w:rsidR="00E27496">
        <w:rPr>
          <w:szCs w:val="18"/>
        </w:rPr>
        <w:softHyphen/>
      </w:r>
      <w:r w:rsidRPr="00E8113B">
        <w:rPr>
          <w:szCs w:val="18"/>
        </w:rPr>
        <w:t xml:space="preserve">gewerkt. </w:t>
      </w:r>
      <w:r>
        <w:rPr>
          <w:szCs w:val="18"/>
        </w:rPr>
        <w:t xml:space="preserve">Op dit moment verkent het RIVM of het opportuun is ook een casus op gebied van dementie </w:t>
      </w:r>
      <w:r w:rsidR="000E2DA1">
        <w:rPr>
          <w:szCs w:val="18"/>
        </w:rPr>
        <w:t>via</w:t>
      </w:r>
      <w:r>
        <w:rPr>
          <w:szCs w:val="18"/>
        </w:rPr>
        <w:t xml:space="preserve"> het afwegingskader uit te werken. </w:t>
      </w:r>
      <w:r w:rsidRPr="00E8113B">
        <w:rPr>
          <w:szCs w:val="18"/>
        </w:rPr>
        <w:t xml:space="preserve">Daarbij gaat het RIVM waar relevant gebruik maken van onderzoeksuitkomsten die onder de vlag van de </w:t>
      </w:r>
      <w:r>
        <w:rPr>
          <w:szCs w:val="18"/>
        </w:rPr>
        <w:t xml:space="preserve">NDS </w:t>
      </w:r>
      <w:r w:rsidRPr="00E8113B">
        <w:rPr>
          <w:szCs w:val="18"/>
        </w:rPr>
        <w:t>tot stand komen. Met subsidie van ZonMw richt het consortium NDPI</w:t>
      </w:r>
      <w:r>
        <w:rPr>
          <w:rStyle w:val="Voetnootmarkering"/>
          <w:szCs w:val="18"/>
        </w:rPr>
        <w:footnoteReference w:id="7"/>
      </w:r>
      <w:r w:rsidRPr="00E8113B">
        <w:rPr>
          <w:szCs w:val="18"/>
        </w:rPr>
        <w:t xml:space="preserve"> zich op leefstijlinterventies voor mensen met een hoger risico op dementie. Daarnaast focust het consortium BIRD</w:t>
      </w:r>
      <w:r w:rsidR="006B7305">
        <w:rPr>
          <w:szCs w:val="18"/>
        </w:rPr>
        <w:t>-</w:t>
      </w:r>
      <w:r w:rsidRPr="00E8113B">
        <w:rPr>
          <w:szCs w:val="18"/>
        </w:rPr>
        <w:t>NL</w:t>
      </w:r>
      <w:r>
        <w:rPr>
          <w:rStyle w:val="Voetnootmarkering"/>
          <w:szCs w:val="18"/>
        </w:rPr>
        <w:footnoteReference w:id="8"/>
      </w:r>
      <w:r w:rsidRPr="00E8113B">
        <w:rPr>
          <w:szCs w:val="18"/>
        </w:rPr>
        <w:t xml:space="preserve"> </w:t>
      </w:r>
      <w:r>
        <w:rPr>
          <w:szCs w:val="18"/>
        </w:rPr>
        <w:t xml:space="preserve">op kennisontwikkeling over </w:t>
      </w:r>
      <w:r w:rsidR="000E2DA1">
        <w:rPr>
          <w:szCs w:val="18"/>
        </w:rPr>
        <w:t>b</w:t>
      </w:r>
      <w:r w:rsidRPr="00E8113B" w:rsidR="000E2DA1">
        <w:rPr>
          <w:szCs w:val="18"/>
        </w:rPr>
        <w:t>eïnvloed</w:t>
      </w:r>
      <w:r w:rsidR="000E2DA1">
        <w:rPr>
          <w:szCs w:val="18"/>
        </w:rPr>
        <w:t>b</w:t>
      </w:r>
      <w:r w:rsidRPr="00E8113B" w:rsidR="000E2DA1">
        <w:rPr>
          <w:szCs w:val="18"/>
        </w:rPr>
        <w:t>are</w:t>
      </w:r>
      <w:r w:rsidRPr="00E8113B">
        <w:rPr>
          <w:szCs w:val="18"/>
        </w:rPr>
        <w:t xml:space="preserve"> </w:t>
      </w:r>
      <w:r>
        <w:rPr>
          <w:szCs w:val="18"/>
        </w:rPr>
        <w:t>r</w:t>
      </w:r>
      <w:r w:rsidRPr="00E8113B">
        <w:rPr>
          <w:szCs w:val="18"/>
        </w:rPr>
        <w:t>isico</w:t>
      </w:r>
      <w:r>
        <w:rPr>
          <w:szCs w:val="18"/>
        </w:rPr>
        <w:t xml:space="preserve">- en beschermende </w:t>
      </w:r>
      <w:r w:rsidRPr="00E8113B">
        <w:rPr>
          <w:szCs w:val="18"/>
        </w:rPr>
        <w:t xml:space="preserve">factoren voor </w:t>
      </w:r>
      <w:r>
        <w:rPr>
          <w:szCs w:val="18"/>
        </w:rPr>
        <w:t>p</w:t>
      </w:r>
      <w:r w:rsidRPr="00E8113B">
        <w:rPr>
          <w:szCs w:val="18"/>
        </w:rPr>
        <w:t xml:space="preserve">reventie van </w:t>
      </w:r>
      <w:r>
        <w:rPr>
          <w:szCs w:val="18"/>
        </w:rPr>
        <w:t>d</w:t>
      </w:r>
      <w:r w:rsidRPr="00E8113B">
        <w:rPr>
          <w:szCs w:val="18"/>
        </w:rPr>
        <w:t xml:space="preserve">ementie </w:t>
      </w:r>
      <w:r>
        <w:rPr>
          <w:szCs w:val="18"/>
        </w:rPr>
        <w:t>en</w:t>
      </w:r>
      <w:r w:rsidRPr="00E8113B">
        <w:rPr>
          <w:szCs w:val="18"/>
        </w:rPr>
        <w:t xml:space="preserve"> </w:t>
      </w:r>
      <w:r>
        <w:rPr>
          <w:szCs w:val="18"/>
        </w:rPr>
        <w:t>w</w:t>
      </w:r>
      <w:r w:rsidRPr="00BD4E43">
        <w:rPr>
          <w:szCs w:val="18"/>
        </w:rPr>
        <w:t xml:space="preserve">at zijn de meest belovende preventiestrategieën </w:t>
      </w:r>
      <w:r>
        <w:rPr>
          <w:szCs w:val="18"/>
        </w:rPr>
        <w:t>hiervoor.</w:t>
      </w:r>
    </w:p>
    <w:p w:rsidRPr="00E8113B" w:rsidR="00AC3A44" w:rsidP="00D7730C" w:rsidRDefault="00AC3A44" w14:paraId="4BDA728E" w14:textId="77777777">
      <w:pPr>
        <w:spacing w:line="240" w:lineRule="auto"/>
        <w:rPr>
          <w:szCs w:val="18"/>
        </w:rPr>
      </w:pPr>
    </w:p>
    <w:p w:rsidR="00AC3A44" w:rsidP="00D7730C" w:rsidRDefault="007C571D" w14:paraId="16699133" w14:textId="77777777">
      <w:pPr>
        <w:spacing w:line="240" w:lineRule="auto"/>
        <w:rPr>
          <w:szCs w:val="18"/>
        </w:rPr>
      </w:pPr>
      <w:r w:rsidRPr="00E8113B">
        <w:rPr>
          <w:szCs w:val="18"/>
        </w:rPr>
        <w:t xml:space="preserve">De </w:t>
      </w:r>
      <w:r>
        <w:rPr>
          <w:szCs w:val="18"/>
        </w:rPr>
        <w:t>GR</w:t>
      </w:r>
      <w:r w:rsidRPr="00E8113B">
        <w:rPr>
          <w:szCs w:val="18"/>
        </w:rPr>
        <w:t xml:space="preserve"> vraagt specifiek aandacht voor de rol van hoge bloeddruk als risicofactor voor dementie. De minister van VWS zal met het Nederland Huisartsengenoot</w:t>
      </w:r>
      <w:r w:rsidR="009231DC">
        <w:rPr>
          <w:szCs w:val="18"/>
        </w:rPr>
        <w:t>-</w:t>
      </w:r>
      <w:r w:rsidRPr="00E8113B">
        <w:rPr>
          <w:szCs w:val="18"/>
        </w:rPr>
        <w:t xml:space="preserve">schap (NHG) in gesprek gaan over welke gevolgen het advies van de </w:t>
      </w:r>
      <w:r>
        <w:rPr>
          <w:szCs w:val="18"/>
        </w:rPr>
        <w:t>GR</w:t>
      </w:r>
      <w:r w:rsidRPr="00E8113B">
        <w:rPr>
          <w:szCs w:val="18"/>
        </w:rPr>
        <w:t xml:space="preserve"> heeft voor de behandeling van mensen met een hoge bloeddruk. Of dit leidt tot een andere afweging over in welke gevallen over te gaan tot behandeling is aan zorgprofessionals om te bepalen. </w:t>
      </w:r>
    </w:p>
    <w:p w:rsidRPr="00E8113B" w:rsidR="00AC3A44" w:rsidP="00D7730C" w:rsidRDefault="007C571D" w14:paraId="6AF3FC4F" w14:textId="77777777">
      <w:pPr>
        <w:spacing w:line="240" w:lineRule="auto"/>
        <w:rPr>
          <w:szCs w:val="18"/>
        </w:rPr>
      </w:pPr>
      <w:r w:rsidRPr="00E8113B">
        <w:rPr>
          <w:szCs w:val="18"/>
        </w:rPr>
        <w:t xml:space="preserve">Ook kan de inzet op een gezonde leefstijl mogelijk bijdragen aan de risicoreductie op dementie. Eerste onderzoeksresultaten suggereren dat dit effectief kan zijn. Daarbij geldt wel dat de kosteneffectiviteit nog beter moet worden onderbouwd. In het Integraal Zorgakkoord (IZA) maakte </w:t>
      </w:r>
      <w:r w:rsidR="00D12156">
        <w:rPr>
          <w:szCs w:val="18"/>
        </w:rPr>
        <w:t>de voormalig</w:t>
      </w:r>
      <w:r w:rsidR="00F968C4">
        <w:rPr>
          <w:szCs w:val="18"/>
        </w:rPr>
        <w:t>e</w:t>
      </w:r>
      <w:r w:rsidR="00D12156">
        <w:rPr>
          <w:szCs w:val="18"/>
        </w:rPr>
        <w:t xml:space="preserve"> minister van </w:t>
      </w:r>
      <w:r w:rsidRPr="00E8113B">
        <w:rPr>
          <w:szCs w:val="18"/>
        </w:rPr>
        <w:t xml:space="preserve">VWS </w:t>
      </w:r>
      <w:r w:rsidRPr="00E8113B" w:rsidR="000E2DA1">
        <w:rPr>
          <w:szCs w:val="18"/>
        </w:rPr>
        <w:t>al</w:t>
      </w:r>
      <w:r w:rsidRPr="00E8113B">
        <w:rPr>
          <w:szCs w:val="18"/>
        </w:rPr>
        <w:t xml:space="preserve"> samen met partijen afspraken over de inzet op gezond leven en preventie in en vanuit de zorg. De ambitie is om leefstijl integraal onderdeel te maken van de reguliere zorg voor mensen met een gezondheidsklacht, aandoening of ziekte, naast medicijnen, technologie en andere behandelingen. Om uitvoering te geven aan deze afspraken, en als aanjager van verandering, is een tijdelijke samenwerking van partijen opgericht; de Coalitie Leefstijl in de Zorg. Het ZonMw programma Leefs</w:t>
      </w:r>
      <w:r w:rsidRPr="00E8113B">
        <w:rPr>
          <w:szCs w:val="18"/>
        </w:rPr>
        <w:t>tijl in de Zorg draagt via kennisontwikkeling bij aan het doel van de Coalitie. Het betreft onderzoek dat nodig is om leefstijl in de zorg breed te implementeren, inclusief onderzoek naar achterliggende mechanismes, en de (kosten)effectiviteit van leefstijlinterventies. Zo wordt via dit programma onderzoek gedaan naar de (kosten)effectiviteit van dementie risicoreductie via individueel leefstijladvies: de Leefstijl interventie op de GeHeugenpoli Trial (LIGHT)</w:t>
      </w:r>
      <w:r w:rsidR="00D12156">
        <w:rPr>
          <w:szCs w:val="18"/>
        </w:rPr>
        <w:t>.</w:t>
      </w:r>
      <w:r>
        <w:rPr>
          <w:rStyle w:val="Voetnootmarkering"/>
          <w:szCs w:val="18"/>
        </w:rPr>
        <w:footnoteReference w:id="9"/>
      </w:r>
      <w:r w:rsidRPr="00E8113B">
        <w:rPr>
          <w:szCs w:val="18"/>
        </w:rPr>
        <w:t xml:space="preserve">    </w:t>
      </w:r>
    </w:p>
    <w:p w:rsidRPr="00E8113B" w:rsidR="00AC3A44" w:rsidP="00D7730C" w:rsidRDefault="007C571D" w14:paraId="3E1E84D7" w14:textId="77777777">
      <w:pPr>
        <w:spacing w:line="240" w:lineRule="auto"/>
        <w:rPr>
          <w:szCs w:val="18"/>
        </w:rPr>
      </w:pPr>
      <w:r w:rsidRPr="00E8113B">
        <w:rPr>
          <w:szCs w:val="18"/>
        </w:rPr>
        <w:lastRenderedPageBreak/>
        <w:t>In de Landelijke nota gezondheidsbeleid 2025-2028 die de</w:t>
      </w:r>
      <w:r w:rsidR="00753F5E">
        <w:rPr>
          <w:szCs w:val="18"/>
        </w:rPr>
        <w:t xml:space="preserve"> voormalig</w:t>
      </w:r>
      <w:r w:rsidR="00CE38AA">
        <w:rPr>
          <w:szCs w:val="18"/>
        </w:rPr>
        <w:t>e</w:t>
      </w:r>
      <w:r w:rsidRPr="00E8113B">
        <w:rPr>
          <w:szCs w:val="18"/>
        </w:rPr>
        <w:t xml:space="preserve"> staatssecretaris JPS op 12 december 2025 uitbracht</w:t>
      </w:r>
      <w:r>
        <w:rPr>
          <w:rStyle w:val="Voetnootmarkering"/>
          <w:szCs w:val="18"/>
        </w:rPr>
        <w:footnoteReference w:id="10"/>
      </w:r>
      <w:r w:rsidRPr="00E8113B">
        <w:rPr>
          <w:szCs w:val="18"/>
        </w:rPr>
        <w:t xml:space="preserve"> wijst zij gemeenten en GGD’en op hun rol bij het vergroten van bewustzijn over dementierisico</w:t>
      </w:r>
      <w:r w:rsidR="00CE175A">
        <w:rPr>
          <w:szCs w:val="18"/>
        </w:rPr>
        <w:t xml:space="preserve"> </w:t>
      </w:r>
      <w:r w:rsidRPr="00E8113B">
        <w:rPr>
          <w:szCs w:val="18"/>
        </w:rPr>
        <w:t xml:space="preserve">reductie. </w:t>
      </w:r>
    </w:p>
    <w:p w:rsidRPr="00E8113B" w:rsidR="00AC3A44" w:rsidP="00D7730C" w:rsidRDefault="00AC3A44" w14:paraId="33DB087E" w14:textId="77777777">
      <w:pPr>
        <w:spacing w:line="240" w:lineRule="auto"/>
        <w:rPr>
          <w:szCs w:val="18"/>
        </w:rPr>
      </w:pPr>
    </w:p>
    <w:p w:rsidRPr="002464CD" w:rsidR="00AC3A44" w:rsidP="00D7730C" w:rsidRDefault="007C571D" w14:paraId="74E1A230" w14:textId="77777777">
      <w:pPr>
        <w:spacing w:line="240" w:lineRule="auto"/>
        <w:rPr>
          <w:i/>
          <w:iCs/>
          <w:szCs w:val="18"/>
          <w:u w:val="single"/>
        </w:rPr>
      </w:pPr>
      <w:r w:rsidRPr="002464CD">
        <w:rPr>
          <w:i/>
          <w:iCs/>
          <w:szCs w:val="18"/>
          <w:u w:val="single"/>
        </w:rPr>
        <w:t>Vroegdiagnostiek</w:t>
      </w:r>
    </w:p>
    <w:p w:rsidRPr="00576C14" w:rsidR="00AC3A44" w:rsidP="00D7730C" w:rsidRDefault="007C571D" w14:paraId="0F17F22B" w14:textId="77777777">
      <w:pPr>
        <w:spacing w:line="240" w:lineRule="auto"/>
        <w:rPr>
          <w:szCs w:val="18"/>
        </w:rPr>
      </w:pPr>
      <w:r w:rsidRPr="00576C14">
        <w:rPr>
          <w:szCs w:val="18"/>
        </w:rPr>
        <w:t xml:space="preserve">Een vroege diagnose richt zich op het zo vroeg mogelijk vaststellen van </w:t>
      </w:r>
      <w:r w:rsidRPr="00576C14" w:rsidR="000E2DA1">
        <w:rPr>
          <w:szCs w:val="18"/>
        </w:rPr>
        <w:t>de</w:t>
      </w:r>
      <w:r w:rsidR="000E2DA1">
        <w:rPr>
          <w:szCs w:val="18"/>
        </w:rPr>
        <w:t xml:space="preserve"> klinische</w:t>
      </w:r>
      <w:r w:rsidRPr="00C55223">
        <w:rPr>
          <w:szCs w:val="18"/>
        </w:rPr>
        <w:t xml:space="preserve"> verschijnselen of ziekteprocessen die tot dementie kunnen leiden</w:t>
      </w:r>
      <w:r>
        <w:rPr>
          <w:szCs w:val="18"/>
        </w:rPr>
        <w:t>,</w:t>
      </w:r>
      <w:r w:rsidRPr="00C55223">
        <w:rPr>
          <w:szCs w:val="18"/>
        </w:rPr>
        <w:t xml:space="preserve"> </w:t>
      </w:r>
      <w:r w:rsidRPr="00576C14">
        <w:rPr>
          <w:szCs w:val="18"/>
        </w:rPr>
        <w:t xml:space="preserve"> bijvoorbeeld in een stadium van milde cognitieve stoornissen of </w:t>
      </w:r>
      <w:r w:rsidRPr="00660795">
        <w:rPr>
          <w:szCs w:val="18"/>
        </w:rPr>
        <w:t>zelfs vóór duidelijke klachten</w:t>
      </w:r>
      <w:r w:rsidRPr="00576C14">
        <w:rPr>
          <w:szCs w:val="18"/>
        </w:rPr>
        <w:t>. De meerwaarde hiervan is echter beperkt zolang effectieve curatieve behandeling ontbreekt en er risico’s zijn op medicalisering en psychologische belasting.</w:t>
      </w:r>
      <w:r>
        <w:rPr>
          <w:szCs w:val="18"/>
        </w:rPr>
        <w:t xml:space="preserve"> </w:t>
      </w:r>
      <w:r w:rsidRPr="00576C14">
        <w:rPr>
          <w:szCs w:val="18"/>
        </w:rPr>
        <w:t xml:space="preserve">Een tijdige diagnose </w:t>
      </w:r>
      <w:r>
        <w:rPr>
          <w:szCs w:val="18"/>
        </w:rPr>
        <w:t xml:space="preserve">daarentegen </w:t>
      </w:r>
      <w:r w:rsidRPr="00576C14">
        <w:rPr>
          <w:szCs w:val="18"/>
        </w:rPr>
        <w:t xml:space="preserve">betreft het stellen van de diagnose op een </w:t>
      </w:r>
      <w:r w:rsidRPr="00660795">
        <w:rPr>
          <w:szCs w:val="18"/>
        </w:rPr>
        <w:t>moment dat mensen cognitieve veranderingen opmerken en hulp zoeken</w:t>
      </w:r>
      <w:r>
        <w:rPr>
          <w:szCs w:val="18"/>
        </w:rPr>
        <w:t>,</w:t>
      </w:r>
      <w:r w:rsidRPr="00660795">
        <w:rPr>
          <w:szCs w:val="18"/>
        </w:rPr>
        <w:t xml:space="preserve"> </w:t>
      </w:r>
      <w:r>
        <w:t>meestal wanneer klachten leiden tot</w:t>
      </w:r>
      <w:r>
        <w:t xml:space="preserve"> merkbare beperkingen in dagelijks functioneren.</w:t>
      </w:r>
      <w:r w:rsidRPr="00660795">
        <w:rPr>
          <w:szCs w:val="18"/>
        </w:rPr>
        <w:t xml:space="preserve"> </w:t>
      </w:r>
    </w:p>
    <w:p w:rsidRPr="00576C14" w:rsidR="00AC3A44" w:rsidP="00D7730C" w:rsidRDefault="007C571D" w14:paraId="24B2104C" w14:textId="77777777">
      <w:pPr>
        <w:spacing w:line="240" w:lineRule="auto"/>
        <w:rPr>
          <w:vanish/>
          <w:szCs w:val="18"/>
        </w:rPr>
      </w:pPr>
      <w:r w:rsidRPr="00576C14">
        <w:rPr>
          <w:vanish/>
          <w:szCs w:val="18"/>
        </w:rPr>
        <w:t>Bovenkant formulier</w:t>
      </w:r>
    </w:p>
    <w:p w:rsidRPr="00576C14" w:rsidR="00AC3A44" w:rsidP="00D7730C" w:rsidRDefault="00AC3A44" w14:paraId="5E2801AF" w14:textId="77777777">
      <w:pPr>
        <w:spacing w:line="240" w:lineRule="auto"/>
        <w:rPr>
          <w:szCs w:val="18"/>
        </w:rPr>
      </w:pPr>
    </w:p>
    <w:p w:rsidRPr="00E8113B" w:rsidR="00AC3A44" w:rsidP="00D7730C" w:rsidRDefault="007C571D" w14:paraId="3FD57AC1" w14:textId="77777777">
      <w:pPr>
        <w:spacing w:line="240" w:lineRule="auto"/>
        <w:rPr>
          <w:szCs w:val="18"/>
        </w:rPr>
      </w:pPr>
      <w:r w:rsidRPr="00E8113B">
        <w:rPr>
          <w:szCs w:val="18"/>
        </w:rPr>
        <w:t xml:space="preserve">De beperkte mogelijkheden op dit moment om dementie in een vroege fase vast te stellen, benadrukken de noodzaak tot verdere ontwikkeling en validatie van beter voorspellende diagnostische strategieën. </w:t>
      </w:r>
    </w:p>
    <w:p w:rsidRPr="00576C14" w:rsidR="00AC3A44" w:rsidP="00D7730C" w:rsidRDefault="007C571D" w14:paraId="7BD31254" w14:textId="77777777">
      <w:pPr>
        <w:spacing w:line="240" w:lineRule="auto"/>
        <w:rPr>
          <w:vanish/>
          <w:szCs w:val="18"/>
        </w:rPr>
      </w:pPr>
      <w:r w:rsidRPr="00576C14">
        <w:rPr>
          <w:vanish/>
          <w:szCs w:val="18"/>
        </w:rPr>
        <w:t>Onderkant formulier</w:t>
      </w:r>
    </w:p>
    <w:p w:rsidR="00AC3A44" w:rsidP="00D7730C" w:rsidRDefault="00AC3A44" w14:paraId="6B732702" w14:textId="77777777">
      <w:pPr>
        <w:spacing w:line="240" w:lineRule="auto"/>
        <w:rPr>
          <w:szCs w:val="18"/>
        </w:rPr>
      </w:pPr>
    </w:p>
    <w:p w:rsidRPr="00E8113B" w:rsidR="00AC3A44" w:rsidP="00D7730C" w:rsidRDefault="007C571D" w14:paraId="3BAC79BA" w14:textId="77777777">
      <w:pPr>
        <w:spacing w:line="240" w:lineRule="auto"/>
        <w:rPr>
          <w:szCs w:val="18"/>
        </w:rPr>
      </w:pPr>
      <w:r>
        <w:rPr>
          <w:szCs w:val="18"/>
        </w:rPr>
        <w:t>Ik</w:t>
      </w:r>
      <w:r w:rsidRPr="00E8113B">
        <w:rPr>
          <w:szCs w:val="18"/>
        </w:rPr>
        <w:t xml:space="preserve"> hecht groot belang aan een zorgvuldige en tijdige diagnostiek. Ondanks dat een effectieve behandeling of genezing (nog) niet mogelijk is, vermindert een tijdige diagnose bij de patiënten en hun naasten onzekerheid over de oorzaak van cognitieve klachten en stelt mensen met dementie en hun naasten in staat om passende zorg en ondersteuning tijdig te organiseren.</w:t>
      </w:r>
    </w:p>
    <w:p w:rsidRPr="00E8113B" w:rsidR="00AC3A44" w:rsidP="00D7730C" w:rsidRDefault="007C571D" w14:paraId="62C6B41A" w14:textId="77777777">
      <w:pPr>
        <w:spacing w:line="240" w:lineRule="auto"/>
        <w:rPr>
          <w:szCs w:val="18"/>
        </w:rPr>
      </w:pPr>
      <w:r w:rsidRPr="00E8113B">
        <w:rPr>
          <w:szCs w:val="18"/>
        </w:rPr>
        <w:t xml:space="preserve">Dit is ook de reden dat in de </w:t>
      </w:r>
      <w:r>
        <w:rPr>
          <w:szCs w:val="18"/>
        </w:rPr>
        <w:t>NDS</w:t>
      </w:r>
      <w:r w:rsidRPr="00E8113B">
        <w:rPr>
          <w:szCs w:val="18"/>
        </w:rPr>
        <w:t xml:space="preserve"> de afgelopen periode op dit punt een aantal concrete stappen zijn gezet om de (tijdige) diagnose en prognose van dementie te verbeteren:</w:t>
      </w:r>
    </w:p>
    <w:p w:rsidRPr="00E8113B" w:rsidR="00AC3A44" w:rsidP="00D7730C" w:rsidRDefault="00AC3A44" w14:paraId="7BF839FC" w14:textId="77777777">
      <w:pPr>
        <w:spacing w:line="240" w:lineRule="auto"/>
        <w:rPr>
          <w:szCs w:val="18"/>
        </w:rPr>
      </w:pPr>
    </w:p>
    <w:p w:rsidRPr="00E8113B" w:rsidR="00AC3A44" w:rsidP="00D7730C" w:rsidRDefault="007C571D" w14:paraId="7CD57201" w14:textId="77777777">
      <w:pPr>
        <w:pStyle w:val="Lijstalinea"/>
        <w:numPr>
          <w:ilvl w:val="0"/>
          <w:numId w:val="2"/>
        </w:numPr>
        <w:suppressAutoHyphens/>
        <w:spacing w:after="0" w:line="240" w:lineRule="auto"/>
        <w:ind w:left="284" w:hanging="284"/>
        <w:rPr>
          <w:rFonts w:ascii="Verdana" w:hAnsi="Verdana"/>
          <w:i/>
          <w:iCs/>
          <w:sz w:val="18"/>
          <w:szCs w:val="18"/>
        </w:rPr>
      </w:pPr>
      <w:r w:rsidRPr="00E8113B">
        <w:rPr>
          <w:rFonts w:ascii="Verdana" w:hAnsi="Verdana"/>
          <w:i/>
          <w:iCs/>
          <w:sz w:val="18"/>
          <w:szCs w:val="18"/>
        </w:rPr>
        <w:t xml:space="preserve">Onderzoek </w:t>
      </w:r>
    </w:p>
    <w:p w:rsidRPr="00576C14" w:rsidR="00AC3A44" w:rsidP="00D7730C" w:rsidRDefault="007C571D" w14:paraId="23837B23" w14:textId="77777777">
      <w:pPr>
        <w:pStyle w:val="Lijstalinea"/>
        <w:numPr>
          <w:ilvl w:val="0"/>
          <w:numId w:val="3"/>
        </w:numPr>
        <w:suppressAutoHyphens/>
        <w:spacing w:after="0" w:line="240" w:lineRule="auto"/>
        <w:rPr>
          <w:rFonts w:ascii="Verdana" w:hAnsi="Verdana"/>
          <w:sz w:val="18"/>
          <w:szCs w:val="18"/>
        </w:rPr>
      </w:pPr>
      <w:r w:rsidRPr="00E8113B">
        <w:rPr>
          <w:rFonts w:ascii="Verdana" w:hAnsi="Verdana"/>
          <w:sz w:val="18"/>
          <w:szCs w:val="18"/>
        </w:rPr>
        <w:t xml:space="preserve">Via het ZonMw Onderzoeksprogramma Dementie (OPD) stimuleert </w:t>
      </w:r>
      <w:r>
        <w:rPr>
          <w:rFonts w:ascii="Verdana" w:hAnsi="Verdana"/>
          <w:sz w:val="18"/>
          <w:szCs w:val="18"/>
        </w:rPr>
        <w:t>VWS</w:t>
      </w:r>
      <w:r w:rsidRPr="00E8113B">
        <w:rPr>
          <w:rFonts w:ascii="Verdana" w:hAnsi="Verdana"/>
          <w:sz w:val="18"/>
          <w:szCs w:val="18"/>
        </w:rPr>
        <w:t xml:space="preserve"> onderzoek naar (vroegtijdige) diagnostiek en prognostiek. In multidisciplinaire consortia wordt gewerkt aan het verbeteren en harmoniseren van persoonsgerichte diagnostiek voor verschillende vormen van dementie. Deze onderzoeken leveren kennis op over biomarkers en minder invasieve </w:t>
      </w:r>
      <w:r w:rsidRPr="00576C14">
        <w:rPr>
          <w:rFonts w:ascii="Verdana" w:hAnsi="Verdana"/>
          <w:sz w:val="18"/>
          <w:szCs w:val="18"/>
        </w:rPr>
        <w:t>methoden om hersenschade en vroege stadia van dementie op te sporen, die ook van belang is voor toekomstige behandelingen. Specifieke aandacht gaat ook in de onderzoekconsortia naar jonge mensen met dementie en cultuursensiti</w:t>
      </w:r>
      <w:r w:rsidRPr="00576C14">
        <w:rPr>
          <w:rFonts w:ascii="Verdana" w:hAnsi="Verdana"/>
          <w:sz w:val="18"/>
          <w:szCs w:val="18"/>
        </w:rPr>
        <w:t>viteit. Voor meer informatie verwijs ik u graag naar de laatste NDS voortgangsbrief van september 2025 waarin uw Kamer onder andere hierover is geïnformeerd</w:t>
      </w:r>
      <w:r>
        <w:rPr>
          <w:rStyle w:val="Voetnootmarkering"/>
          <w:rFonts w:ascii="Verdana" w:hAnsi="Verdana"/>
          <w:sz w:val="18"/>
          <w:szCs w:val="18"/>
        </w:rPr>
        <w:footnoteReference w:id="11"/>
      </w:r>
      <w:r w:rsidRPr="00576C14">
        <w:rPr>
          <w:rFonts w:ascii="Verdana" w:hAnsi="Verdana"/>
          <w:sz w:val="18"/>
          <w:szCs w:val="18"/>
        </w:rPr>
        <w:t xml:space="preserve">. </w:t>
      </w:r>
    </w:p>
    <w:p w:rsidRPr="00576C14" w:rsidR="00AC3A44" w:rsidP="00D7730C" w:rsidRDefault="007C571D" w14:paraId="0617C16A" w14:textId="77777777">
      <w:pPr>
        <w:pStyle w:val="Lijstalinea"/>
        <w:numPr>
          <w:ilvl w:val="0"/>
          <w:numId w:val="3"/>
        </w:numPr>
        <w:suppressAutoHyphens/>
        <w:spacing w:after="0" w:line="240" w:lineRule="auto"/>
        <w:rPr>
          <w:rFonts w:ascii="Verdana" w:hAnsi="Verdana"/>
          <w:sz w:val="18"/>
          <w:szCs w:val="18"/>
        </w:rPr>
      </w:pPr>
      <w:r w:rsidRPr="00576C14">
        <w:rPr>
          <w:rFonts w:ascii="Verdana" w:hAnsi="Verdana"/>
          <w:sz w:val="18"/>
          <w:szCs w:val="18"/>
        </w:rPr>
        <w:t>ZonMw heeft momenteel de vervolgfase van multidisciplinaire consortia binnen het OPD via een nieuwe subsidieronde in behandeling. Diagnostiek en prognostiek en jonge mensen met dementie zijn twee van de vier thema’s waarvoor een vervolgaanvraag is ingediend. Deze subsidieronde kan de kennis over (vroegtijdige) diagnostiek verder verdiepen en bijdragen aan de implementatie van ontwikkelde inzichten in de praktijk.</w:t>
      </w:r>
    </w:p>
    <w:p w:rsidRPr="00E8113B" w:rsidR="00AC3A44" w:rsidP="00D7730C" w:rsidRDefault="00AC3A44" w14:paraId="5863AEDD" w14:textId="77777777">
      <w:pPr>
        <w:pStyle w:val="Lijstalinea"/>
        <w:suppressAutoHyphens/>
        <w:spacing w:after="0" w:line="240" w:lineRule="auto"/>
        <w:ind w:left="284"/>
        <w:rPr>
          <w:rFonts w:ascii="Verdana" w:hAnsi="Verdana"/>
          <w:i/>
          <w:iCs/>
          <w:sz w:val="18"/>
          <w:szCs w:val="18"/>
        </w:rPr>
      </w:pPr>
    </w:p>
    <w:p w:rsidRPr="00D12156" w:rsidR="00AC3A44" w:rsidP="00D7730C" w:rsidRDefault="007C571D" w14:paraId="03382656" w14:textId="77777777">
      <w:pPr>
        <w:pStyle w:val="Lijstalinea"/>
        <w:numPr>
          <w:ilvl w:val="0"/>
          <w:numId w:val="8"/>
        </w:numPr>
        <w:suppressAutoHyphens/>
        <w:spacing w:line="240" w:lineRule="auto"/>
        <w:rPr>
          <w:szCs w:val="18"/>
        </w:rPr>
      </w:pPr>
      <w:r w:rsidRPr="00D12156">
        <w:rPr>
          <w:i/>
          <w:iCs/>
          <w:szCs w:val="18"/>
        </w:rPr>
        <w:t xml:space="preserve">Zorgstandaard Dementie </w:t>
      </w:r>
    </w:p>
    <w:p w:rsidRPr="00BD3D89" w:rsidR="00AC3A44" w:rsidP="00D7730C" w:rsidRDefault="007C571D" w14:paraId="1C2360C0" w14:textId="77777777">
      <w:pPr>
        <w:pStyle w:val="Lijstalinea"/>
        <w:numPr>
          <w:ilvl w:val="0"/>
          <w:numId w:val="3"/>
        </w:numPr>
        <w:suppressAutoHyphens/>
        <w:spacing w:after="0" w:line="240" w:lineRule="auto"/>
        <w:rPr>
          <w:rFonts w:ascii="Verdana" w:hAnsi="Verdana"/>
          <w:sz w:val="18"/>
          <w:szCs w:val="18"/>
        </w:rPr>
      </w:pPr>
      <w:r w:rsidRPr="00BD3D89">
        <w:rPr>
          <w:rFonts w:ascii="Verdana" w:hAnsi="Verdana"/>
          <w:sz w:val="18"/>
          <w:szCs w:val="18"/>
        </w:rPr>
        <w:t>Zowel in de afgelopen periode als de komende jaren ondersteunt de NDS de implementatie van de Zorgstandaard Dementie (</w:t>
      </w:r>
      <w:r w:rsidRPr="00BD3D89" w:rsidR="00BD3D89">
        <w:rPr>
          <w:rFonts w:ascii="Verdana" w:hAnsi="Verdana"/>
          <w:sz w:val="18"/>
          <w:szCs w:val="18"/>
        </w:rPr>
        <w:t xml:space="preserve">waarvan de </w:t>
      </w:r>
      <w:r w:rsidRPr="00BD3D89">
        <w:rPr>
          <w:rFonts w:ascii="Verdana" w:hAnsi="Verdana"/>
          <w:sz w:val="18"/>
          <w:szCs w:val="18"/>
        </w:rPr>
        <w:t xml:space="preserve">actualisatie </w:t>
      </w:r>
      <w:r w:rsidRPr="00BD3D89" w:rsidR="00BD3D89">
        <w:rPr>
          <w:rFonts w:ascii="Verdana" w:hAnsi="Verdana"/>
          <w:sz w:val="18"/>
          <w:szCs w:val="18"/>
        </w:rPr>
        <w:t xml:space="preserve">in 2025 is </w:t>
      </w:r>
      <w:r w:rsidRPr="00BD3D89">
        <w:rPr>
          <w:rFonts w:ascii="Verdana" w:hAnsi="Verdana"/>
          <w:sz w:val="18"/>
          <w:szCs w:val="18"/>
        </w:rPr>
        <w:t>gestart) in alle regionale dementienetwerken via Dementie Netwerk Nederland</w:t>
      </w:r>
      <w:r w:rsidRPr="00BD3D89" w:rsidR="006B7305">
        <w:rPr>
          <w:rFonts w:ascii="Verdana" w:hAnsi="Verdana"/>
          <w:sz w:val="18"/>
          <w:szCs w:val="18"/>
        </w:rPr>
        <w:t xml:space="preserve"> (DNN)</w:t>
      </w:r>
      <w:r w:rsidRPr="00BD3D89">
        <w:rPr>
          <w:rFonts w:ascii="Verdana" w:hAnsi="Verdana"/>
          <w:sz w:val="18"/>
          <w:szCs w:val="18"/>
        </w:rPr>
        <w:t>. Deze zorgstandaard beschrijft het volledige zorg- en ondersteuningsproces voor mensen met dementie en hun naasten, van</w:t>
      </w:r>
      <w:r w:rsidRPr="00BD3D89" w:rsidR="002A247B">
        <w:rPr>
          <w:rFonts w:ascii="Verdana" w:hAnsi="Verdana"/>
          <w:sz w:val="18"/>
          <w:szCs w:val="18"/>
        </w:rPr>
        <w:t>af</w:t>
      </w:r>
      <w:r w:rsidRPr="00BD3D89">
        <w:rPr>
          <w:rFonts w:ascii="Verdana" w:hAnsi="Verdana"/>
          <w:sz w:val="18"/>
          <w:szCs w:val="18"/>
        </w:rPr>
        <w:t xml:space="preserve"> de niet-pluisfase (het vermoeden op dementie) tot en </w:t>
      </w:r>
      <w:r w:rsidRPr="00BD3D89">
        <w:rPr>
          <w:rFonts w:ascii="Verdana" w:hAnsi="Verdana"/>
          <w:sz w:val="18"/>
          <w:szCs w:val="18"/>
        </w:rPr>
        <w:lastRenderedPageBreak/>
        <w:t xml:space="preserve">met </w:t>
      </w:r>
      <w:r w:rsidRPr="00BD3D89" w:rsidR="00BD3D89">
        <w:rPr>
          <w:rFonts w:ascii="Verdana" w:hAnsi="Verdana"/>
          <w:sz w:val="18"/>
          <w:szCs w:val="18"/>
        </w:rPr>
        <w:t xml:space="preserve">de fase van </w:t>
      </w:r>
      <w:r w:rsidRPr="00BD3D89">
        <w:rPr>
          <w:rFonts w:ascii="Verdana" w:hAnsi="Verdana"/>
          <w:sz w:val="18"/>
          <w:szCs w:val="18"/>
        </w:rPr>
        <w:t>het levenseinde</w:t>
      </w:r>
      <w:r w:rsidRPr="00BD3D89" w:rsidR="002A247B">
        <w:rPr>
          <w:rFonts w:ascii="Verdana" w:hAnsi="Verdana"/>
          <w:sz w:val="18"/>
          <w:szCs w:val="18"/>
        </w:rPr>
        <w:t xml:space="preserve">. </w:t>
      </w:r>
      <w:r w:rsidR="00BD3D89">
        <w:rPr>
          <w:rFonts w:ascii="Verdana" w:hAnsi="Verdana"/>
          <w:sz w:val="18"/>
          <w:szCs w:val="18"/>
        </w:rPr>
        <w:t>D</w:t>
      </w:r>
      <w:r w:rsidRPr="00BD3D89" w:rsidR="00BD3D89">
        <w:rPr>
          <w:rFonts w:ascii="Verdana" w:hAnsi="Verdana"/>
          <w:sz w:val="18"/>
          <w:szCs w:val="18"/>
        </w:rPr>
        <w:t xml:space="preserve">aarbij </w:t>
      </w:r>
      <w:r w:rsidR="00BD3D89">
        <w:rPr>
          <w:rFonts w:ascii="Verdana" w:hAnsi="Verdana"/>
          <w:sz w:val="18"/>
          <w:szCs w:val="18"/>
        </w:rPr>
        <w:t>besteedt d</w:t>
      </w:r>
      <w:r w:rsidRPr="00BD3D89" w:rsidR="002A247B">
        <w:rPr>
          <w:rFonts w:ascii="Verdana" w:hAnsi="Verdana"/>
          <w:sz w:val="18"/>
          <w:szCs w:val="18"/>
        </w:rPr>
        <w:t xml:space="preserve">e </w:t>
      </w:r>
      <w:r w:rsidR="00BD3D89">
        <w:rPr>
          <w:rFonts w:ascii="Verdana" w:hAnsi="Verdana"/>
          <w:sz w:val="18"/>
          <w:szCs w:val="18"/>
        </w:rPr>
        <w:t>zorg</w:t>
      </w:r>
      <w:r w:rsidRPr="00BD3D89" w:rsidR="002A247B">
        <w:rPr>
          <w:rFonts w:ascii="Verdana" w:hAnsi="Verdana"/>
          <w:sz w:val="18"/>
          <w:szCs w:val="18"/>
        </w:rPr>
        <w:t xml:space="preserve">standaard </w:t>
      </w:r>
      <w:r w:rsidRPr="00BD3D89">
        <w:rPr>
          <w:rFonts w:ascii="Verdana" w:hAnsi="Verdana"/>
          <w:sz w:val="18"/>
          <w:szCs w:val="18"/>
        </w:rPr>
        <w:t xml:space="preserve">onder meer aandacht </w:t>
      </w:r>
      <w:r w:rsidRPr="00BD3D89" w:rsidR="002A247B">
        <w:rPr>
          <w:rFonts w:ascii="Verdana" w:hAnsi="Verdana"/>
          <w:sz w:val="18"/>
          <w:szCs w:val="18"/>
        </w:rPr>
        <w:t>aan</w:t>
      </w:r>
      <w:r w:rsidRPr="00BD3D89">
        <w:rPr>
          <w:rFonts w:ascii="Verdana" w:hAnsi="Verdana"/>
          <w:sz w:val="18"/>
          <w:szCs w:val="18"/>
        </w:rPr>
        <w:t xml:space="preserve"> tijdige diagnostiek en </w:t>
      </w:r>
      <w:r w:rsidRPr="00BD3D89" w:rsidR="00BD3D89">
        <w:rPr>
          <w:rFonts w:ascii="Verdana" w:hAnsi="Verdana"/>
          <w:sz w:val="18"/>
          <w:szCs w:val="18"/>
        </w:rPr>
        <w:t>aan het waarborgen van</w:t>
      </w:r>
      <w:r w:rsidRPr="00BD3D89">
        <w:rPr>
          <w:rFonts w:ascii="Verdana" w:hAnsi="Verdana"/>
          <w:sz w:val="18"/>
          <w:szCs w:val="18"/>
        </w:rPr>
        <w:t xml:space="preserve"> continuïteit en samenhang</w:t>
      </w:r>
      <w:r w:rsidRPr="00BD3D89" w:rsidR="002A247B">
        <w:rPr>
          <w:rFonts w:ascii="Verdana" w:hAnsi="Verdana"/>
          <w:sz w:val="18"/>
          <w:szCs w:val="18"/>
        </w:rPr>
        <w:t xml:space="preserve"> in de zorg en ondersteuning</w:t>
      </w:r>
      <w:r w:rsidRPr="00BD3D89">
        <w:rPr>
          <w:rFonts w:ascii="Verdana" w:hAnsi="Verdana"/>
          <w:sz w:val="18"/>
          <w:szCs w:val="18"/>
        </w:rPr>
        <w:t xml:space="preserve">. </w:t>
      </w:r>
      <w:r w:rsidRPr="00BD3D89" w:rsidR="002A247B">
        <w:rPr>
          <w:rFonts w:ascii="Verdana" w:hAnsi="Verdana"/>
          <w:sz w:val="18"/>
          <w:szCs w:val="18"/>
        </w:rPr>
        <w:t xml:space="preserve">De zorgstandaard gaat uit van een persoonsgerichte benadering, waarbij het behoud van eigen regie en het bevorderen van kwaliteit van </w:t>
      </w:r>
      <w:r w:rsidR="00531764">
        <w:rPr>
          <w:rFonts w:ascii="Verdana" w:hAnsi="Verdana"/>
          <w:sz w:val="18"/>
          <w:szCs w:val="18"/>
        </w:rPr>
        <w:t>leven</w:t>
      </w:r>
      <w:r w:rsidRPr="00BD3D89" w:rsidR="002A247B">
        <w:rPr>
          <w:rFonts w:ascii="Verdana" w:hAnsi="Verdana"/>
          <w:sz w:val="18"/>
          <w:szCs w:val="18"/>
        </w:rPr>
        <w:t xml:space="preserve"> voor mensen met dementie centraal staan.</w:t>
      </w:r>
      <w:r w:rsidRPr="00BD3D89" w:rsidR="00BD3D89">
        <w:rPr>
          <w:rFonts w:ascii="Verdana" w:hAnsi="Verdana"/>
          <w:sz w:val="18"/>
          <w:szCs w:val="18"/>
        </w:rPr>
        <w:t xml:space="preserve"> </w:t>
      </w:r>
      <w:r w:rsidRPr="00BD3D89">
        <w:rPr>
          <w:rFonts w:ascii="Verdana" w:hAnsi="Verdana" w:eastAsia="Times New Roman" w:cs="Segoe UI"/>
          <w:kern w:val="0"/>
          <w:sz w:val="18"/>
          <w:szCs w:val="18"/>
          <w:lang w:eastAsia="nl-NL"/>
        </w:rPr>
        <w:t xml:space="preserve">De </w:t>
      </w:r>
      <w:r w:rsidR="007C6524">
        <w:rPr>
          <w:rFonts w:ascii="Verdana" w:hAnsi="Verdana" w:eastAsia="Times New Roman" w:cs="Segoe UI"/>
          <w:kern w:val="0"/>
          <w:sz w:val="18"/>
          <w:szCs w:val="18"/>
          <w:lang w:eastAsia="nl-NL"/>
        </w:rPr>
        <w:t>z</w:t>
      </w:r>
      <w:r w:rsidRPr="00BD3D89">
        <w:rPr>
          <w:rFonts w:ascii="Verdana" w:hAnsi="Verdana" w:eastAsia="Times New Roman" w:cs="Segoe UI"/>
          <w:kern w:val="0"/>
          <w:sz w:val="18"/>
          <w:szCs w:val="18"/>
          <w:lang w:eastAsia="nl-NL"/>
        </w:rPr>
        <w:t xml:space="preserve">orgstandaard is </w:t>
      </w:r>
      <w:r w:rsidRPr="00BD3D89" w:rsidR="00BD3D89">
        <w:rPr>
          <w:rFonts w:ascii="Verdana" w:hAnsi="Verdana" w:eastAsia="Times New Roman" w:cs="Segoe UI"/>
          <w:kern w:val="0"/>
          <w:sz w:val="18"/>
          <w:szCs w:val="18"/>
          <w:lang w:eastAsia="nl-NL"/>
        </w:rPr>
        <w:t xml:space="preserve">ook </w:t>
      </w:r>
      <w:r w:rsidRPr="00BD3D89">
        <w:rPr>
          <w:rFonts w:ascii="Verdana" w:hAnsi="Verdana" w:eastAsia="Times New Roman" w:cs="Segoe UI"/>
          <w:kern w:val="0"/>
          <w:sz w:val="18"/>
          <w:szCs w:val="18"/>
          <w:lang w:eastAsia="nl-NL"/>
        </w:rPr>
        <w:t xml:space="preserve">diversiteitssensitief geformuleerd, met aandacht voor onder andere migratieachtergrond, verstandelijke beperking, laag-geletterdheid en dementie op jonge leeftijd. </w:t>
      </w:r>
      <w:r w:rsidRPr="00BD3D89">
        <w:rPr>
          <w:rFonts w:ascii="Verdana" w:hAnsi="Verdana" w:cs="Segoe UI"/>
          <w:sz w:val="18"/>
          <w:szCs w:val="18"/>
        </w:rPr>
        <w:t>Dat wil zeggen dat de tekst zo is opgesteld dat deze voor een zo groot mogelijke groep mensen met dementie en hun</w:t>
      </w:r>
      <w:r w:rsidRPr="00BD3D89">
        <w:rPr>
          <w:rFonts w:ascii="Verdana" w:hAnsi="Verdana" w:cs="Segoe UI"/>
          <w:sz w:val="18"/>
          <w:szCs w:val="18"/>
        </w:rPr>
        <w:t xml:space="preserve"> naasten van toepassing is, ongeacht wie ze zijn, wat hun achtergrond, leeftijd en levensfase is.</w:t>
      </w:r>
    </w:p>
    <w:p w:rsidRPr="00E8113B" w:rsidR="00AC3A44" w:rsidP="00D7730C" w:rsidRDefault="007C571D" w14:paraId="14435F60" w14:textId="77777777">
      <w:pPr>
        <w:pStyle w:val="Lijstalinea"/>
        <w:numPr>
          <w:ilvl w:val="0"/>
          <w:numId w:val="6"/>
        </w:numPr>
        <w:suppressAutoHyphens/>
        <w:spacing w:after="0" w:line="240" w:lineRule="auto"/>
        <w:rPr>
          <w:rFonts w:ascii="Verdana" w:hAnsi="Verdana"/>
          <w:sz w:val="18"/>
          <w:szCs w:val="18"/>
        </w:rPr>
      </w:pPr>
      <w:r w:rsidRPr="00BD3D89">
        <w:rPr>
          <w:rFonts w:ascii="Verdana" w:hAnsi="Verdana"/>
          <w:sz w:val="18"/>
          <w:szCs w:val="18"/>
        </w:rPr>
        <w:t>Casemanagement dementie is in de Zorgstandaard</w:t>
      </w:r>
      <w:r w:rsidRPr="00E8113B">
        <w:rPr>
          <w:rFonts w:ascii="Verdana" w:hAnsi="Verdana"/>
          <w:sz w:val="18"/>
          <w:szCs w:val="18"/>
        </w:rPr>
        <w:t xml:space="preserve"> </w:t>
      </w:r>
      <w:r>
        <w:rPr>
          <w:rFonts w:ascii="Verdana" w:hAnsi="Verdana"/>
          <w:sz w:val="18"/>
          <w:szCs w:val="18"/>
        </w:rPr>
        <w:t>D</w:t>
      </w:r>
      <w:r w:rsidRPr="00E8113B">
        <w:rPr>
          <w:rFonts w:ascii="Verdana" w:hAnsi="Verdana"/>
          <w:sz w:val="18"/>
          <w:szCs w:val="18"/>
        </w:rPr>
        <w:t xml:space="preserve">ementie een van de randvoorwaarden. Door de inzet van casemanagement kunnen mensen met dementie en hun naasten vroegtijdig de juiste hulp en ondersteuning krijgen, ook om in goede omstandigheden zo lang mogelijk thuis te blijven wonen en de zorg voor mantelzorgers te verlichten. Deze zorg en ondersteuning wordt vormgegeven door professionals met specialistische kennis van dementie, in nauwe samenwerking met zorg, welzijn en het sociale domein. In </w:t>
      </w:r>
      <w:r w:rsidR="00CE38AA">
        <w:rPr>
          <w:rFonts w:ascii="Verdana" w:hAnsi="Verdana"/>
          <w:sz w:val="18"/>
          <w:szCs w:val="18"/>
        </w:rPr>
        <w:t>de</w:t>
      </w:r>
      <w:r w:rsidRPr="00E8113B">
        <w:rPr>
          <w:rFonts w:ascii="Verdana" w:hAnsi="Verdana"/>
          <w:sz w:val="18"/>
          <w:szCs w:val="18"/>
        </w:rPr>
        <w:t xml:space="preserve"> brief aan uw Kamer van 9 december 2025 </w:t>
      </w:r>
      <w:r w:rsidR="00CE38AA">
        <w:rPr>
          <w:rFonts w:ascii="Verdana" w:hAnsi="Verdana"/>
          <w:sz w:val="18"/>
          <w:szCs w:val="18"/>
        </w:rPr>
        <w:t xml:space="preserve">is </w:t>
      </w:r>
      <w:r w:rsidRPr="00E8113B">
        <w:rPr>
          <w:rFonts w:ascii="Verdana" w:hAnsi="Verdana"/>
          <w:sz w:val="18"/>
          <w:szCs w:val="18"/>
        </w:rPr>
        <w:t xml:space="preserve"> toegelicht hoe de inzet van casemanagement binnen hechte wijkverbanden in de eerstelijnszorg verder kan worden gestimuleerd.</w:t>
      </w:r>
    </w:p>
    <w:p w:rsidRPr="00E8113B" w:rsidR="00AC3A44" w:rsidP="00D7730C" w:rsidRDefault="007C571D" w14:paraId="77AEA423" w14:textId="77777777">
      <w:pPr>
        <w:pStyle w:val="Lijstalinea"/>
        <w:numPr>
          <w:ilvl w:val="0"/>
          <w:numId w:val="6"/>
        </w:numPr>
        <w:suppressAutoHyphens/>
        <w:spacing w:after="0" w:line="240" w:lineRule="auto"/>
        <w:rPr>
          <w:rFonts w:ascii="Verdana" w:hAnsi="Verdana"/>
          <w:sz w:val="18"/>
          <w:szCs w:val="18"/>
        </w:rPr>
      </w:pPr>
      <w:r w:rsidRPr="00E8113B">
        <w:rPr>
          <w:rFonts w:ascii="Verdana" w:hAnsi="Verdana"/>
          <w:sz w:val="18"/>
          <w:szCs w:val="18"/>
        </w:rPr>
        <w:t>Casemanagement kan reeds in de niet-pluisfase worden ingezet binnen de Zorgverzekeringswet en draagt bij aan tijdige inzet van de juiste des</w:t>
      </w:r>
      <w:r w:rsidR="009231DC">
        <w:rPr>
          <w:rFonts w:ascii="Verdana" w:hAnsi="Verdana"/>
          <w:sz w:val="18"/>
          <w:szCs w:val="18"/>
        </w:rPr>
        <w:t>k</w:t>
      </w:r>
      <w:r w:rsidRPr="00E8113B">
        <w:rPr>
          <w:rFonts w:ascii="Verdana" w:hAnsi="Verdana"/>
          <w:sz w:val="18"/>
          <w:szCs w:val="18"/>
        </w:rPr>
        <w:t>undigheid. In de uitwerking van de visie eerstelijn met de regionale eerstelijnssamenwerkingsverbanden (RESV’s) wordt hiermee rekening gehouden.</w:t>
      </w:r>
    </w:p>
    <w:p w:rsidRPr="00E8113B" w:rsidR="00AC3A44" w:rsidP="00D7730C" w:rsidRDefault="007C571D" w14:paraId="01DBD0C0" w14:textId="77777777">
      <w:pPr>
        <w:pStyle w:val="Lijstalinea"/>
        <w:numPr>
          <w:ilvl w:val="0"/>
          <w:numId w:val="4"/>
        </w:numPr>
        <w:suppressAutoHyphens/>
        <w:spacing w:after="0" w:line="240" w:lineRule="auto"/>
        <w:ind w:left="567" w:hanging="283"/>
        <w:rPr>
          <w:rFonts w:ascii="Verdana" w:hAnsi="Verdana"/>
          <w:vanish/>
          <w:sz w:val="18"/>
          <w:szCs w:val="18"/>
        </w:rPr>
      </w:pPr>
      <w:r w:rsidRPr="00E8113B">
        <w:rPr>
          <w:rFonts w:ascii="Verdana" w:hAnsi="Verdana"/>
          <w:vanish/>
          <w:sz w:val="18"/>
          <w:szCs w:val="18"/>
        </w:rPr>
        <w:t>Onderkant formulier</w:t>
      </w:r>
    </w:p>
    <w:p w:rsidRPr="00E8113B" w:rsidR="00AC3A44" w:rsidP="00D7730C" w:rsidRDefault="00AC3A44" w14:paraId="68E3F6F1" w14:textId="77777777">
      <w:pPr>
        <w:spacing w:line="240" w:lineRule="auto"/>
        <w:ind w:left="284"/>
        <w:rPr>
          <w:szCs w:val="18"/>
        </w:rPr>
      </w:pPr>
    </w:p>
    <w:p w:rsidRPr="002464CD" w:rsidR="00AC3A44" w:rsidP="00D7730C" w:rsidRDefault="007C571D" w14:paraId="0C85674E" w14:textId="77777777">
      <w:pPr>
        <w:pStyle w:val="Lijstalinea"/>
        <w:numPr>
          <w:ilvl w:val="0"/>
          <w:numId w:val="5"/>
        </w:numPr>
        <w:suppressAutoHyphens/>
        <w:spacing w:after="0" w:line="240" w:lineRule="auto"/>
        <w:ind w:left="284" w:hanging="284"/>
        <w:rPr>
          <w:rFonts w:ascii="Verdana" w:hAnsi="Verdana"/>
          <w:i/>
          <w:iCs/>
          <w:sz w:val="18"/>
          <w:szCs w:val="18"/>
        </w:rPr>
      </w:pPr>
      <w:bookmarkStart w:name="_Hlk222943414" w:id="0"/>
      <w:r w:rsidRPr="002464CD">
        <w:rPr>
          <w:rFonts w:ascii="Verdana" w:hAnsi="Verdana"/>
          <w:i/>
          <w:iCs/>
          <w:sz w:val="18"/>
          <w:szCs w:val="18"/>
        </w:rPr>
        <w:t>Therapie-ontwikkeling</w:t>
      </w:r>
    </w:p>
    <w:p w:rsidR="00AC3A44" w:rsidP="00D7730C" w:rsidRDefault="007C571D" w14:paraId="74D8C717" w14:textId="77777777">
      <w:pPr>
        <w:pStyle w:val="Lijstalinea"/>
        <w:numPr>
          <w:ilvl w:val="0"/>
          <w:numId w:val="7"/>
        </w:numPr>
        <w:suppressAutoHyphens/>
        <w:spacing w:after="0" w:line="240" w:lineRule="auto"/>
        <w:rPr>
          <w:rFonts w:ascii="Verdana" w:hAnsi="Verdana"/>
          <w:sz w:val="18"/>
          <w:szCs w:val="18"/>
        </w:rPr>
      </w:pPr>
      <w:bookmarkStart w:name="_Hlk220589526" w:id="1"/>
      <w:r>
        <w:rPr>
          <w:rFonts w:ascii="Verdana" w:hAnsi="Verdana"/>
          <w:sz w:val="18"/>
          <w:szCs w:val="18"/>
        </w:rPr>
        <w:t>O</w:t>
      </w:r>
      <w:r w:rsidRPr="00E36FFA">
        <w:rPr>
          <w:rFonts w:ascii="Verdana" w:hAnsi="Verdana"/>
          <w:sz w:val="18"/>
          <w:szCs w:val="18"/>
        </w:rPr>
        <w:t xml:space="preserve">p 18 februari 2026 heeft Zorginstituut Nederland de minister van VWS geadviseerd om </w:t>
      </w:r>
      <w:r w:rsidR="006B7305">
        <w:rPr>
          <w:rFonts w:ascii="Verdana" w:hAnsi="Verdana"/>
          <w:sz w:val="18"/>
          <w:szCs w:val="18"/>
        </w:rPr>
        <w:t>L</w:t>
      </w:r>
      <w:r w:rsidRPr="00E36FFA">
        <w:rPr>
          <w:rFonts w:ascii="Verdana" w:hAnsi="Verdana"/>
          <w:sz w:val="18"/>
          <w:szCs w:val="18"/>
        </w:rPr>
        <w:t xml:space="preserve">ecanemab (Leqembi®) niet op te nemen in het basispakket voor de behandeling van volwassen patiënten met milde cognitieve stoornissen en milde dementie als gevolg van de ziekte van Alzheimer (beginnende Alzheimer). Het ZiNL heeft vastgesteld dat lecanemab bij genoemde indicatie niet voldoet aan het wettelijke criterium ‘stand van de wetenschap en praktijk’. </w:t>
      </w:r>
    </w:p>
    <w:p w:rsidRPr="00E36FFA" w:rsidR="00AC3A44" w:rsidP="00D7730C" w:rsidRDefault="007C571D" w14:paraId="3B5AC08E" w14:textId="77777777">
      <w:pPr>
        <w:pStyle w:val="Lijstalinea"/>
        <w:numPr>
          <w:ilvl w:val="0"/>
          <w:numId w:val="7"/>
        </w:numPr>
        <w:suppressAutoHyphens/>
        <w:spacing w:after="0" w:line="240" w:lineRule="auto"/>
        <w:rPr>
          <w:rFonts w:ascii="Verdana" w:hAnsi="Verdana"/>
          <w:sz w:val="18"/>
          <w:szCs w:val="18"/>
        </w:rPr>
      </w:pPr>
      <w:r w:rsidRPr="00E36FFA">
        <w:rPr>
          <w:rFonts w:ascii="Verdana" w:hAnsi="Verdana"/>
          <w:sz w:val="18"/>
          <w:szCs w:val="18"/>
        </w:rPr>
        <w:t xml:space="preserve">Hoewel </w:t>
      </w:r>
      <w:r>
        <w:rPr>
          <w:rFonts w:ascii="Verdana" w:hAnsi="Verdana"/>
          <w:sz w:val="18"/>
          <w:szCs w:val="18"/>
        </w:rPr>
        <w:t xml:space="preserve">het advies van </w:t>
      </w:r>
      <w:r w:rsidR="006B7305">
        <w:rPr>
          <w:rFonts w:ascii="Verdana" w:hAnsi="Verdana"/>
          <w:sz w:val="18"/>
          <w:szCs w:val="18"/>
        </w:rPr>
        <w:t>Zorginstituut Nederland</w:t>
      </w:r>
      <w:r>
        <w:rPr>
          <w:rFonts w:ascii="Verdana" w:hAnsi="Verdana"/>
          <w:sz w:val="18"/>
          <w:szCs w:val="18"/>
        </w:rPr>
        <w:t xml:space="preserve"> n</w:t>
      </w:r>
      <w:r w:rsidRPr="00E36FFA">
        <w:rPr>
          <w:rFonts w:ascii="Verdana" w:hAnsi="Verdana"/>
          <w:sz w:val="18"/>
          <w:szCs w:val="18"/>
        </w:rPr>
        <w:t xml:space="preserve">egatief </w:t>
      </w:r>
      <w:r>
        <w:rPr>
          <w:rFonts w:ascii="Verdana" w:hAnsi="Verdana"/>
          <w:sz w:val="18"/>
          <w:szCs w:val="18"/>
        </w:rPr>
        <w:t>is, zi</w:t>
      </w:r>
      <w:r w:rsidRPr="00E36FFA">
        <w:rPr>
          <w:rFonts w:ascii="Verdana" w:hAnsi="Verdana"/>
          <w:sz w:val="18"/>
          <w:szCs w:val="18"/>
        </w:rPr>
        <w:t>jn er meer</w:t>
      </w:r>
      <w:r>
        <w:rPr>
          <w:rFonts w:ascii="Verdana" w:hAnsi="Verdana"/>
          <w:sz w:val="18"/>
          <w:szCs w:val="18"/>
        </w:rPr>
        <w:t>dere nieuwe</w:t>
      </w:r>
      <w:r w:rsidRPr="00E36FFA">
        <w:rPr>
          <w:rFonts w:ascii="Verdana" w:hAnsi="Verdana"/>
          <w:sz w:val="18"/>
          <w:szCs w:val="18"/>
        </w:rPr>
        <w:t xml:space="preserve"> </w:t>
      </w:r>
      <w:r>
        <w:rPr>
          <w:rFonts w:ascii="Verdana" w:hAnsi="Verdana"/>
          <w:sz w:val="18"/>
          <w:szCs w:val="18"/>
        </w:rPr>
        <w:t>geneesmiddelen</w:t>
      </w:r>
      <w:r w:rsidRPr="00E36FFA">
        <w:rPr>
          <w:rFonts w:ascii="Verdana" w:hAnsi="Verdana"/>
          <w:sz w:val="18"/>
          <w:szCs w:val="18"/>
        </w:rPr>
        <w:t xml:space="preserve"> voor Alzheimer in ontwikkeling. </w:t>
      </w:r>
      <w:r>
        <w:rPr>
          <w:rFonts w:ascii="Verdana" w:hAnsi="Verdana"/>
          <w:sz w:val="18"/>
          <w:szCs w:val="18"/>
        </w:rPr>
        <w:t xml:space="preserve">Daarom </w:t>
      </w:r>
      <w:r w:rsidRPr="00E36FFA">
        <w:rPr>
          <w:rFonts w:ascii="Verdana" w:hAnsi="Verdana"/>
          <w:sz w:val="18"/>
          <w:szCs w:val="18"/>
        </w:rPr>
        <w:t xml:space="preserve">wordt binnen de kaders van het ZonMw OPD een verkenning uitgevoerd naar </w:t>
      </w:r>
      <w:r>
        <w:rPr>
          <w:rFonts w:ascii="Verdana" w:hAnsi="Verdana"/>
          <w:sz w:val="18"/>
          <w:szCs w:val="18"/>
        </w:rPr>
        <w:t xml:space="preserve">wat het </w:t>
      </w:r>
      <w:r w:rsidRPr="00E36FFA">
        <w:rPr>
          <w:rFonts w:ascii="Verdana" w:hAnsi="Verdana"/>
          <w:sz w:val="18"/>
          <w:szCs w:val="18"/>
        </w:rPr>
        <w:t xml:space="preserve">Nederlandse zorgsysteem </w:t>
      </w:r>
      <w:r>
        <w:rPr>
          <w:rFonts w:ascii="Verdana" w:hAnsi="Verdana"/>
          <w:sz w:val="18"/>
          <w:szCs w:val="18"/>
        </w:rPr>
        <w:t xml:space="preserve">nodig heeft als er in de toekomst </w:t>
      </w:r>
      <w:r w:rsidRPr="00E36FFA">
        <w:rPr>
          <w:rFonts w:ascii="Verdana" w:hAnsi="Verdana"/>
          <w:sz w:val="18"/>
          <w:szCs w:val="18"/>
        </w:rPr>
        <w:t xml:space="preserve">meerdere therapeutische </w:t>
      </w:r>
      <w:r w:rsidRPr="00E36FFA">
        <w:rPr>
          <w:rFonts w:ascii="Verdana" w:hAnsi="Verdana"/>
          <w:sz w:val="18"/>
          <w:szCs w:val="18"/>
        </w:rPr>
        <w:t>behandelopties</w:t>
      </w:r>
      <w:r>
        <w:rPr>
          <w:rFonts w:ascii="Verdana" w:hAnsi="Verdana"/>
          <w:sz w:val="18"/>
          <w:szCs w:val="18"/>
        </w:rPr>
        <w:t xml:space="preserve"> beschikbaar komen</w:t>
      </w:r>
      <w:r w:rsidRPr="00E36FFA">
        <w:rPr>
          <w:rFonts w:ascii="Verdana" w:hAnsi="Verdana"/>
          <w:sz w:val="18"/>
          <w:szCs w:val="18"/>
        </w:rPr>
        <w:t xml:space="preserve">. Daarbij is aandacht voor duiding en voorlichting aan behandelaars en het brede publiek, richtlijnen voor voorschrijven, ondersteuning bij gepast gebruik en monitoring van bijwerkingen. </w:t>
      </w:r>
      <w:bookmarkEnd w:id="1"/>
      <w:r w:rsidRPr="00E36FFA">
        <w:rPr>
          <w:rFonts w:ascii="Verdana" w:hAnsi="Verdana"/>
          <w:sz w:val="18"/>
          <w:szCs w:val="18"/>
        </w:rPr>
        <w:t xml:space="preserve">Op basis van de uitkomsten </w:t>
      </w:r>
      <w:r>
        <w:rPr>
          <w:rFonts w:ascii="Verdana" w:hAnsi="Verdana"/>
          <w:sz w:val="18"/>
          <w:szCs w:val="18"/>
        </w:rPr>
        <w:t xml:space="preserve">bepaalt VWS welke </w:t>
      </w:r>
      <w:r w:rsidRPr="00E36FFA">
        <w:rPr>
          <w:rFonts w:ascii="Verdana" w:hAnsi="Verdana"/>
          <w:sz w:val="18"/>
          <w:szCs w:val="18"/>
        </w:rPr>
        <w:t xml:space="preserve">vervolgstappen </w:t>
      </w:r>
      <w:r>
        <w:rPr>
          <w:rFonts w:ascii="Verdana" w:hAnsi="Verdana"/>
          <w:sz w:val="18"/>
          <w:szCs w:val="18"/>
        </w:rPr>
        <w:t xml:space="preserve">nodig zijn om het </w:t>
      </w:r>
      <w:r w:rsidRPr="00E36FFA">
        <w:rPr>
          <w:rFonts w:ascii="Verdana" w:hAnsi="Verdana"/>
          <w:sz w:val="18"/>
          <w:szCs w:val="18"/>
        </w:rPr>
        <w:t xml:space="preserve">zorgsysteem </w:t>
      </w:r>
      <w:r>
        <w:rPr>
          <w:rFonts w:ascii="Verdana" w:hAnsi="Verdana"/>
          <w:sz w:val="18"/>
          <w:szCs w:val="18"/>
        </w:rPr>
        <w:t>hierop vo</w:t>
      </w:r>
      <w:r w:rsidRPr="00E36FFA">
        <w:rPr>
          <w:rFonts w:ascii="Verdana" w:hAnsi="Verdana"/>
          <w:sz w:val="18"/>
          <w:szCs w:val="18"/>
        </w:rPr>
        <w:t>or</w:t>
      </w:r>
      <w:r>
        <w:rPr>
          <w:rFonts w:ascii="Verdana" w:hAnsi="Verdana"/>
          <w:sz w:val="18"/>
          <w:szCs w:val="18"/>
        </w:rPr>
        <w:t xml:space="preserve"> te </w:t>
      </w:r>
      <w:r w:rsidRPr="00E36FFA">
        <w:rPr>
          <w:rFonts w:ascii="Verdana" w:hAnsi="Verdana"/>
          <w:sz w:val="18"/>
          <w:szCs w:val="18"/>
        </w:rPr>
        <w:t>bereid</w:t>
      </w:r>
      <w:r>
        <w:rPr>
          <w:rFonts w:ascii="Verdana" w:hAnsi="Verdana"/>
          <w:sz w:val="18"/>
          <w:szCs w:val="18"/>
        </w:rPr>
        <w:t>en</w:t>
      </w:r>
      <w:r w:rsidRPr="00E36FFA">
        <w:rPr>
          <w:rFonts w:ascii="Verdana" w:hAnsi="Verdana"/>
          <w:sz w:val="18"/>
          <w:szCs w:val="18"/>
        </w:rPr>
        <w:t>.</w:t>
      </w:r>
      <w:bookmarkEnd w:id="0"/>
    </w:p>
    <w:p w:rsidRPr="00E8113B" w:rsidR="00AC3A44" w:rsidP="00D7730C" w:rsidRDefault="00AC3A44" w14:paraId="2399E386" w14:textId="77777777">
      <w:pPr>
        <w:pStyle w:val="Lijstalinea"/>
        <w:suppressAutoHyphens/>
        <w:spacing w:after="0" w:line="240" w:lineRule="auto"/>
        <w:rPr>
          <w:rFonts w:ascii="Verdana" w:hAnsi="Verdana"/>
          <w:sz w:val="18"/>
          <w:szCs w:val="18"/>
        </w:rPr>
      </w:pPr>
    </w:p>
    <w:p w:rsidR="00D7730C" w:rsidRDefault="00D7730C" w14:paraId="705FC204" w14:textId="4CD3E949">
      <w:pPr>
        <w:spacing w:line="240" w:lineRule="auto"/>
        <w:rPr>
          <w:szCs w:val="18"/>
        </w:rPr>
      </w:pPr>
      <w:r>
        <w:rPr>
          <w:szCs w:val="18"/>
        </w:rPr>
        <w:br w:type="page"/>
      </w:r>
    </w:p>
    <w:p w:rsidRPr="00D12156" w:rsidR="00AC3A44" w:rsidP="00D7730C" w:rsidRDefault="007C571D" w14:paraId="44FDA943" w14:textId="201B5B2E">
      <w:pPr>
        <w:spacing w:line="240" w:lineRule="auto"/>
        <w:rPr>
          <w:i/>
          <w:iCs/>
          <w:szCs w:val="18"/>
        </w:rPr>
      </w:pPr>
      <w:r w:rsidRPr="00D12156">
        <w:rPr>
          <w:i/>
          <w:iCs/>
          <w:szCs w:val="18"/>
        </w:rPr>
        <w:lastRenderedPageBreak/>
        <w:t>Tot slot</w:t>
      </w:r>
    </w:p>
    <w:p w:rsidRPr="00E8113B" w:rsidR="00AC3A44" w:rsidP="00D7730C" w:rsidRDefault="007C571D" w14:paraId="5253365F" w14:textId="77777777">
      <w:pPr>
        <w:spacing w:line="240" w:lineRule="auto"/>
        <w:rPr>
          <w:szCs w:val="18"/>
        </w:rPr>
      </w:pPr>
      <w:r>
        <w:rPr>
          <w:szCs w:val="18"/>
        </w:rPr>
        <w:t>Dementie heeft</w:t>
      </w:r>
      <w:r w:rsidRPr="00E8113B">
        <w:rPr>
          <w:szCs w:val="18"/>
        </w:rPr>
        <w:t xml:space="preserve"> ingrijpende gevolgen </w:t>
      </w:r>
      <w:r>
        <w:rPr>
          <w:szCs w:val="18"/>
        </w:rPr>
        <w:t xml:space="preserve">voor mensen met dementie, hun naasten en de samenleving. Daarom blijf ik mij samen </w:t>
      </w:r>
      <w:r w:rsidRPr="00E8113B">
        <w:rPr>
          <w:szCs w:val="18"/>
        </w:rPr>
        <w:t>met mijn collega bewindspers</w:t>
      </w:r>
      <w:r>
        <w:rPr>
          <w:szCs w:val="18"/>
        </w:rPr>
        <w:t>o</w:t>
      </w:r>
      <w:r w:rsidRPr="00E8113B">
        <w:rPr>
          <w:szCs w:val="18"/>
        </w:rPr>
        <w:t xml:space="preserve">on </w:t>
      </w:r>
      <w:r>
        <w:rPr>
          <w:szCs w:val="18"/>
        </w:rPr>
        <w:t>i</w:t>
      </w:r>
      <w:r w:rsidRPr="00E8113B">
        <w:rPr>
          <w:szCs w:val="18"/>
        </w:rPr>
        <w:t xml:space="preserve">nzetten </w:t>
      </w:r>
      <w:r>
        <w:rPr>
          <w:szCs w:val="18"/>
        </w:rPr>
        <w:t>voor</w:t>
      </w:r>
      <w:r w:rsidRPr="00E8113B">
        <w:rPr>
          <w:szCs w:val="18"/>
        </w:rPr>
        <w:t xml:space="preserve"> </w:t>
      </w:r>
      <w:r>
        <w:rPr>
          <w:szCs w:val="18"/>
        </w:rPr>
        <w:t xml:space="preserve">het </w:t>
      </w:r>
      <w:r w:rsidRPr="00E8113B">
        <w:rPr>
          <w:szCs w:val="18"/>
        </w:rPr>
        <w:t xml:space="preserve">vergroten van bewustwording, </w:t>
      </w:r>
      <w:r>
        <w:rPr>
          <w:szCs w:val="18"/>
        </w:rPr>
        <w:t xml:space="preserve">versterking van </w:t>
      </w:r>
      <w:r w:rsidRPr="00EB1068">
        <w:rPr>
          <w:szCs w:val="18"/>
        </w:rPr>
        <w:t>preventiebeleid gericht op het verminderen van risicofactoren voor dementie en</w:t>
      </w:r>
      <w:r w:rsidRPr="00E8113B">
        <w:rPr>
          <w:szCs w:val="18"/>
        </w:rPr>
        <w:t xml:space="preserve"> kwalitatief goede zorg voor mensen met dementie en hun omgeving. </w:t>
      </w:r>
    </w:p>
    <w:p w:rsidRPr="00E8113B" w:rsidR="00D14EA2" w:rsidP="00D7730C" w:rsidRDefault="00D14EA2" w14:paraId="5688256F" w14:textId="77777777">
      <w:pPr>
        <w:spacing w:line="240" w:lineRule="auto"/>
        <w:rPr>
          <w:szCs w:val="18"/>
        </w:rPr>
      </w:pPr>
    </w:p>
    <w:p w:rsidR="002508FA" w:rsidP="00D7730C" w:rsidRDefault="007C571D" w14:paraId="4010F69B" w14:textId="25B205C6">
      <w:pPr>
        <w:spacing w:line="240" w:lineRule="auto"/>
        <w:rPr>
          <w:szCs w:val="18"/>
        </w:rPr>
      </w:pPr>
      <w:r w:rsidRPr="00E8113B">
        <w:rPr>
          <w:szCs w:val="18"/>
        </w:rPr>
        <w:t xml:space="preserve">Hoogachtend, </w:t>
      </w:r>
    </w:p>
    <w:p w:rsidRPr="00020FFD" w:rsidR="00D7730C" w:rsidP="00D7730C" w:rsidRDefault="00D7730C" w14:paraId="48DF495A" w14:textId="77777777">
      <w:pPr>
        <w:spacing w:line="240" w:lineRule="auto"/>
        <w:rPr>
          <w:szCs w:val="18"/>
        </w:rPr>
      </w:pPr>
    </w:p>
    <w:p w:rsidR="00020FFD" w:rsidP="00D7730C" w:rsidRDefault="007C571D" w14:paraId="65D165A2" w14:textId="77777777">
      <w:pPr>
        <w:spacing w:line="240" w:lineRule="atLeast"/>
        <w:jc w:val="both"/>
      </w:pPr>
      <w:r>
        <w:t>de minister van Langdurige Zorg,</w:t>
      </w:r>
    </w:p>
    <w:p w:rsidR="00AC34C9" w:rsidP="00D7730C" w:rsidRDefault="007C571D" w14:paraId="2D34E313" w14:textId="77777777">
      <w:pPr>
        <w:spacing w:line="240" w:lineRule="atLeast"/>
        <w:jc w:val="both"/>
        <w:rPr>
          <w:szCs w:val="18"/>
        </w:rPr>
      </w:pPr>
      <w:r>
        <w:t>Jeugd en Sport</w:t>
      </w:r>
      <w:r>
        <w:rPr>
          <w:szCs w:val="18"/>
        </w:rPr>
        <w:t>,</w:t>
      </w:r>
    </w:p>
    <w:p w:rsidRPr="007B6A41" w:rsidR="00AC34C9" w:rsidP="00D7730C" w:rsidRDefault="00AC34C9" w14:paraId="60F826F8" w14:textId="77777777">
      <w:pPr>
        <w:spacing w:line="240" w:lineRule="atLeast"/>
        <w:rPr>
          <w:szCs w:val="18"/>
        </w:rPr>
      </w:pPr>
      <w:bookmarkStart w:name="bmkHandtekening" w:id="2"/>
    </w:p>
    <w:bookmarkEnd w:id="2"/>
    <w:p w:rsidR="00AC34C9" w:rsidP="00D7730C" w:rsidRDefault="007C571D" w14:paraId="2AFBD47B" w14:textId="77777777">
      <w:pPr>
        <w:spacing w:line="240" w:lineRule="atLeast"/>
      </w:pPr>
      <w:r>
        <w:cr/>
      </w:r>
      <w:r>
        <w:cr/>
      </w:r>
    </w:p>
    <w:p w:rsidRPr="007B6A41" w:rsidR="00020FFD" w:rsidP="00D7730C" w:rsidRDefault="00020FFD" w14:paraId="1A134B1A" w14:textId="77777777">
      <w:pPr>
        <w:spacing w:line="240" w:lineRule="atLeast"/>
        <w:rPr>
          <w:szCs w:val="18"/>
        </w:rPr>
      </w:pPr>
    </w:p>
    <w:p w:rsidRPr="007B6A41" w:rsidR="00AC34C9" w:rsidP="00D7730C" w:rsidRDefault="007C571D" w14:paraId="7134E4CE" w14:textId="77777777">
      <w:pPr>
        <w:spacing w:line="240" w:lineRule="atLeast"/>
        <w:jc w:val="both"/>
        <w:rPr>
          <w:szCs w:val="18"/>
        </w:rPr>
      </w:pPr>
      <w:r>
        <w:t>Mirjam Sterk</w:t>
      </w:r>
    </w:p>
    <w:p w:rsidRPr="007B6A41" w:rsidR="00AC34C9" w:rsidP="00D7730C" w:rsidRDefault="00AC34C9" w14:paraId="153AB42A"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D7730C" w:rsidRDefault="007F46E6" w14:paraId="081E7685" w14:textId="77777777">
      <w:pPr>
        <w:spacing w:line="240" w:lineRule="atLeast"/>
      </w:pPr>
    </w:p>
    <w:p w:rsidRPr="00450F72" w:rsidR="00EB704F" w:rsidP="00D7730C" w:rsidRDefault="00EB704F" w14:paraId="13B575D4"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FCC1" w14:textId="77777777" w:rsidR="00F877C6" w:rsidRDefault="00F877C6">
      <w:pPr>
        <w:spacing w:line="240" w:lineRule="auto"/>
      </w:pPr>
      <w:r>
        <w:separator/>
      </w:r>
    </w:p>
  </w:endnote>
  <w:endnote w:type="continuationSeparator" w:id="0">
    <w:p w14:paraId="422A0EBA" w14:textId="77777777" w:rsidR="00F877C6" w:rsidRDefault="00F87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9090" w14:textId="77777777" w:rsidR="00F877C6" w:rsidRDefault="00F877C6">
      <w:pPr>
        <w:spacing w:line="240" w:lineRule="auto"/>
      </w:pPr>
      <w:r>
        <w:separator/>
      </w:r>
    </w:p>
  </w:footnote>
  <w:footnote w:type="continuationSeparator" w:id="0">
    <w:p w14:paraId="35DD23F1" w14:textId="77777777" w:rsidR="00F877C6" w:rsidRDefault="00F877C6">
      <w:pPr>
        <w:spacing w:line="240" w:lineRule="auto"/>
      </w:pPr>
      <w:r>
        <w:continuationSeparator/>
      </w:r>
    </w:p>
  </w:footnote>
  <w:footnote w:id="1">
    <w:p w14:paraId="7AC14CDA" w14:textId="77777777" w:rsidR="00AC3A44" w:rsidRPr="00020FFD" w:rsidRDefault="007C571D" w:rsidP="00AC3A44">
      <w:pPr>
        <w:pStyle w:val="Voetnoottekst"/>
        <w:rPr>
          <w:sz w:val="16"/>
          <w:szCs w:val="16"/>
        </w:rPr>
      </w:pPr>
      <w:r w:rsidRPr="00020FFD">
        <w:rPr>
          <w:rStyle w:val="Voetnootmarkering"/>
          <w:sz w:val="16"/>
          <w:szCs w:val="16"/>
        </w:rPr>
        <w:footnoteRef/>
      </w:r>
      <w:r w:rsidRPr="00020FFD">
        <w:rPr>
          <w:sz w:val="16"/>
          <w:szCs w:val="16"/>
        </w:rPr>
        <w:t xml:space="preserve"> </w:t>
      </w:r>
      <w:r w:rsidR="00677B60" w:rsidRPr="00020FFD">
        <w:rPr>
          <w:sz w:val="16"/>
          <w:szCs w:val="16"/>
        </w:rPr>
        <w:t>Kamerstukken II</w:t>
      </w:r>
      <w:r w:rsidRPr="00020FFD">
        <w:rPr>
          <w:sz w:val="16"/>
          <w:szCs w:val="16"/>
        </w:rPr>
        <w:t xml:space="preserve"> 2025</w:t>
      </w:r>
      <w:r w:rsidR="00677B60" w:rsidRPr="00020FFD">
        <w:rPr>
          <w:sz w:val="16"/>
          <w:szCs w:val="16"/>
        </w:rPr>
        <w:t>/</w:t>
      </w:r>
      <w:r w:rsidRPr="00020FFD">
        <w:rPr>
          <w:sz w:val="16"/>
          <w:szCs w:val="16"/>
        </w:rPr>
        <w:t>26, 25</w:t>
      </w:r>
      <w:r w:rsidR="00D12156" w:rsidRPr="00020FFD">
        <w:rPr>
          <w:sz w:val="16"/>
          <w:szCs w:val="16"/>
        </w:rPr>
        <w:t xml:space="preserve"> </w:t>
      </w:r>
      <w:r w:rsidRPr="00020FFD">
        <w:rPr>
          <w:sz w:val="16"/>
          <w:szCs w:val="16"/>
        </w:rPr>
        <w:t xml:space="preserve">424 nr. 771. </w:t>
      </w:r>
    </w:p>
  </w:footnote>
  <w:footnote w:id="2">
    <w:p w14:paraId="64AE43F3" w14:textId="77777777" w:rsidR="00AC3A44" w:rsidRPr="00020FFD" w:rsidRDefault="007C571D" w:rsidP="00AC3A44">
      <w:pPr>
        <w:pStyle w:val="Voetnoottekst"/>
        <w:rPr>
          <w:sz w:val="16"/>
          <w:szCs w:val="16"/>
        </w:rPr>
      </w:pPr>
      <w:r w:rsidRPr="00020FFD">
        <w:rPr>
          <w:rStyle w:val="Voetnootmarkering"/>
          <w:sz w:val="16"/>
          <w:szCs w:val="16"/>
        </w:rPr>
        <w:footnoteRef/>
      </w:r>
      <w:r w:rsidRPr="00020FFD">
        <w:rPr>
          <w:sz w:val="16"/>
          <w:szCs w:val="16"/>
        </w:rPr>
        <w:t xml:space="preserve"> </w:t>
      </w:r>
      <w:hyperlink r:id="rId1" w:history="1">
        <w:r w:rsidR="00AC3A44" w:rsidRPr="00020FFD">
          <w:rPr>
            <w:rStyle w:val="Hyperlink"/>
            <w:sz w:val="16"/>
            <w:szCs w:val="16"/>
          </w:rPr>
          <w:t>Feiten en cijfers over dementie | Alzheimer Nederland</w:t>
        </w:r>
      </w:hyperlink>
    </w:p>
  </w:footnote>
  <w:footnote w:id="3">
    <w:p w14:paraId="0C71ABC1" w14:textId="77777777" w:rsidR="00AC3A44" w:rsidRPr="00020FFD" w:rsidRDefault="007C571D" w:rsidP="00AC3A44">
      <w:pPr>
        <w:pStyle w:val="Voetnoottekst"/>
        <w:rPr>
          <w:sz w:val="16"/>
          <w:szCs w:val="16"/>
        </w:rPr>
      </w:pPr>
      <w:r w:rsidRPr="00020FFD">
        <w:rPr>
          <w:rStyle w:val="Voetnootmarkering"/>
          <w:sz w:val="16"/>
          <w:szCs w:val="16"/>
        </w:rPr>
        <w:footnoteRef/>
      </w:r>
      <w:r w:rsidRPr="00020FFD">
        <w:rPr>
          <w:sz w:val="16"/>
          <w:szCs w:val="16"/>
        </w:rPr>
        <w:t xml:space="preserve"> </w:t>
      </w:r>
      <w:hyperlink r:id="rId2" w:history="1">
        <w:r w:rsidR="00AC3A44" w:rsidRPr="00020FFD">
          <w:rPr>
            <w:rStyle w:val="Hyperlink"/>
            <w:sz w:val="16"/>
            <w:szCs w:val="16"/>
          </w:rPr>
          <w:t>Ziekten en aandoeningen | Trendscenario VTV-2024 | Volksgezondheid Toekomst Verkenning 2024</w:t>
        </w:r>
      </w:hyperlink>
    </w:p>
  </w:footnote>
  <w:footnote w:id="4">
    <w:p w14:paraId="7FD6C2DB" w14:textId="77777777" w:rsidR="00AC3A44" w:rsidRPr="00EB1068" w:rsidRDefault="007C571D" w:rsidP="00AC3A44">
      <w:pPr>
        <w:pStyle w:val="Voetnoottekst"/>
        <w:rPr>
          <w:sz w:val="16"/>
          <w:szCs w:val="16"/>
        </w:rPr>
      </w:pPr>
      <w:r w:rsidRPr="00020FFD">
        <w:rPr>
          <w:rStyle w:val="Voetnootmarkering"/>
          <w:sz w:val="16"/>
          <w:szCs w:val="16"/>
        </w:rPr>
        <w:footnoteRef/>
      </w:r>
      <w:r w:rsidRPr="00020FFD">
        <w:rPr>
          <w:sz w:val="16"/>
          <w:szCs w:val="16"/>
        </w:rPr>
        <w:t xml:space="preserve"> Alzheimer Nederland </w:t>
      </w:r>
      <w:hyperlink r:id="rId3" w:history="1">
        <w:r w:rsidR="00AC3A44" w:rsidRPr="00020FFD">
          <w:rPr>
            <w:rStyle w:val="Hyperlink"/>
            <w:sz w:val="16"/>
            <w:szCs w:val="16"/>
          </w:rPr>
          <w:t>infographic_Dementie heeft grote impact op de samenleving_online.pdf</w:t>
        </w:r>
      </w:hyperlink>
    </w:p>
  </w:footnote>
  <w:footnote w:id="5">
    <w:p w14:paraId="6CFE5127" w14:textId="77777777" w:rsidR="00AC3A44" w:rsidRPr="00B81C47" w:rsidRDefault="007C571D" w:rsidP="00AC3A44">
      <w:pPr>
        <w:pStyle w:val="Voetnoottekst"/>
        <w:rPr>
          <w:sz w:val="16"/>
          <w:szCs w:val="16"/>
        </w:rPr>
      </w:pPr>
      <w:r w:rsidRPr="00B81C47">
        <w:rPr>
          <w:rStyle w:val="Voetnootmarkering"/>
          <w:sz w:val="16"/>
          <w:szCs w:val="16"/>
        </w:rPr>
        <w:footnoteRef/>
      </w:r>
      <w:r w:rsidRPr="00B81C47">
        <w:rPr>
          <w:sz w:val="16"/>
          <w:szCs w:val="16"/>
        </w:rPr>
        <w:t xml:space="preserve"> </w:t>
      </w:r>
      <w:r w:rsidR="00D12156">
        <w:rPr>
          <w:sz w:val="16"/>
          <w:szCs w:val="16"/>
        </w:rPr>
        <w:t>Kamerstukken II</w:t>
      </w:r>
      <w:r w:rsidR="00D12156" w:rsidRPr="007B14BD">
        <w:rPr>
          <w:sz w:val="16"/>
          <w:szCs w:val="16"/>
        </w:rPr>
        <w:t xml:space="preserve"> 2025</w:t>
      </w:r>
      <w:r w:rsidR="00D12156">
        <w:rPr>
          <w:sz w:val="16"/>
          <w:szCs w:val="16"/>
        </w:rPr>
        <w:t>/</w:t>
      </w:r>
      <w:r w:rsidR="00D12156" w:rsidRPr="007B14BD">
        <w:rPr>
          <w:sz w:val="16"/>
          <w:szCs w:val="16"/>
        </w:rPr>
        <w:t>26</w:t>
      </w:r>
      <w:r w:rsidRPr="00B81C47">
        <w:rPr>
          <w:sz w:val="16"/>
          <w:szCs w:val="16"/>
        </w:rPr>
        <w:t>, 25</w:t>
      </w:r>
      <w:r w:rsidR="00D12156">
        <w:rPr>
          <w:sz w:val="16"/>
          <w:szCs w:val="16"/>
        </w:rPr>
        <w:t xml:space="preserve"> </w:t>
      </w:r>
      <w:r w:rsidRPr="00B81C47">
        <w:rPr>
          <w:sz w:val="16"/>
          <w:szCs w:val="16"/>
        </w:rPr>
        <w:t>424</w:t>
      </w:r>
      <w:r w:rsidR="00D12156">
        <w:rPr>
          <w:sz w:val="16"/>
          <w:szCs w:val="16"/>
        </w:rPr>
        <w:t xml:space="preserve">, </w:t>
      </w:r>
      <w:r w:rsidRPr="00B81C47">
        <w:rPr>
          <w:sz w:val="16"/>
          <w:szCs w:val="16"/>
        </w:rPr>
        <w:t>776</w:t>
      </w:r>
      <w:r w:rsidR="006B7305">
        <w:rPr>
          <w:sz w:val="16"/>
          <w:szCs w:val="16"/>
        </w:rPr>
        <w:t>.</w:t>
      </w:r>
    </w:p>
  </w:footnote>
  <w:footnote w:id="6">
    <w:p w14:paraId="737C4046" w14:textId="77777777" w:rsidR="00AC3A44" w:rsidRPr="00020FFD" w:rsidRDefault="007C571D" w:rsidP="00AC3A44">
      <w:pPr>
        <w:pStyle w:val="Voetnoottekst"/>
        <w:rPr>
          <w:sz w:val="16"/>
          <w:szCs w:val="16"/>
        </w:rPr>
      </w:pPr>
      <w:r w:rsidRPr="00020FFD">
        <w:rPr>
          <w:rStyle w:val="Voetnootmarkering"/>
          <w:sz w:val="16"/>
          <w:szCs w:val="16"/>
        </w:rPr>
        <w:footnoteRef/>
      </w:r>
      <w:r w:rsidRPr="00020FFD">
        <w:rPr>
          <w:sz w:val="16"/>
          <w:szCs w:val="16"/>
        </w:rPr>
        <w:t xml:space="preserve"> </w:t>
      </w:r>
      <w:r w:rsidR="00D12156" w:rsidRPr="00020FFD">
        <w:rPr>
          <w:sz w:val="16"/>
          <w:szCs w:val="16"/>
        </w:rPr>
        <w:t>Kamerstukken II 2025/26</w:t>
      </w:r>
      <w:r w:rsidRPr="00020FFD">
        <w:rPr>
          <w:sz w:val="16"/>
          <w:szCs w:val="16"/>
        </w:rPr>
        <w:t>, 32</w:t>
      </w:r>
      <w:r w:rsidR="00D12156" w:rsidRPr="00020FFD">
        <w:rPr>
          <w:sz w:val="16"/>
          <w:szCs w:val="16"/>
        </w:rPr>
        <w:t xml:space="preserve"> </w:t>
      </w:r>
      <w:r w:rsidRPr="00020FFD">
        <w:rPr>
          <w:sz w:val="16"/>
          <w:szCs w:val="16"/>
        </w:rPr>
        <w:t>793, nr. 878</w:t>
      </w:r>
      <w:r w:rsidR="006B7305" w:rsidRPr="00020FFD">
        <w:rPr>
          <w:sz w:val="16"/>
          <w:szCs w:val="16"/>
        </w:rPr>
        <w:t>.</w:t>
      </w:r>
    </w:p>
  </w:footnote>
  <w:footnote w:id="7">
    <w:p w14:paraId="00BAA80F" w14:textId="77777777" w:rsidR="00AC3A44" w:rsidRPr="00020FFD" w:rsidRDefault="007C571D" w:rsidP="00AC3A44">
      <w:pPr>
        <w:pStyle w:val="Voetnoottekst"/>
        <w:rPr>
          <w:sz w:val="16"/>
          <w:szCs w:val="16"/>
        </w:rPr>
      </w:pPr>
      <w:r w:rsidRPr="00020FFD">
        <w:rPr>
          <w:rStyle w:val="Voetnootmarkering"/>
          <w:sz w:val="16"/>
          <w:szCs w:val="16"/>
        </w:rPr>
        <w:footnoteRef/>
      </w:r>
      <w:r w:rsidRPr="00020FFD">
        <w:rPr>
          <w:sz w:val="16"/>
          <w:szCs w:val="16"/>
        </w:rPr>
        <w:t xml:space="preserve"> </w:t>
      </w:r>
      <w:hyperlink r:id="rId4" w:history="1">
        <w:r w:rsidR="00AC3A44" w:rsidRPr="00020FFD">
          <w:rPr>
            <w:rStyle w:val="Hyperlink"/>
            <w:sz w:val="16"/>
            <w:szCs w:val="16"/>
          </w:rPr>
          <w:t>NDPI: Nederlands Dementie Preventie Initiatief | ZonMw Projects</w:t>
        </w:r>
      </w:hyperlink>
    </w:p>
  </w:footnote>
  <w:footnote w:id="8">
    <w:p w14:paraId="13CDE6D9" w14:textId="77777777" w:rsidR="00AC3A44" w:rsidRPr="00020FFD" w:rsidRDefault="007C571D" w:rsidP="00AC3A44">
      <w:pPr>
        <w:pStyle w:val="Voetnoottekst"/>
        <w:rPr>
          <w:sz w:val="16"/>
          <w:szCs w:val="16"/>
        </w:rPr>
      </w:pPr>
      <w:r w:rsidRPr="00020FFD">
        <w:rPr>
          <w:rStyle w:val="Voetnootmarkering"/>
          <w:sz w:val="16"/>
          <w:szCs w:val="16"/>
        </w:rPr>
        <w:footnoteRef/>
      </w:r>
      <w:r w:rsidRPr="00020FFD">
        <w:rPr>
          <w:sz w:val="16"/>
          <w:szCs w:val="16"/>
        </w:rPr>
        <w:t xml:space="preserve"> </w:t>
      </w:r>
      <w:hyperlink r:id="rId5" w:history="1">
        <w:r w:rsidR="00AC3A44" w:rsidRPr="00020FFD">
          <w:rPr>
            <w:rStyle w:val="Hyperlink"/>
            <w:sz w:val="16"/>
            <w:szCs w:val="16"/>
          </w:rPr>
          <w:t>BIRD-NL: Beïnvloedbare Risicofactoren Preventie Dementie | ZonMw</w:t>
        </w:r>
      </w:hyperlink>
    </w:p>
  </w:footnote>
  <w:footnote w:id="9">
    <w:p w14:paraId="5D1DCA6E" w14:textId="77777777" w:rsidR="00AC3A44" w:rsidRPr="007B14BD" w:rsidRDefault="007C571D" w:rsidP="00AC3A44">
      <w:pPr>
        <w:pStyle w:val="Voetnoottekst"/>
        <w:rPr>
          <w:sz w:val="16"/>
          <w:szCs w:val="16"/>
        </w:rPr>
      </w:pPr>
      <w:r w:rsidRPr="00020FFD">
        <w:rPr>
          <w:rStyle w:val="Voetnootmarkering"/>
          <w:sz w:val="16"/>
          <w:szCs w:val="16"/>
        </w:rPr>
        <w:footnoteRef/>
      </w:r>
      <w:r w:rsidRPr="00020FFD">
        <w:rPr>
          <w:sz w:val="16"/>
          <w:szCs w:val="16"/>
        </w:rPr>
        <w:t xml:space="preserve"> </w:t>
      </w:r>
      <w:hyperlink r:id="rId6" w:history="1">
        <w:r w:rsidR="00AC3A44" w:rsidRPr="00020FFD">
          <w:rPr>
            <w:rStyle w:val="Hyperlink"/>
            <w:sz w:val="16"/>
            <w:szCs w:val="16"/>
          </w:rPr>
          <w:t>Dementierisico reductie via individueel leefstijladvies: de Leefs</w:t>
        </w:r>
      </w:hyperlink>
    </w:p>
  </w:footnote>
  <w:footnote w:id="10">
    <w:p w14:paraId="5AEBBAC2" w14:textId="77777777" w:rsidR="00AC3A44" w:rsidRPr="001C14E6" w:rsidRDefault="007C571D" w:rsidP="00AC3A44">
      <w:pPr>
        <w:pStyle w:val="Voetnoottekst"/>
        <w:rPr>
          <w:sz w:val="16"/>
          <w:szCs w:val="16"/>
        </w:rPr>
      </w:pPr>
      <w:r w:rsidRPr="001C14E6">
        <w:rPr>
          <w:rStyle w:val="Voetnootmarkering"/>
          <w:sz w:val="16"/>
          <w:szCs w:val="16"/>
        </w:rPr>
        <w:footnoteRef/>
      </w:r>
      <w:r w:rsidRPr="001C14E6">
        <w:rPr>
          <w:sz w:val="16"/>
          <w:szCs w:val="16"/>
        </w:rPr>
        <w:t xml:space="preserve"> </w:t>
      </w:r>
      <w:r w:rsidR="00D12156">
        <w:rPr>
          <w:sz w:val="16"/>
          <w:szCs w:val="16"/>
        </w:rPr>
        <w:t>Kamerstukken II</w:t>
      </w:r>
      <w:r w:rsidR="00D12156" w:rsidRPr="007B14BD">
        <w:rPr>
          <w:sz w:val="16"/>
          <w:szCs w:val="16"/>
        </w:rPr>
        <w:t xml:space="preserve"> 2025</w:t>
      </w:r>
      <w:r w:rsidR="00D12156">
        <w:rPr>
          <w:sz w:val="16"/>
          <w:szCs w:val="16"/>
        </w:rPr>
        <w:t>/</w:t>
      </w:r>
      <w:r w:rsidR="00D12156" w:rsidRPr="007B14BD">
        <w:rPr>
          <w:sz w:val="16"/>
          <w:szCs w:val="16"/>
        </w:rPr>
        <w:t>26</w:t>
      </w:r>
      <w:r w:rsidR="00D12156">
        <w:rPr>
          <w:sz w:val="16"/>
          <w:szCs w:val="16"/>
        </w:rPr>
        <w:t xml:space="preserve">, </w:t>
      </w:r>
      <w:r w:rsidRPr="001C14E6">
        <w:rPr>
          <w:sz w:val="16"/>
          <w:szCs w:val="16"/>
        </w:rPr>
        <w:t>32</w:t>
      </w:r>
      <w:r w:rsidR="00D12156">
        <w:rPr>
          <w:sz w:val="16"/>
          <w:szCs w:val="16"/>
        </w:rPr>
        <w:t xml:space="preserve"> </w:t>
      </w:r>
      <w:r w:rsidRPr="001C14E6">
        <w:rPr>
          <w:sz w:val="16"/>
          <w:szCs w:val="16"/>
        </w:rPr>
        <w:t>793, nr. 877</w:t>
      </w:r>
      <w:r w:rsidR="006B7305">
        <w:rPr>
          <w:sz w:val="16"/>
          <w:szCs w:val="16"/>
        </w:rPr>
        <w:t>.</w:t>
      </w:r>
    </w:p>
  </w:footnote>
  <w:footnote w:id="11">
    <w:p w14:paraId="20689013" w14:textId="77777777" w:rsidR="00AC3A44" w:rsidRDefault="007C571D" w:rsidP="00AC3A44">
      <w:pPr>
        <w:pStyle w:val="Voetnoottekst"/>
      </w:pPr>
      <w:r w:rsidRPr="001C14E6">
        <w:rPr>
          <w:rStyle w:val="Voetnootmarkering"/>
          <w:sz w:val="16"/>
          <w:szCs w:val="16"/>
        </w:rPr>
        <w:footnoteRef/>
      </w:r>
      <w:r w:rsidRPr="001C14E6">
        <w:rPr>
          <w:sz w:val="16"/>
          <w:szCs w:val="16"/>
        </w:rPr>
        <w:t xml:space="preserve"> </w:t>
      </w:r>
      <w:r w:rsidR="00D12156">
        <w:rPr>
          <w:sz w:val="16"/>
          <w:szCs w:val="16"/>
        </w:rPr>
        <w:t>Kamerstukken II</w:t>
      </w:r>
      <w:r w:rsidR="00D12156" w:rsidRPr="007B14BD">
        <w:rPr>
          <w:sz w:val="16"/>
          <w:szCs w:val="16"/>
        </w:rPr>
        <w:t xml:space="preserve"> 2025</w:t>
      </w:r>
      <w:r w:rsidR="00D12156">
        <w:rPr>
          <w:sz w:val="16"/>
          <w:szCs w:val="16"/>
        </w:rPr>
        <w:t>/</w:t>
      </w:r>
      <w:r w:rsidR="00D12156" w:rsidRPr="007B14BD">
        <w:rPr>
          <w:sz w:val="16"/>
          <w:szCs w:val="16"/>
        </w:rPr>
        <w:t>26</w:t>
      </w:r>
      <w:r w:rsidR="00D12156">
        <w:rPr>
          <w:sz w:val="16"/>
          <w:szCs w:val="16"/>
        </w:rPr>
        <w:t xml:space="preserve">, </w:t>
      </w:r>
      <w:r w:rsidRPr="001C14E6">
        <w:rPr>
          <w:sz w:val="16"/>
          <w:szCs w:val="16"/>
        </w:rPr>
        <w:t>25</w:t>
      </w:r>
      <w:r w:rsidR="00D12156">
        <w:rPr>
          <w:sz w:val="16"/>
          <w:szCs w:val="16"/>
        </w:rPr>
        <w:t xml:space="preserve"> </w:t>
      </w:r>
      <w:r w:rsidRPr="001C14E6">
        <w:rPr>
          <w:sz w:val="16"/>
          <w:szCs w:val="16"/>
        </w:rPr>
        <w:t>424, nr. 766</w:t>
      </w:r>
      <w:r w:rsidR="006B730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395ADF" w14:paraId="4DC124B9" w14:textId="77777777">
      <w:trPr>
        <w:trHeight w:hRule="exact" w:val="198"/>
      </w:trPr>
      <w:tc>
        <w:tcPr>
          <w:tcW w:w="1134" w:type="dxa"/>
        </w:tcPr>
        <w:p w14:paraId="5A3D284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73F2D7E"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395ADF" w14:paraId="2E187A0B" w14:textId="77777777">
      <w:tc>
        <w:tcPr>
          <w:tcW w:w="1134" w:type="dxa"/>
        </w:tcPr>
        <w:p w14:paraId="05AAA10E" w14:textId="77777777" w:rsidR="00250939" w:rsidRDefault="007C571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7DF15360" w14:textId="6E6D303F" w:rsidR="00250939" w:rsidRDefault="008E5DCA"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19 maart 2026</w:t>
          </w:r>
        </w:p>
      </w:tc>
    </w:tr>
    <w:tr w:rsidR="00395ADF" w14:paraId="537EEC7D" w14:textId="77777777">
      <w:tc>
        <w:tcPr>
          <w:tcW w:w="1134" w:type="dxa"/>
        </w:tcPr>
        <w:p w14:paraId="7C0ECEAF" w14:textId="77777777" w:rsidR="00250939" w:rsidRDefault="007C571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5F1C15D8" w14:textId="77777777" w:rsidR="00250939" w:rsidRDefault="007C571D"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Beleidsreactie GR-advies Risicoreductie en vroegdiagnostiek dementie</w:t>
          </w:r>
        </w:p>
      </w:tc>
    </w:tr>
    <w:tr w:rsidR="00395ADF" w14:paraId="2DDA660E" w14:textId="77777777">
      <w:trPr>
        <w:trHeight w:hRule="exact" w:val="170"/>
      </w:trPr>
      <w:tc>
        <w:tcPr>
          <w:tcW w:w="1134" w:type="dxa"/>
        </w:tcPr>
        <w:p w14:paraId="47435C43"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E3762E8"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E89DFA8"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A560F30" w14:textId="77777777" w:rsidR="009231DC" w:rsidRDefault="007C571D" w:rsidP="00D14EA2">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pacing w:line="240" w:lineRule="auto"/>
      <w:rPr>
        <w:szCs w:val="18"/>
      </w:rPr>
    </w:pPr>
    <w:r w:rsidRPr="00E8113B">
      <w:rPr>
        <w:szCs w:val="18"/>
      </w:rPr>
      <w:t xml:space="preserve">De voorzitter van de Tweede Kamer </w:t>
    </w:r>
  </w:p>
  <w:p w14:paraId="52919880" w14:textId="77777777" w:rsidR="00D14EA2" w:rsidRPr="00E8113B" w:rsidRDefault="007C571D" w:rsidP="00D14EA2">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pacing w:line="240" w:lineRule="auto"/>
      <w:rPr>
        <w:szCs w:val="18"/>
      </w:rPr>
    </w:pPr>
    <w:r w:rsidRPr="00E8113B">
      <w:rPr>
        <w:szCs w:val="18"/>
      </w:rPr>
      <w:t xml:space="preserve">der Staten-Generaal </w:t>
    </w:r>
  </w:p>
  <w:p w14:paraId="36944E47" w14:textId="77777777" w:rsidR="00D14EA2" w:rsidRPr="00E8113B" w:rsidRDefault="007C571D" w:rsidP="00D14EA2">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pacing w:line="240" w:lineRule="auto"/>
      <w:rPr>
        <w:szCs w:val="18"/>
      </w:rPr>
    </w:pPr>
    <w:r w:rsidRPr="00E8113B">
      <w:rPr>
        <w:szCs w:val="18"/>
      </w:rPr>
      <w:t xml:space="preserve">Postbus 20018 </w:t>
    </w:r>
  </w:p>
  <w:p w14:paraId="728BC338" w14:textId="77777777" w:rsidR="00D14EA2" w:rsidRPr="00E8113B" w:rsidRDefault="007C571D" w:rsidP="00D14EA2">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pacing w:line="240" w:lineRule="auto"/>
      <w:rPr>
        <w:szCs w:val="18"/>
      </w:rPr>
    </w:pPr>
    <w:r w:rsidRPr="00E8113B">
      <w:rPr>
        <w:szCs w:val="18"/>
      </w:rPr>
      <w:t>2500 EA</w:t>
    </w:r>
    <w:r w:rsidR="00020FFD">
      <w:rPr>
        <w:szCs w:val="18"/>
      </w:rPr>
      <w:t xml:space="preserve"> </w:t>
    </w:r>
    <w:r w:rsidRPr="00E8113B">
      <w:rPr>
        <w:szCs w:val="18"/>
      </w:rPr>
      <w:t xml:space="preserve"> DEN HAAG</w:t>
    </w:r>
  </w:p>
  <w:p w14:paraId="76CD3BD8"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A7DBB17" w14:textId="77777777" w:rsidR="00250939" w:rsidRDefault="007C571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47F314F" w14:textId="77777777" w:rsidR="00250939" w:rsidRDefault="007C571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1E934FE9"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46D5791" w14:textId="77777777" w:rsidR="00250939" w:rsidRDefault="007C571D">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41C518D0" w14:textId="77777777" w:rsidR="00250939" w:rsidRDefault="007C571D">
    <w:pPr>
      <w:pStyle w:val="Koptekst"/>
    </w:pPr>
    <w:r>
      <w:rPr>
        <w:noProof/>
        <w:lang w:eastAsia="nl-NL" w:bidi="ar-SA"/>
      </w:rPr>
      <w:drawing>
        <wp:anchor distT="0" distB="0" distL="114300" distR="114300" simplePos="0" relativeHeight="251654144" behindDoc="1" locked="0" layoutInCell="1" allowOverlap="1" wp14:anchorId="27392389" wp14:editId="561509B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021EF96" wp14:editId="30F0F74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74C2C7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6192;visibility:visible;mso-position-horizontal-relative:page;mso-position-vertical-relative:page;mso-width-relative:margin;mso-height-relative:margin" strokecolor="white">
          <v:textbox inset="0,0,0,0">
            <w:txbxContent>
              <w:p w14:paraId="57C08F8F" w14:textId="77777777" w:rsidR="00250939" w:rsidRPr="002508FA" w:rsidRDefault="00250939">
                <w:pPr>
                  <w:pStyle w:val="Huisstijl-Afzendgegevenskop"/>
                </w:pPr>
              </w:p>
              <w:p w14:paraId="11503B3E" w14:textId="77777777" w:rsidR="00250939" w:rsidRPr="002508FA" w:rsidRDefault="007C571D">
                <w:pPr>
                  <w:pStyle w:val="Huisstijl-Afzendgegevens"/>
                </w:pPr>
                <w:r>
                  <w:t>Langdurige Zorg</w:t>
                </w:r>
              </w:p>
              <w:p w14:paraId="4DFD6847" w14:textId="77777777" w:rsidR="00250939" w:rsidRPr="002508FA" w:rsidRDefault="007C571D">
                <w:pPr>
                  <w:pStyle w:val="Huisstijl-Afzendgegevens"/>
                </w:pPr>
                <w:r>
                  <w:t>Dementie en Internationaal</w:t>
                </w:r>
              </w:p>
              <w:p w14:paraId="0D9652D3" w14:textId="77777777" w:rsidR="00250939" w:rsidRPr="00BD0479" w:rsidRDefault="007C571D">
                <w:pPr>
                  <w:pStyle w:val="Huisstijl-AfzendgegevensW1"/>
                  <w:rPr>
                    <w:b/>
                  </w:rPr>
                </w:pPr>
                <w:r w:rsidRPr="00BD0479">
                  <w:rPr>
                    <w:b/>
                  </w:rPr>
                  <w:t>Bezoekadres</w:t>
                </w:r>
              </w:p>
              <w:p w14:paraId="5AF412C3" w14:textId="77777777" w:rsidR="00250939" w:rsidRPr="00D14EA2" w:rsidRDefault="007C571D">
                <w:pPr>
                  <w:pStyle w:val="Huisstijl-Afzendgegevens"/>
                  <w:rPr>
                    <w:lang w:val="de-DE"/>
                  </w:rPr>
                </w:pPr>
                <w:r w:rsidRPr="00D14EA2">
                  <w:rPr>
                    <w:lang w:val="de-DE"/>
                  </w:rPr>
                  <w:t>Parnassusplein 5</w:t>
                </w:r>
              </w:p>
              <w:p w14:paraId="60809FD3" w14:textId="77777777" w:rsidR="00250939" w:rsidRPr="00C1025E" w:rsidRDefault="007C571D" w:rsidP="0040758F">
                <w:pPr>
                  <w:pStyle w:val="Huisstijl-Afzendgegevens"/>
                  <w:rPr>
                    <w:lang w:val="de-DE"/>
                  </w:rPr>
                </w:pPr>
                <w:r w:rsidRPr="00C1025E">
                  <w:rPr>
                    <w:lang w:val="de-DE"/>
                  </w:rPr>
                  <w:t>2511 VX  Den Haag</w:t>
                </w:r>
              </w:p>
              <w:p w14:paraId="41804B74" w14:textId="77777777" w:rsidR="00250939" w:rsidRPr="00C1025E" w:rsidRDefault="007C571D" w:rsidP="0040758F">
                <w:pPr>
                  <w:pStyle w:val="Huisstijl-Afzendgegevens"/>
                  <w:rPr>
                    <w:lang w:val="de-DE"/>
                  </w:rPr>
                </w:pPr>
                <w:r w:rsidRPr="00C1025E">
                  <w:rPr>
                    <w:lang w:val="de-DE"/>
                  </w:rPr>
                  <w:t>T</w:t>
                </w:r>
                <w:r w:rsidRPr="00C1025E">
                  <w:rPr>
                    <w:lang w:val="de-DE"/>
                  </w:rPr>
                  <w:tab/>
                  <w:t>070 340 79 11</w:t>
                </w:r>
              </w:p>
              <w:p w14:paraId="71DB66E5" w14:textId="77777777" w:rsidR="00250939" w:rsidRPr="009231DC" w:rsidRDefault="007C571D" w:rsidP="0040758F">
                <w:pPr>
                  <w:pStyle w:val="Huisstijl-Afzendgegevens"/>
                  <w:rPr>
                    <w:lang w:val="en-US"/>
                  </w:rPr>
                </w:pPr>
                <w:r w:rsidRPr="009231DC">
                  <w:rPr>
                    <w:lang w:val="en-US"/>
                  </w:rPr>
                  <w:t>F</w:t>
                </w:r>
                <w:r w:rsidRPr="009231DC">
                  <w:rPr>
                    <w:lang w:val="en-US"/>
                  </w:rPr>
                  <w:tab/>
                  <w:t>070 340 78 34</w:t>
                </w:r>
              </w:p>
              <w:p w14:paraId="09076385" w14:textId="77777777" w:rsidR="00250939" w:rsidRPr="009231DC" w:rsidRDefault="007C571D">
                <w:pPr>
                  <w:pStyle w:val="Huisstijl-Afzendgegevens"/>
                  <w:rPr>
                    <w:lang w:val="en-US"/>
                  </w:rPr>
                </w:pPr>
                <w:r w:rsidRPr="009231DC">
                  <w:rPr>
                    <w:lang w:val="en-US"/>
                  </w:rPr>
                  <w:t>www.rijksoverheid.nl</w:t>
                </w:r>
              </w:p>
              <w:p w14:paraId="7B819066" w14:textId="77777777" w:rsidR="00250939" w:rsidRPr="009231DC" w:rsidRDefault="007C571D">
                <w:pPr>
                  <w:pStyle w:val="Huisstijl-ReferentiegegevenskopW2"/>
                  <w:rPr>
                    <w:lang w:val="en-US"/>
                  </w:rPr>
                </w:pPr>
                <w:r w:rsidRPr="009231DC">
                  <w:rPr>
                    <w:lang w:val="en-US"/>
                  </w:rPr>
                  <w:t>Kenmerk</w:t>
                </w:r>
              </w:p>
              <w:p w14:paraId="348D83E7" w14:textId="77777777" w:rsidR="00250939" w:rsidRPr="009231DC" w:rsidRDefault="007C571D">
                <w:pPr>
                  <w:pStyle w:val="Huisstijl-Referentiegegevens"/>
                  <w:rPr>
                    <w:lang w:val="en-US"/>
                  </w:rPr>
                </w:pPr>
                <w:r w:rsidRPr="009231DC">
                  <w:rPr>
                    <w:lang w:val="en-US"/>
                  </w:rPr>
                  <w:t>4354997-1094512-LZ</w:t>
                </w:r>
              </w:p>
              <w:p w14:paraId="340A0FA8" w14:textId="77777777" w:rsidR="00250939" w:rsidRDefault="007C571D">
                <w:pPr>
                  <w:pStyle w:val="Huisstijl-ReferentiegegevenskopW1"/>
                </w:pPr>
                <w:r>
                  <w:t>Kenmerk afzender</w:t>
                </w:r>
              </w:p>
              <w:p w14:paraId="0107789A" w14:textId="77777777" w:rsidR="00250939" w:rsidRDefault="00250939">
                <w:pPr>
                  <w:pStyle w:val="Huisstijl-Referentiegegevens"/>
                </w:pPr>
              </w:p>
              <w:p w14:paraId="16AA53E3" w14:textId="77777777" w:rsidR="00250939" w:rsidRDefault="007C571D">
                <w:pPr>
                  <w:pStyle w:val="Huisstijl-ReferentiegegevenskopW1"/>
                </w:pPr>
                <w:r w:rsidRPr="006C7A9D">
                  <w:t>Bijlage(n)</w:t>
                </w:r>
              </w:p>
              <w:p w14:paraId="1F60D7D3" w14:textId="77777777" w:rsidR="004462B1" w:rsidRPr="004462B1" w:rsidRDefault="007C571D" w:rsidP="004462B1">
                <w:pPr>
                  <w:pStyle w:val="Huisstijl-Referentiegegevens"/>
                </w:pPr>
                <w:r>
                  <w:t>5</w:t>
                </w:r>
              </w:p>
              <w:p w14:paraId="61448D02" w14:textId="77777777" w:rsidR="00250939" w:rsidRDefault="00250939">
                <w:pPr>
                  <w:pStyle w:val="Huisstijl-Referentiegegevens"/>
                </w:pPr>
              </w:p>
              <w:p w14:paraId="1DE275A2" w14:textId="77777777" w:rsidR="00250939" w:rsidRDefault="007C571D">
                <w:pPr>
                  <w:pStyle w:val="Huisstijl-Algemenevoorwaarden"/>
                </w:pPr>
                <w:r w:rsidRPr="006C7A9D">
                  <w:t>Correspondentie uitsluitend richten aan het retouradres met vermelding van de datum en het kenmerk van deze brief.</w:t>
                </w:r>
              </w:p>
            </w:txbxContent>
          </v:textbox>
          <w10:wrap anchorx="page" anchory="page"/>
        </v:shape>
      </w:pict>
    </w:r>
    <w:r>
      <w:rPr>
        <w:lang w:eastAsia="nl-NL" w:bidi="ar-SA"/>
      </w:rPr>
      <w:pict w14:anchorId="30521A16">
        <v:shape id="Text Box 25" o:spid="_x0000_s3074" type="#_x0000_t202" style="position:absolute;margin-left:466.35pt;margin-top:805.15pt;width:99.2pt;height:14.6pt;z-index:251655168;visibility:visible;mso-position-horizontal-relative:page;mso-position-vertical-relative:page;mso-width-relative:margin;mso-height-relative:margin" strokecolor="white">
          <v:textbox inset="0,0,0,0">
            <w:txbxContent>
              <w:p w14:paraId="6B4E0396" w14:textId="77777777" w:rsidR="00250939" w:rsidRDefault="007C571D">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FAA6" w14:textId="77777777" w:rsidR="00250939" w:rsidRDefault="007C571D">
    <w:pPr>
      <w:pStyle w:val="Koptekst"/>
    </w:pPr>
    <w:r>
      <w:rPr>
        <w:lang w:eastAsia="nl-NL" w:bidi="ar-SA"/>
      </w:rPr>
      <w:pict w14:anchorId="58BF7D75">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57216;visibility:visible;mso-position-horizontal-relative:page;mso-position-vertical-relative:page;mso-width-relative:margin;mso-height-relative:margin" strokecolor="white">
          <v:textbox inset="0,0,0,0">
            <w:txbxContent>
              <w:p w14:paraId="4B994525" w14:textId="77777777" w:rsidR="00250939" w:rsidRDefault="00250939">
                <w:pPr>
                  <w:pStyle w:val="Huisstijl-Afzendgegevenskop"/>
                </w:pPr>
              </w:p>
              <w:p w14:paraId="51FE7681" w14:textId="77777777" w:rsidR="00250939" w:rsidRPr="009454FC" w:rsidRDefault="007C571D">
                <w:pPr>
                  <w:pStyle w:val="Huisstijl-Afzendgegevens"/>
                </w:pPr>
                <w:r>
                  <w:t>Langdurige Zorg</w:t>
                </w:r>
              </w:p>
              <w:p w14:paraId="2A151971" w14:textId="77777777" w:rsidR="00250939" w:rsidRDefault="007C571D">
                <w:pPr>
                  <w:pStyle w:val="Huisstijl-Afzendgegevens"/>
                </w:pPr>
                <w:r>
                  <w:t>Dementie en Internationaal</w:t>
                </w:r>
              </w:p>
              <w:p w14:paraId="067DD115" w14:textId="77777777" w:rsidR="00250939" w:rsidRDefault="007C571D">
                <w:pPr>
                  <w:pStyle w:val="Huisstijl-ReferentiegegevenskopW2"/>
                </w:pPr>
                <w:r w:rsidRPr="006C7A9D">
                  <w:t>Kenmerk</w:t>
                </w:r>
              </w:p>
              <w:p w14:paraId="23CABB9E" w14:textId="77777777" w:rsidR="00C1025E" w:rsidRPr="00420166" w:rsidRDefault="007C571D" w:rsidP="00C1025E">
                <w:pPr>
                  <w:pStyle w:val="Huisstijl-Referentiegegevens"/>
                </w:pPr>
                <w:r>
                  <w:t>4354997-1094512-LZ</w:t>
                </w:r>
              </w:p>
              <w:p w14:paraId="338C5D96" w14:textId="77777777" w:rsidR="00250939" w:rsidRDefault="00250939">
                <w:pPr>
                  <w:pStyle w:val="Huisstijl-Referentiegegevens"/>
                </w:pPr>
              </w:p>
              <w:p w14:paraId="2AEF1E62" w14:textId="77777777" w:rsidR="00250939" w:rsidRDefault="00250939" w:rsidP="00433CED">
                <w:pPr>
                  <w:pStyle w:val="Huisstijl-ReferentiegegevenskopW1"/>
                </w:pPr>
              </w:p>
            </w:txbxContent>
          </v:textbox>
          <w10:wrap anchorx="page" anchory="page"/>
        </v:shape>
      </w:pict>
    </w:r>
    <w:r>
      <w:rPr>
        <w:lang w:eastAsia="nl-NL" w:bidi="ar-SA"/>
      </w:rPr>
      <w:pict w14:anchorId="453CC593">
        <v:shape id="Text Box 18" o:spid="_x0000_s3076" type="#_x0000_t202" style="position:absolute;margin-left:466.35pt;margin-top:805.15pt;width:99.2pt;height:16.85pt;z-index:251658240;visibility:visible;mso-position-horizontal-relative:page;mso-position-vertical-relative:page;mso-width-relative:margin;mso-height-relative:margin" strokecolor="white">
          <v:textbox inset="0,0,0,0">
            <w:txbxContent>
              <w:p w14:paraId="277F2015" w14:textId="31EB417C" w:rsidR="00250939" w:rsidRDefault="007C571D">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6</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4CA8" w14:textId="77777777" w:rsidR="00250939" w:rsidRDefault="007C571D">
    <w:pPr>
      <w:pStyle w:val="Koptekst"/>
    </w:pPr>
    <w:r>
      <w:rPr>
        <w:lang w:eastAsia="nl-NL" w:bidi="ar-SA"/>
      </w:rPr>
      <w:pict w14:anchorId="47746A99">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2336;visibility:visible;mso-position-horizontal-relative:page;mso-position-vertical-relative:page;mso-width-relative:margin;mso-height-relative:margin" strokecolor="white">
          <v:textbox style="mso-fit-shape-to-text:t" inset="0,0,0,0">
            <w:txbxContent>
              <w:p w14:paraId="0C443B43" w14:textId="77777777" w:rsidR="00250939" w:rsidRDefault="007C571D">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D7730C">
                      <w:t>12 augustus 2014</w:t>
                    </w:r>
                  </w:sdtContent>
                </w:sdt>
              </w:p>
              <w:p w14:paraId="30A23163" w14:textId="77777777" w:rsidR="00250939" w:rsidRDefault="007C571D">
                <w:pPr>
                  <w:pStyle w:val="Huisstijl-Datumenbetreft"/>
                  <w:tabs>
                    <w:tab w:val="left" w:pos="-5954"/>
                    <w:tab w:val="left" w:pos="-5670"/>
                  </w:tabs>
                </w:pPr>
                <w:r>
                  <w:t>Betreft</w:t>
                </w:r>
                <w:r>
                  <w:tab/>
                  <w:t>Onderwerp</w:t>
                </w:r>
              </w:p>
              <w:p w14:paraId="594D77B5"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3120" behindDoc="0" locked="0" layoutInCell="1" allowOverlap="1" wp14:anchorId="582A5363" wp14:editId="6ACDD4B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2096" behindDoc="1" locked="0" layoutInCell="1" allowOverlap="1" wp14:anchorId="7565F220" wp14:editId="6306B5D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37A57C4">
        <v:shape id="_x0000_s3078" type="#_x0000_t202" style="position:absolute;margin-left:466.35pt;margin-top:154.7pt;width:99.2pt;height:630.7pt;z-index:251663360;visibility:visible;mso-position-horizontal-relative:page;mso-position-vertical-relative:page;mso-width-relative:margin;mso-height-relative:margin" strokecolor="white">
          <v:textbox inset="0,0,0,0">
            <w:txbxContent>
              <w:p w14:paraId="01CD800E" w14:textId="77777777" w:rsidR="00250939" w:rsidRDefault="007C571D">
                <w:pPr>
                  <w:pStyle w:val="Huisstijl-Afzendgegevenskop"/>
                </w:pPr>
                <w:r w:rsidRPr="006C7A9D">
                  <w:t xml:space="preserve">Secretaris </w:t>
                </w:r>
                <w:r w:rsidRPr="006C7A9D">
                  <w:t>Generaal / plv. Secretaris Generaal</w:t>
                </w:r>
              </w:p>
              <w:p w14:paraId="43B64DD6" w14:textId="77777777" w:rsidR="00250939" w:rsidRDefault="007C571D">
                <w:pPr>
                  <w:pStyle w:val="Huisstijl-Afzendgegevens"/>
                </w:pPr>
                <w:r w:rsidRPr="006C7A9D">
                  <w:t>Afdeling Uitvoering</w:t>
                </w:r>
              </w:p>
              <w:p w14:paraId="43D4DFCA" w14:textId="77777777" w:rsidR="00250939" w:rsidRDefault="007C571D">
                <w:pPr>
                  <w:pStyle w:val="Huisstijl-AfzendgegevensW1"/>
                </w:pPr>
                <w:r w:rsidRPr="006C7A9D">
                  <w:t>Bezoekadres:</w:t>
                </w:r>
              </w:p>
              <w:p w14:paraId="589A1914" w14:textId="77777777" w:rsidR="00250939" w:rsidRDefault="007C571D">
                <w:pPr>
                  <w:pStyle w:val="Huisstijl-Afzendgegevens"/>
                </w:pPr>
                <w:r w:rsidRPr="006C7A9D">
                  <w:t>Rijnstraat 50</w:t>
                </w:r>
              </w:p>
              <w:p w14:paraId="2AC10629" w14:textId="77777777" w:rsidR="00250939" w:rsidRDefault="007C571D">
                <w:pPr>
                  <w:pStyle w:val="Huisstijl-Afzendgegevens"/>
                </w:pPr>
                <w:r w:rsidRPr="006C7A9D">
                  <w:t>2515 XP Den Haag</w:t>
                </w:r>
              </w:p>
              <w:p w14:paraId="4A1609F7" w14:textId="77777777" w:rsidR="00250939" w:rsidRDefault="007C571D">
                <w:pPr>
                  <w:pStyle w:val="Huisstijl-Afzendgegevens"/>
                </w:pPr>
                <w:r w:rsidRPr="006C7A9D">
                  <w:t>www.rijksoverheid.nl</w:t>
                </w:r>
              </w:p>
              <w:p w14:paraId="4A8935FA" w14:textId="77777777" w:rsidR="00250939" w:rsidRDefault="007C571D">
                <w:pPr>
                  <w:pStyle w:val="Huisstijl-AfzendgegevenskopW1"/>
                </w:pPr>
                <w:r>
                  <w:t>Contactpersoon</w:t>
                </w:r>
              </w:p>
              <w:p w14:paraId="0CE88B38" w14:textId="77777777" w:rsidR="00250939" w:rsidRDefault="007C571D">
                <w:pPr>
                  <w:pStyle w:val="Huisstijl-Afzendgegevens"/>
                </w:pPr>
                <w:r w:rsidRPr="006C7A9D">
                  <w:t>ing. J.A. Ramlal</w:t>
                </w:r>
              </w:p>
              <w:p w14:paraId="50319D30" w14:textId="77777777" w:rsidR="00250939" w:rsidRDefault="007C571D">
                <w:pPr>
                  <w:pStyle w:val="Huisstijl-AfzendgegevensC"/>
                </w:pPr>
                <w:r w:rsidRPr="006C7A9D">
                  <w:t>Adviseur Bedrijfsvoering</w:t>
                </w:r>
              </w:p>
              <w:p w14:paraId="1A681CF9" w14:textId="77777777" w:rsidR="00250939" w:rsidRDefault="007C571D">
                <w:pPr>
                  <w:pStyle w:val="Huisstijl-Afzendgegevens"/>
                </w:pPr>
                <w:r w:rsidRPr="006C7A9D">
                  <w:t>ja.ramlal@minvws.nl</w:t>
                </w:r>
              </w:p>
              <w:p w14:paraId="272C2A77" w14:textId="77777777" w:rsidR="00250939" w:rsidRDefault="007C571D">
                <w:pPr>
                  <w:pStyle w:val="Huisstijl-ReferentiegegevenskopW2"/>
                </w:pPr>
                <w:r>
                  <w:t>Ons kenmerk</w:t>
                </w:r>
              </w:p>
              <w:p w14:paraId="6465DEEF" w14:textId="77777777" w:rsidR="00250939" w:rsidRDefault="007C571D">
                <w:pPr>
                  <w:pStyle w:val="Huisstijl-Referentiegegevens"/>
                </w:pPr>
                <w:r>
                  <w:t>KenmerkVWS</w:t>
                </w:r>
              </w:p>
              <w:p w14:paraId="33267082" w14:textId="77777777" w:rsidR="00250939" w:rsidRDefault="007C571D">
                <w:pPr>
                  <w:pStyle w:val="Huisstijl-ReferentiegegevenskopW1"/>
                </w:pPr>
                <w:r>
                  <w:t>Uw kenmerk</w:t>
                </w:r>
              </w:p>
              <w:p w14:paraId="64B70477" w14:textId="77777777" w:rsidR="00250939" w:rsidRDefault="007C571D">
                <w:pPr>
                  <w:pStyle w:val="Huisstijl-Referentiegegevens"/>
                </w:pPr>
                <w:r>
                  <w:t>KenmerkAfzender</w:t>
                </w:r>
              </w:p>
              <w:p w14:paraId="5C332FE1" w14:textId="77777777" w:rsidR="00250939" w:rsidRDefault="007C571D">
                <w:pPr>
                  <w:pStyle w:val="Huisstijl-ReferentiegegevenskopW1"/>
                </w:pPr>
                <w:r>
                  <w:t>Exemplaarnummer</w:t>
                </w:r>
              </w:p>
              <w:p w14:paraId="32C0C519" w14:textId="77777777" w:rsidR="00250939" w:rsidRDefault="007C571D">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5785B432">
        <v:shape id="_x0000_s3079" type="#_x0000_t202" style="position:absolute;margin-left:79.4pt;margin-top:152.95pt;width:235.3pt;height:85.05pt;z-index:251660288;visibility:visible;mso-position-horizontal-relative:page;mso-position-vertical-relative:page;mso-width-relative:margin;mso-height-relative:margin" strokecolor="white">
          <v:textbox inset="0,0,0,0">
            <w:txbxContent>
              <w:p w14:paraId="0A628DA1" w14:textId="77777777" w:rsidR="00250939" w:rsidRDefault="00250939"/>
            </w:txbxContent>
          </v:textbox>
          <w10:wrap anchorx="page" anchory="page"/>
        </v:shape>
      </w:pict>
    </w:r>
    <w:r>
      <w:rPr>
        <w:lang w:eastAsia="nl-NL" w:bidi="ar-SA"/>
      </w:rPr>
      <w:pict w14:anchorId="3F5ED2A2">
        <v:shape id="_x0000_s3080" type="#_x0000_t202" style="position:absolute;margin-left:466.35pt;margin-top:805.1pt;width:57.55pt;height:8.5pt;z-index:251664384;visibility:visible;mso-position-horizontal-relative:page;mso-position-vertical-relative:page;mso-width-relative:margin;mso-height-relative:margin" strokecolor="white">
          <v:textbox inset="0,0,0,0">
            <w:txbxContent>
              <w:p w14:paraId="0AFF55AC" w14:textId="77777777" w:rsidR="00250939" w:rsidRDefault="007C571D">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33C35CFB">
        <v:shape id="_x0000_s3081" type="#_x0000_t202" style="position:absolute;margin-left:79.4pt;margin-top:266.5pt;width:323.15pt;height:14.15pt;z-index:251661312;visibility:visible;mso-position-horizontal-relative:page;mso-position-vertical-relative:page;mso-width-relative:margin;mso-height-relative:margin" strokecolor="white">
          <v:textbox inset="0,0,0,0">
            <w:txbxContent>
              <w:p w14:paraId="406D34BA" w14:textId="77777777" w:rsidR="00250939" w:rsidRDefault="00250939">
                <w:pPr>
                  <w:pStyle w:val="Huisstijl-Toezendgegevens"/>
                </w:pPr>
              </w:p>
            </w:txbxContent>
          </v:textbox>
          <w10:wrap anchorx="page" anchory="page"/>
        </v:shape>
      </w:pict>
    </w:r>
    <w:r>
      <w:rPr>
        <w:lang w:eastAsia="nl-NL" w:bidi="ar-SA"/>
      </w:rPr>
      <w:pict w14:anchorId="68D2D1A3">
        <v:shape id="_x0000_s3082" type="#_x0000_t202" style="position:absolute;margin-left:79.4pt;margin-top:135.05pt;width:282.75pt;height:11.35pt;z-index:251659264;visibility:visible;mso-position-horizontal-relative:page;mso-position-vertical-relative:page;mso-width-relative:margin;mso-height-relative:margin" strokecolor="white">
          <o:lock v:ext="edit" aspectratio="t"/>
          <v:textbox inset="0,0,0,0">
            <w:txbxContent>
              <w:p w14:paraId="05A8F46F" w14:textId="77777777" w:rsidR="00250939" w:rsidRDefault="007C571D">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A9E"/>
    <w:multiLevelType w:val="hybridMultilevel"/>
    <w:tmpl w:val="BDFAC32A"/>
    <w:lvl w:ilvl="0" w:tplc="2C8C83D6">
      <w:start w:val="1"/>
      <w:numFmt w:val="bullet"/>
      <w:lvlText w:val=""/>
      <w:lvlJc w:val="left"/>
      <w:pPr>
        <w:ind w:left="720" w:hanging="360"/>
      </w:pPr>
      <w:rPr>
        <w:rFonts w:ascii="Symbol" w:hAnsi="Symbol" w:hint="default"/>
      </w:rPr>
    </w:lvl>
    <w:lvl w:ilvl="1" w:tplc="22127516" w:tentative="1">
      <w:start w:val="1"/>
      <w:numFmt w:val="bullet"/>
      <w:lvlText w:val="o"/>
      <w:lvlJc w:val="left"/>
      <w:pPr>
        <w:ind w:left="1440" w:hanging="360"/>
      </w:pPr>
      <w:rPr>
        <w:rFonts w:ascii="Courier New" w:hAnsi="Courier New" w:cs="Courier New" w:hint="default"/>
      </w:rPr>
    </w:lvl>
    <w:lvl w:ilvl="2" w:tplc="52C0E7EC" w:tentative="1">
      <w:start w:val="1"/>
      <w:numFmt w:val="bullet"/>
      <w:lvlText w:val=""/>
      <w:lvlJc w:val="left"/>
      <w:pPr>
        <w:ind w:left="2160" w:hanging="360"/>
      </w:pPr>
      <w:rPr>
        <w:rFonts w:ascii="Wingdings" w:hAnsi="Wingdings" w:hint="default"/>
      </w:rPr>
    </w:lvl>
    <w:lvl w:ilvl="3" w:tplc="D31217FE" w:tentative="1">
      <w:start w:val="1"/>
      <w:numFmt w:val="bullet"/>
      <w:lvlText w:val=""/>
      <w:lvlJc w:val="left"/>
      <w:pPr>
        <w:ind w:left="2880" w:hanging="360"/>
      </w:pPr>
      <w:rPr>
        <w:rFonts w:ascii="Symbol" w:hAnsi="Symbol" w:hint="default"/>
      </w:rPr>
    </w:lvl>
    <w:lvl w:ilvl="4" w:tplc="AA24C63A" w:tentative="1">
      <w:start w:val="1"/>
      <w:numFmt w:val="bullet"/>
      <w:lvlText w:val="o"/>
      <w:lvlJc w:val="left"/>
      <w:pPr>
        <w:ind w:left="3600" w:hanging="360"/>
      </w:pPr>
      <w:rPr>
        <w:rFonts w:ascii="Courier New" w:hAnsi="Courier New" w:cs="Courier New" w:hint="default"/>
      </w:rPr>
    </w:lvl>
    <w:lvl w:ilvl="5" w:tplc="265611D8" w:tentative="1">
      <w:start w:val="1"/>
      <w:numFmt w:val="bullet"/>
      <w:lvlText w:val=""/>
      <w:lvlJc w:val="left"/>
      <w:pPr>
        <w:ind w:left="4320" w:hanging="360"/>
      </w:pPr>
      <w:rPr>
        <w:rFonts w:ascii="Wingdings" w:hAnsi="Wingdings" w:hint="default"/>
      </w:rPr>
    </w:lvl>
    <w:lvl w:ilvl="6" w:tplc="E182F306" w:tentative="1">
      <w:start w:val="1"/>
      <w:numFmt w:val="bullet"/>
      <w:lvlText w:val=""/>
      <w:lvlJc w:val="left"/>
      <w:pPr>
        <w:ind w:left="5040" w:hanging="360"/>
      </w:pPr>
      <w:rPr>
        <w:rFonts w:ascii="Symbol" w:hAnsi="Symbol" w:hint="default"/>
      </w:rPr>
    </w:lvl>
    <w:lvl w:ilvl="7" w:tplc="E09ECAC2" w:tentative="1">
      <w:start w:val="1"/>
      <w:numFmt w:val="bullet"/>
      <w:lvlText w:val="o"/>
      <w:lvlJc w:val="left"/>
      <w:pPr>
        <w:ind w:left="5760" w:hanging="360"/>
      </w:pPr>
      <w:rPr>
        <w:rFonts w:ascii="Courier New" w:hAnsi="Courier New" w:cs="Courier New" w:hint="default"/>
      </w:rPr>
    </w:lvl>
    <w:lvl w:ilvl="8" w:tplc="F1BA3108" w:tentative="1">
      <w:start w:val="1"/>
      <w:numFmt w:val="bullet"/>
      <w:lvlText w:val=""/>
      <w:lvlJc w:val="left"/>
      <w:pPr>
        <w:ind w:left="6480" w:hanging="360"/>
      </w:pPr>
      <w:rPr>
        <w:rFonts w:ascii="Wingdings" w:hAnsi="Wingdings" w:hint="default"/>
      </w:rPr>
    </w:lvl>
  </w:abstractNum>
  <w:abstractNum w:abstractNumId="1" w15:restartNumberingAfterBreak="0">
    <w:nsid w:val="0F3922AB"/>
    <w:multiLevelType w:val="hybridMultilevel"/>
    <w:tmpl w:val="9D86BD42"/>
    <w:lvl w:ilvl="0" w:tplc="DCC03914">
      <w:start w:val="6"/>
      <w:numFmt w:val="bullet"/>
      <w:lvlText w:val="-"/>
      <w:lvlJc w:val="left"/>
      <w:pPr>
        <w:ind w:left="720" w:hanging="360"/>
      </w:pPr>
      <w:rPr>
        <w:rFonts w:ascii="Aptos" w:eastAsiaTheme="minorHAnsi" w:hAnsi="Aptos" w:cstheme="minorBidi" w:hint="default"/>
      </w:rPr>
    </w:lvl>
    <w:lvl w:ilvl="1" w:tplc="15023584" w:tentative="1">
      <w:start w:val="1"/>
      <w:numFmt w:val="bullet"/>
      <w:lvlText w:val="o"/>
      <w:lvlJc w:val="left"/>
      <w:pPr>
        <w:ind w:left="1440" w:hanging="360"/>
      </w:pPr>
      <w:rPr>
        <w:rFonts w:ascii="Courier New" w:hAnsi="Courier New" w:cs="Courier New" w:hint="default"/>
      </w:rPr>
    </w:lvl>
    <w:lvl w:ilvl="2" w:tplc="8A6CDEB6" w:tentative="1">
      <w:start w:val="1"/>
      <w:numFmt w:val="bullet"/>
      <w:lvlText w:val=""/>
      <w:lvlJc w:val="left"/>
      <w:pPr>
        <w:ind w:left="2160" w:hanging="360"/>
      </w:pPr>
      <w:rPr>
        <w:rFonts w:ascii="Wingdings" w:hAnsi="Wingdings" w:hint="default"/>
      </w:rPr>
    </w:lvl>
    <w:lvl w:ilvl="3" w:tplc="6CAA3AFE" w:tentative="1">
      <w:start w:val="1"/>
      <w:numFmt w:val="bullet"/>
      <w:lvlText w:val=""/>
      <w:lvlJc w:val="left"/>
      <w:pPr>
        <w:ind w:left="2880" w:hanging="360"/>
      </w:pPr>
      <w:rPr>
        <w:rFonts w:ascii="Symbol" w:hAnsi="Symbol" w:hint="default"/>
      </w:rPr>
    </w:lvl>
    <w:lvl w:ilvl="4" w:tplc="8460EE20" w:tentative="1">
      <w:start w:val="1"/>
      <w:numFmt w:val="bullet"/>
      <w:lvlText w:val="o"/>
      <w:lvlJc w:val="left"/>
      <w:pPr>
        <w:ind w:left="3600" w:hanging="360"/>
      </w:pPr>
      <w:rPr>
        <w:rFonts w:ascii="Courier New" w:hAnsi="Courier New" w:cs="Courier New" w:hint="default"/>
      </w:rPr>
    </w:lvl>
    <w:lvl w:ilvl="5" w:tplc="EA8C9502" w:tentative="1">
      <w:start w:val="1"/>
      <w:numFmt w:val="bullet"/>
      <w:lvlText w:val=""/>
      <w:lvlJc w:val="left"/>
      <w:pPr>
        <w:ind w:left="4320" w:hanging="360"/>
      </w:pPr>
      <w:rPr>
        <w:rFonts w:ascii="Wingdings" w:hAnsi="Wingdings" w:hint="default"/>
      </w:rPr>
    </w:lvl>
    <w:lvl w:ilvl="6" w:tplc="F6A6C1CA" w:tentative="1">
      <w:start w:val="1"/>
      <w:numFmt w:val="bullet"/>
      <w:lvlText w:val=""/>
      <w:lvlJc w:val="left"/>
      <w:pPr>
        <w:ind w:left="5040" w:hanging="360"/>
      </w:pPr>
      <w:rPr>
        <w:rFonts w:ascii="Symbol" w:hAnsi="Symbol" w:hint="default"/>
      </w:rPr>
    </w:lvl>
    <w:lvl w:ilvl="7" w:tplc="12E65E18" w:tentative="1">
      <w:start w:val="1"/>
      <w:numFmt w:val="bullet"/>
      <w:lvlText w:val="o"/>
      <w:lvlJc w:val="left"/>
      <w:pPr>
        <w:ind w:left="5760" w:hanging="360"/>
      </w:pPr>
      <w:rPr>
        <w:rFonts w:ascii="Courier New" w:hAnsi="Courier New" w:cs="Courier New" w:hint="default"/>
      </w:rPr>
    </w:lvl>
    <w:lvl w:ilvl="8" w:tplc="24F6619C" w:tentative="1">
      <w:start w:val="1"/>
      <w:numFmt w:val="bullet"/>
      <w:lvlText w:val=""/>
      <w:lvlJc w:val="left"/>
      <w:pPr>
        <w:ind w:left="6480" w:hanging="360"/>
      </w:pPr>
      <w:rPr>
        <w:rFonts w:ascii="Wingdings" w:hAnsi="Wingdings" w:hint="default"/>
      </w:rPr>
    </w:lvl>
  </w:abstractNum>
  <w:abstractNum w:abstractNumId="2" w15:restartNumberingAfterBreak="0">
    <w:nsid w:val="297B2083"/>
    <w:multiLevelType w:val="hybridMultilevel"/>
    <w:tmpl w:val="CCF2091C"/>
    <w:lvl w:ilvl="0" w:tplc="38905864">
      <w:start w:val="1"/>
      <w:numFmt w:val="bullet"/>
      <w:lvlText w:val=""/>
      <w:lvlJc w:val="left"/>
      <w:pPr>
        <w:ind w:left="360" w:hanging="360"/>
      </w:pPr>
      <w:rPr>
        <w:rFonts w:ascii="Symbol" w:hAnsi="Symbol" w:hint="default"/>
      </w:rPr>
    </w:lvl>
    <w:lvl w:ilvl="1" w:tplc="7602B7F8" w:tentative="1">
      <w:start w:val="1"/>
      <w:numFmt w:val="bullet"/>
      <w:lvlText w:val="o"/>
      <w:lvlJc w:val="left"/>
      <w:pPr>
        <w:ind w:left="1080" w:hanging="360"/>
      </w:pPr>
      <w:rPr>
        <w:rFonts w:ascii="Courier New" w:hAnsi="Courier New" w:cs="Courier New" w:hint="default"/>
      </w:rPr>
    </w:lvl>
    <w:lvl w:ilvl="2" w:tplc="57C477F0" w:tentative="1">
      <w:start w:val="1"/>
      <w:numFmt w:val="bullet"/>
      <w:lvlText w:val=""/>
      <w:lvlJc w:val="left"/>
      <w:pPr>
        <w:ind w:left="1800" w:hanging="360"/>
      </w:pPr>
      <w:rPr>
        <w:rFonts w:ascii="Wingdings" w:hAnsi="Wingdings" w:hint="default"/>
      </w:rPr>
    </w:lvl>
    <w:lvl w:ilvl="3" w:tplc="B57833F2" w:tentative="1">
      <w:start w:val="1"/>
      <w:numFmt w:val="bullet"/>
      <w:lvlText w:val=""/>
      <w:lvlJc w:val="left"/>
      <w:pPr>
        <w:ind w:left="2520" w:hanging="360"/>
      </w:pPr>
      <w:rPr>
        <w:rFonts w:ascii="Symbol" w:hAnsi="Symbol" w:hint="default"/>
      </w:rPr>
    </w:lvl>
    <w:lvl w:ilvl="4" w:tplc="3D684A86" w:tentative="1">
      <w:start w:val="1"/>
      <w:numFmt w:val="bullet"/>
      <w:lvlText w:val="o"/>
      <w:lvlJc w:val="left"/>
      <w:pPr>
        <w:ind w:left="3240" w:hanging="360"/>
      </w:pPr>
      <w:rPr>
        <w:rFonts w:ascii="Courier New" w:hAnsi="Courier New" w:cs="Courier New" w:hint="default"/>
      </w:rPr>
    </w:lvl>
    <w:lvl w:ilvl="5" w:tplc="8C18096A" w:tentative="1">
      <w:start w:val="1"/>
      <w:numFmt w:val="bullet"/>
      <w:lvlText w:val=""/>
      <w:lvlJc w:val="left"/>
      <w:pPr>
        <w:ind w:left="3960" w:hanging="360"/>
      </w:pPr>
      <w:rPr>
        <w:rFonts w:ascii="Wingdings" w:hAnsi="Wingdings" w:hint="default"/>
      </w:rPr>
    </w:lvl>
    <w:lvl w:ilvl="6" w:tplc="8B06F0CE" w:tentative="1">
      <w:start w:val="1"/>
      <w:numFmt w:val="bullet"/>
      <w:lvlText w:val=""/>
      <w:lvlJc w:val="left"/>
      <w:pPr>
        <w:ind w:left="4680" w:hanging="360"/>
      </w:pPr>
      <w:rPr>
        <w:rFonts w:ascii="Symbol" w:hAnsi="Symbol" w:hint="default"/>
      </w:rPr>
    </w:lvl>
    <w:lvl w:ilvl="7" w:tplc="B65447EC" w:tentative="1">
      <w:start w:val="1"/>
      <w:numFmt w:val="bullet"/>
      <w:lvlText w:val="o"/>
      <w:lvlJc w:val="left"/>
      <w:pPr>
        <w:ind w:left="5400" w:hanging="360"/>
      </w:pPr>
      <w:rPr>
        <w:rFonts w:ascii="Courier New" w:hAnsi="Courier New" w:cs="Courier New" w:hint="default"/>
      </w:rPr>
    </w:lvl>
    <w:lvl w:ilvl="8" w:tplc="B8728616" w:tentative="1">
      <w:start w:val="1"/>
      <w:numFmt w:val="bullet"/>
      <w:lvlText w:val=""/>
      <w:lvlJc w:val="left"/>
      <w:pPr>
        <w:ind w:left="6120" w:hanging="360"/>
      </w:pPr>
      <w:rPr>
        <w:rFonts w:ascii="Wingdings" w:hAnsi="Wingdings" w:hint="default"/>
      </w:rPr>
    </w:lvl>
  </w:abstractNum>
  <w:abstractNum w:abstractNumId="3" w15:restartNumberingAfterBreak="0">
    <w:nsid w:val="41464BD1"/>
    <w:multiLevelType w:val="hybridMultilevel"/>
    <w:tmpl w:val="923ED25C"/>
    <w:lvl w:ilvl="0" w:tplc="3ED27CF6">
      <w:start w:val="1"/>
      <w:numFmt w:val="bullet"/>
      <w:lvlText w:val=""/>
      <w:lvlJc w:val="left"/>
      <w:pPr>
        <w:ind w:left="760" w:hanging="360"/>
      </w:pPr>
      <w:rPr>
        <w:rFonts w:ascii="Symbol" w:hAnsi="Symbol" w:hint="default"/>
      </w:rPr>
    </w:lvl>
    <w:lvl w:ilvl="1" w:tplc="7F380570">
      <w:start w:val="1"/>
      <w:numFmt w:val="bullet"/>
      <w:lvlText w:val=""/>
      <w:lvlJc w:val="left"/>
      <w:pPr>
        <w:ind w:left="1480" w:hanging="360"/>
      </w:pPr>
      <w:rPr>
        <w:rFonts w:ascii="Symbol" w:hAnsi="Symbol" w:hint="default"/>
      </w:rPr>
    </w:lvl>
    <w:lvl w:ilvl="2" w:tplc="D5221E5E" w:tentative="1">
      <w:start w:val="1"/>
      <w:numFmt w:val="bullet"/>
      <w:lvlText w:val=""/>
      <w:lvlJc w:val="left"/>
      <w:pPr>
        <w:ind w:left="2200" w:hanging="360"/>
      </w:pPr>
      <w:rPr>
        <w:rFonts w:ascii="Wingdings" w:hAnsi="Wingdings" w:hint="default"/>
      </w:rPr>
    </w:lvl>
    <w:lvl w:ilvl="3" w:tplc="3EACE000" w:tentative="1">
      <w:start w:val="1"/>
      <w:numFmt w:val="bullet"/>
      <w:lvlText w:val=""/>
      <w:lvlJc w:val="left"/>
      <w:pPr>
        <w:ind w:left="2920" w:hanging="360"/>
      </w:pPr>
      <w:rPr>
        <w:rFonts w:ascii="Symbol" w:hAnsi="Symbol" w:hint="default"/>
      </w:rPr>
    </w:lvl>
    <w:lvl w:ilvl="4" w:tplc="F08838DC" w:tentative="1">
      <w:start w:val="1"/>
      <w:numFmt w:val="bullet"/>
      <w:lvlText w:val="o"/>
      <w:lvlJc w:val="left"/>
      <w:pPr>
        <w:ind w:left="3640" w:hanging="360"/>
      </w:pPr>
      <w:rPr>
        <w:rFonts w:ascii="Courier New" w:hAnsi="Courier New" w:cs="Courier New" w:hint="default"/>
      </w:rPr>
    </w:lvl>
    <w:lvl w:ilvl="5" w:tplc="A60C845E" w:tentative="1">
      <w:start w:val="1"/>
      <w:numFmt w:val="bullet"/>
      <w:lvlText w:val=""/>
      <w:lvlJc w:val="left"/>
      <w:pPr>
        <w:ind w:left="4360" w:hanging="360"/>
      </w:pPr>
      <w:rPr>
        <w:rFonts w:ascii="Wingdings" w:hAnsi="Wingdings" w:hint="default"/>
      </w:rPr>
    </w:lvl>
    <w:lvl w:ilvl="6" w:tplc="A712ECC6" w:tentative="1">
      <w:start w:val="1"/>
      <w:numFmt w:val="bullet"/>
      <w:lvlText w:val=""/>
      <w:lvlJc w:val="left"/>
      <w:pPr>
        <w:ind w:left="5080" w:hanging="360"/>
      </w:pPr>
      <w:rPr>
        <w:rFonts w:ascii="Symbol" w:hAnsi="Symbol" w:hint="default"/>
      </w:rPr>
    </w:lvl>
    <w:lvl w:ilvl="7" w:tplc="007CFC6E" w:tentative="1">
      <w:start w:val="1"/>
      <w:numFmt w:val="bullet"/>
      <w:lvlText w:val="o"/>
      <w:lvlJc w:val="left"/>
      <w:pPr>
        <w:ind w:left="5800" w:hanging="360"/>
      </w:pPr>
      <w:rPr>
        <w:rFonts w:ascii="Courier New" w:hAnsi="Courier New" w:cs="Courier New" w:hint="default"/>
      </w:rPr>
    </w:lvl>
    <w:lvl w:ilvl="8" w:tplc="C5307E60" w:tentative="1">
      <w:start w:val="1"/>
      <w:numFmt w:val="bullet"/>
      <w:lvlText w:val=""/>
      <w:lvlJc w:val="left"/>
      <w:pPr>
        <w:ind w:left="6520" w:hanging="360"/>
      </w:pPr>
      <w:rPr>
        <w:rFonts w:ascii="Wingdings" w:hAnsi="Wingdings" w:hint="default"/>
      </w:rPr>
    </w:lvl>
  </w:abstractNum>
  <w:abstractNum w:abstractNumId="4" w15:restartNumberingAfterBreak="0">
    <w:nsid w:val="49D70F30"/>
    <w:multiLevelType w:val="hybridMultilevel"/>
    <w:tmpl w:val="ABFA1DE8"/>
    <w:lvl w:ilvl="0" w:tplc="FECEE3D0">
      <w:numFmt w:val="bullet"/>
      <w:lvlText w:val="-"/>
      <w:lvlJc w:val="left"/>
      <w:pPr>
        <w:ind w:left="720" w:hanging="360"/>
      </w:pPr>
      <w:rPr>
        <w:rFonts w:ascii="Verdana" w:eastAsia="Times New Roman" w:hAnsi="Verdana" w:cstheme="minorBidi" w:hint="default"/>
      </w:rPr>
    </w:lvl>
    <w:lvl w:ilvl="1" w:tplc="566277DC" w:tentative="1">
      <w:start w:val="1"/>
      <w:numFmt w:val="bullet"/>
      <w:lvlText w:val="o"/>
      <w:lvlJc w:val="left"/>
      <w:pPr>
        <w:ind w:left="1440" w:hanging="360"/>
      </w:pPr>
      <w:rPr>
        <w:rFonts w:ascii="Courier New" w:hAnsi="Courier New" w:cs="Courier New" w:hint="default"/>
      </w:rPr>
    </w:lvl>
    <w:lvl w:ilvl="2" w:tplc="C92A0ECC" w:tentative="1">
      <w:start w:val="1"/>
      <w:numFmt w:val="bullet"/>
      <w:lvlText w:val=""/>
      <w:lvlJc w:val="left"/>
      <w:pPr>
        <w:ind w:left="2160" w:hanging="360"/>
      </w:pPr>
      <w:rPr>
        <w:rFonts w:ascii="Wingdings" w:hAnsi="Wingdings" w:hint="default"/>
      </w:rPr>
    </w:lvl>
    <w:lvl w:ilvl="3" w:tplc="1D221DA8" w:tentative="1">
      <w:start w:val="1"/>
      <w:numFmt w:val="bullet"/>
      <w:lvlText w:val=""/>
      <w:lvlJc w:val="left"/>
      <w:pPr>
        <w:ind w:left="2880" w:hanging="360"/>
      </w:pPr>
      <w:rPr>
        <w:rFonts w:ascii="Symbol" w:hAnsi="Symbol" w:hint="default"/>
      </w:rPr>
    </w:lvl>
    <w:lvl w:ilvl="4" w:tplc="38428D6C" w:tentative="1">
      <w:start w:val="1"/>
      <w:numFmt w:val="bullet"/>
      <w:lvlText w:val="o"/>
      <w:lvlJc w:val="left"/>
      <w:pPr>
        <w:ind w:left="3600" w:hanging="360"/>
      </w:pPr>
      <w:rPr>
        <w:rFonts w:ascii="Courier New" w:hAnsi="Courier New" w:cs="Courier New" w:hint="default"/>
      </w:rPr>
    </w:lvl>
    <w:lvl w:ilvl="5" w:tplc="D9BC9A96" w:tentative="1">
      <w:start w:val="1"/>
      <w:numFmt w:val="bullet"/>
      <w:lvlText w:val=""/>
      <w:lvlJc w:val="left"/>
      <w:pPr>
        <w:ind w:left="4320" w:hanging="360"/>
      </w:pPr>
      <w:rPr>
        <w:rFonts w:ascii="Wingdings" w:hAnsi="Wingdings" w:hint="default"/>
      </w:rPr>
    </w:lvl>
    <w:lvl w:ilvl="6" w:tplc="039276A2" w:tentative="1">
      <w:start w:val="1"/>
      <w:numFmt w:val="bullet"/>
      <w:lvlText w:val=""/>
      <w:lvlJc w:val="left"/>
      <w:pPr>
        <w:ind w:left="5040" w:hanging="360"/>
      </w:pPr>
      <w:rPr>
        <w:rFonts w:ascii="Symbol" w:hAnsi="Symbol" w:hint="default"/>
      </w:rPr>
    </w:lvl>
    <w:lvl w:ilvl="7" w:tplc="CA5A85AA" w:tentative="1">
      <w:start w:val="1"/>
      <w:numFmt w:val="bullet"/>
      <w:lvlText w:val="o"/>
      <w:lvlJc w:val="left"/>
      <w:pPr>
        <w:ind w:left="5760" w:hanging="360"/>
      </w:pPr>
      <w:rPr>
        <w:rFonts w:ascii="Courier New" w:hAnsi="Courier New" w:cs="Courier New" w:hint="default"/>
      </w:rPr>
    </w:lvl>
    <w:lvl w:ilvl="8" w:tplc="5CA49CC4" w:tentative="1">
      <w:start w:val="1"/>
      <w:numFmt w:val="bullet"/>
      <w:lvlText w:val=""/>
      <w:lvlJc w:val="left"/>
      <w:pPr>
        <w:ind w:left="6480" w:hanging="360"/>
      </w:pPr>
      <w:rPr>
        <w:rFonts w:ascii="Wingdings" w:hAnsi="Wingdings" w:hint="default"/>
      </w:rPr>
    </w:lvl>
  </w:abstractNum>
  <w:abstractNum w:abstractNumId="5" w15:restartNumberingAfterBreak="0">
    <w:nsid w:val="55196A25"/>
    <w:multiLevelType w:val="hybridMultilevel"/>
    <w:tmpl w:val="B47814D0"/>
    <w:lvl w:ilvl="0" w:tplc="8C6218E0">
      <w:numFmt w:val="bullet"/>
      <w:lvlText w:val="-"/>
      <w:lvlJc w:val="left"/>
      <w:pPr>
        <w:ind w:left="720" w:hanging="360"/>
      </w:pPr>
      <w:rPr>
        <w:rFonts w:ascii="Verdana" w:eastAsia="Times New Roman" w:hAnsi="Verdana" w:cstheme="minorBidi" w:hint="default"/>
      </w:rPr>
    </w:lvl>
    <w:lvl w:ilvl="1" w:tplc="C354248E" w:tentative="1">
      <w:start w:val="1"/>
      <w:numFmt w:val="bullet"/>
      <w:lvlText w:val="o"/>
      <w:lvlJc w:val="left"/>
      <w:pPr>
        <w:ind w:left="1440" w:hanging="360"/>
      </w:pPr>
      <w:rPr>
        <w:rFonts w:ascii="Courier New" w:hAnsi="Courier New" w:cs="Courier New" w:hint="default"/>
      </w:rPr>
    </w:lvl>
    <w:lvl w:ilvl="2" w:tplc="AA14564C" w:tentative="1">
      <w:start w:val="1"/>
      <w:numFmt w:val="bullet"/>
      <w:lvlText w:val=""/>
      <w:lvlJc w:val="left"/>
      <w:pPr>
        <w:ind w:left="2160" w:hanging="360"/>
      </w:pPr>
      <w:rPr>
        <w:rFonts w:ascii="Wingdings" w:hAnsi="Wingdings" w:hint="default"/>
      </w:rPr>
    </w:lvl>
    <w:lvl w:ilvl="3" w:tplc="01849C84" w:tentative="1">
      <w:start w:val="1"/>
      <w:numFmt w:val="bullet"/>
      <w:lvlText w:val=""/>
      <w:lvlJc w:val="left"/>
      <w:pPr>
        <w:ind w:left="2880" w:hanging="360"/>
      </w:pPr>
      <w:rPr>
        <w:rFonts w:ascii="Symbol" w:hAnsi="Symbol" w:hint="default"/>
      </w:rPr>
    </w:lvl>
    <w:lvl w:ilvl="4" w:tplc="E0D87C02" w:tentative="1">
      <w:start w:val="1"/>
      <w:numFmt w:val="bullet"/>
      <w:lvlText w:val="o"/>
      <w:lvlJc w:val="left"/>
      <w:pPr>
        <w:ind w:left="3600" w:hanging="360"/>
      </w:pPr>
      <w:rPr>
        <w:rFonts w:ascii="Courier New" w:hAnsi="Courier New" w:cs="Courier New" w:hint="default"/>
      </w:rPr>
    </w:lvl>
    <w:lvl w:ilvl="5" w:tplc="F4E81826" w:tentative="1">
      <w:start w:val="1"/>
      <w:numFmt w:val="bullet"/>
      <w:lvlText w:val=""/>
      <w:lvlJc w:val="left"/>
      <w:pPr>
        <w:ind w:left="4320" w:hanging="360"/>
      </w:pPr>
      <w:rPr>
        <w:rFonts w:ascii="Wingdings" w:hAnsi="Wingdings" w:hint="default"/>
      </w:rPr>
    </w:lvl>
    <w:lvl w:ilvl="6" w:tplc="EE10679E" w:tentative="1">
      <w:start w:val="1"/>
      <w:numFmt w:val="bullet"/>
      <w:lvlText w:val=""/>
      <w:lvlJc w:val="left"/>
      <w:pPr>
        <w:ind w:left="5040" w:hanging="360"/>
      </w:pPr>
      <w:rPr>
        <w:rFonts w:ascii="Symbol" w:hAnsi="Symbol" w:hint="default"/>
      </w:rPr>
    </w:lvl>
    <w:lvl w:ilvl="7" w:tplc="B45A78E2" w:tentative="1">
      <w:start w:val="1"/>
      <w:numFmt w:val="bullet"/>
      <w:lvlText w:val="o"/>
      <w:lvlJc w:val="left"/>
      <w:pPr>
        <w:ind w:left="5760" w:hanging="360"/>
      </w:pPr>
      <w:rPr>
        <w:rFonts w:ascii="Courier New" w:hAnsi="Courier New" w:cs="Courier New" w:hint="default"/>
      </w:rPr>
    </w:lvl>
    <w:lvl w:ilvl="8" w:tplc="DAA46118" w:tentative="1">
      <w:start w:val="1"/>
      <w:numFmt w:val="bullet"/>
      <w:lvlText w:val=""/>
      <w:lvlJc w:val="left"/>
      <w:pPr>
        <w:ind w:left="6480" w:hanging="360"/>
      </w:pPr>
      <w:rPr>
        <w:rFonts w:ascii="Wingdings" w:hAnsi="Wingdings" w:hint="default"/>
      </w:rPr>
    </w:lvl>
  </w:abstractNum>
  <w:abstractNum w:abstractNumId="6" w15:restartNumberingAfterBreak="0">
    <w:nsid w:val="558A576F"/>
    <w:multiLevelType w:val="hybridMultilevel"/>
    <w:tmpl w:val="DB8AF5D4"/>
    <w:lvl w:ilvl="0" w:tplc="87DEF762">
      <w:numFmt w:val="bullet"/>
      <w:lvlText w:val=""/>
      <w:lvlJc w:val="left"/>
      <w:pPr>
        <w:ind w:left="720" w:hanging="360"/>
      </w:pPr>
      <w:rPr>
        <w:rFonts w:ascii="Wingdings" w:eastAsia="DejaVu Sans" w:hAnsi="Wingdings" w:cs="Lohit Hindi" w:hint="default"/>
      </w:rPr>
    </w:lvl>
    <w:lvl w:ilvl="1" w:tplc="1F36CD54" w:tentative="1">
      <w:start w:val="1"/>
      <w:numFmt w:val="bullet"/>
      <w:lvlText w:val="o"/>
      <w:lvlJc w:val="left"/>
      <w:pPr>
        <w:ind w:left="1440" w:hanging="360"/>
      </w:pPr>
      <w:rPr>
        <w:rFonts w:ascii="Courier New" w:hAnsi="Courier New" w:cs="Courier New" w:hint="default"/>
      </w:rPr>
    </w:lvl>
    <w:lvl w:ilvl="2" w:tplc="8F1223A8" w:tentative="1">
      <w:start w:val="1"/>
      <w:numFmt w:val="bullet"/>
      <w:lvlText w:val=""/>
      <w:lvlJc w:val="left"/>
      <w:pPr>
        <w:ind w:left="2160" w:hanging="360"/>
      </w:pPr>
      <w:rPr>
        <w:rFonts w:ascii="Wingdings" w:hAnsi="Wingdings" w:hint="default"/>
      </w:rPr>
    </w:lvl>
    <w:lvl w:ilvl="3" w:tplc="6B7008AC" w:tentative="1">
      <w:start w:val="1"/>
      <w:numFmt w:val="bullet"/>
      <w:lvlText w:val=""/>
      <w:lvlJc w:val="left"/>
      <w:pPr>
        <w:ind w:left="2880" w:hanging="360"/>
      </w:pPr>
      <w:rPr>
        <w:rFonts w:ascii="Symbol" w:hAnsi="Symbol" w:hint="default"/>
      </w:rPr>
    </w:lvl>
    <w:lvl w:ilvl="4" w:tplc="25048786" w:tentative="1">
      <w:start w:val="1"/>
      <w:numFmt w:val="bullet"/>
      <w:lvlText w:val="o"/>
      <w:lvlJc w:val="left"/>
      <w:pPr>
        <w:ind w:left="3600" w:hanging="360"/>
      </w:pPr>
      <w:rPr>
        <w:rFonts w:ascii="Courier New" w:hAnsi="Courier New" w:cs="Courier New" w:hint="default"/>
      </w:rPr>
    </w:lvl>
    <w:lvl w:ilvl="5" w:tplc="AAC604A6" w:tentative="1">
      <w:start w:val="1"/>
      <w:numFmt w:val="bullet"/>
      <w:lvlText w:val=""/>
      <w:lvlJc w:val="left"/>
      <w:pPr>
        <w:ind w:left="4320" w:hanging="360"/>
      </w:pPr>
      <w:rPr>
        <w:rFonts w:ascii="Wingdings" w:hAnsi="Wingdings" w:hint="default"/>
      </w:rPr>
    </w:lvl>
    <w:lvl w:ilvl="6" w:tplc="ADCCD592" w:tentative="1">
      <w:start w:val="1"/>
      <w:numFmt w:val="bullet"/>
      <w:lvlText w:val=""/>
      <w:lvlJc w:val="left"/>
      <w:pPr>
        <w:ind w:left="5040" w:hanging="360"/>
      </w:pPr>
      <w:rPr>
        <w:rFonts w:ascii="Symbol" w:hAnsi="Symbol" w:hint="default"/>
      </w:rPr>
    </w:lvl>
    <w:lvl w:ilvl="7" w:tplc="EF228D42" w:tentative="1">
      <w:start w:val="1"/>
      <w:numFmt w:val="bullet"/>
      <w:lvlText w:val="o"/>
      <w:lvlJc w:val="left"/>
      <w:pPr>
        <w:ind w:left="5760" w:hanging="360"/>
      </w:pPr>
      <w:rPr>
        <w:rFonts w:ascii="Courier New" w:hAnsi="Courier New" w:cs="Courier New" w:hint="default"/>
      </w:rPr>
    </w:lvl>
    <w:lvl w:ilvl="8" w:tplc="90B4C9B4" w:tentative="1">
      <w:start w:val="1"/>
      <w:numFmt w:val="bullet"/>
      <w:lvlText w:val=""/>
      <w:lvlJc w:val="left"/>
      <w:pPr>
        <w:ind w:left="6480" w:hanging="360"/>
      </w:pPr>
      <w:rPr>
        <w:rFonts w:ascii="Wingdings" w:hAnsi="Wingdings" w:hint="default"/>
      </w:rPr>
    </w:lvl>
  </w:abstractNum>
  <w:abstractNum w:abstractNumId="7" w15:restartNumberingAfterBreak="0">
    <w:nsid w:val="730D7F3C"/>
    <w:multiLevelType w:val="hybridMultilevel"/>
    <w:tmpl w:val="9AF08624"/>
    <w:lvl w:ilvl="0" w:tplc="4C4A3E2A">
      <w:start w:val="6"/>
      <w:numFmt w:val="bullet"/>
      <w:lvlText w:val="-"/>
      <w:lvlJc w:val="left"/>
      <w:pPr>
        <w:ind w:left="720" w:hanging="360"/>
      </w:pPr>
      <w:rPr>
        <w:rFonts w:ascii="Aptos" w:eastAsiaTheme="minorHAnsi" w:hAnsi="Aptos" w:cstheme="minorBidi" w:hint="default"/>
      </w:rPr>
    </w:lvl>
    <w:lvl w:ilvl="1" w:tplc="2A9855D2" w:tentative="1">
      <w:start w:val="1"/>
      <w:numFmt w:val="bullet"/>
      <w:lvlText w:val="o"/>
      <w:lvlJc w:val="left"/>
      <w:pPr>
        <w:ind w:left="1440" w:hanging="360"/>
      </w:pPr>
      <w:rPr>
        <w:rFonts w:ascii="Courier New" w:hAnsi="Courier New" w:cs="Courier New" w:hint="default"/>
      </w:rPr>
    </w:lvl>
    <w:lvl w:ilvl="2" w:tplc="B530A6D0" w:tentative="1">
      <w:start w:val="1"/>
      <w:numFmt w:val="bullet"/>
      <w:lvlText w:val=""/>
      <w:lvlJc w:val="left"/>
      <w:pPr>
        <w:ind w:left="2160" w:hanging="360"/>
      </w:pPr>
      <w:rPr>
        <w:rFonts w:ascii="Wingdings" w:hAnsi="Wingdings" w:hint="default"/>
      </w:rPr>
    </w:lvl>
    <w:lvl w:ilvl="3" w:tplc="EBA49BDA" w:tentative="1">
      <w:start w:val="1"/>
      <w:numFmt w:val="bullet"/>
      <w:lvlText w:val=""/>
      <w:lvlJc w:val="left"/>
      <w:pPr>
        <w:ind w:left="2880" w:hanging="360"/>
      </w:pPr>
      <w:rPr>
        <w:rFonts w:ascii="Symbol" w:hAnsi="Symbol" w:hint="default"/>
      </w:rPr>
    </w:lvl>
    <w:lvl w:ilvl="4" w:tplc="64883D38" w:tentative="1">
      <w:start w:val="1"/>
      <w:numFmt w:val="bullet"/>
      <w:lvlText w:val="o"/>
      <w:lvlJc w:val="left"/>
      <w:pPr>
        <w:ind w:left="3600" w:hanging="360"/>
      </w:pPr>
      <w:rPr>
        <w:rFonts w:ascii="Courier New" w:hAnsi="Courier New" w:cs="Courier New" w:hint="default"/>
      </w:rPr>
    </w:lvl>
    <w:lvl w:ilvl="5" w:tplc="EB54BDCC" w:tentative="1">
      <w:start w:val="1"/>
      <w:numFmt w:val="bullet"/>
      <w:lvlText w:val=""/>
      <w:lvlJc w:val="left"/>
      <w:pPr>
        <w:ind w:left="4320" w:hanging="360"/>
      </w:pPr>
      <w:rPr>
        <w:rFonts w:ascii="Wingdings" w:hAnsi="Wingdings" w:hint="default"/>
      </w:rPr>
    </w:lvl>
    <w:lvl w:ilvl="6" w:tplc="ED5A5986" w:tentative="1">
      <w:start w:val="1"/>
      <w:numFmt w:val="bullet"/>
      <w:lvlText w:val=""/>
      <w:lvlJc w:val="left"/>
      <w:pPr>
        <w:ind w:left="5040" w:hanging="360"/>
      </w:pPr>
      <w:rPr>
        <w:rFonts w:ascii="Symbol" w:hAnsi="Symbol" w:hint="default"/>
      </w:rPr>
    </w:lvl>
    <w:lvl w:ilvl="7" w:tplc="BB52D584" w:tentative="1">
      <w:start w:val="1"/>
      <w:numFmt w:val="bullet"/>
      <w:lvlText w:val="o"/>
      <w:lvlJc w:val="left"/>
      <w:pPr>
        <w:ind w:left="5760" w:hanging="360"/>
      </w:pPr>
      <w:rPr>
        <w:rFonts w:ascii="Courier New" w:hAnsi="Courier New" w:cs="Courier New" w:hint="default"/>
      </w:rPr>
    </w:lvl>
    <w:lvl w:ilvl="8" w:tplc="DF38F7FA" w:tentative="1">
      <w:start w:val="1"/>
      <w:numFmt w:val="bullet"/>
      <w:lvlText w:val=""/>
      <w:lvlJc w:val="left"/>
      <w:pPr>
        <w:ind w:left="6480" w:hanging="360"/>
      </w:pPr>
      <w:rPr>
        <w:rFonts w:ascii="Wingdings" w:hAnsi="Wingdings" w:hint="default"/>
      </w:rPr>
    </w:lvl>
  </w:abstractNum>
  <w:num w:numId="1" w16cid:durableId="115756463">
    <w:abstractNumId w:val="6"/>
  </w:num>
  <w:num w:numId="2" w16cid:durableId="275413114">
    <w:abstractNumId w:val="3"/>
  </w:num>
  <w:num w:numId="3" w16cid:durableId="740714908">
    <w:abstractNumId w:val="1"/>
  </w:num>
  <w:num w:numId="4" w16cid:durableId="2037075607">
    <w:abstractNumId w:val="7"/>
  </w:num>
  <w:num w:numId="5" w16cid:durableId="1624729857">
    <w:abstractNumId w:val="0"/>
  </w:num>
  <w:num w:numId="6" w16cid:durableId="1388532863">
    <w:abstractNumId w:val="4"/>
  </w:num>
  <w:num w:numId="7" w16cid:durableId="1399523186">
    <w:abstractNumId w:val="5"/>
  </w:num>
  <w:num w:numId="8" w16cid:durableId="1863204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6110"/>
    <w:rsid w:val="00016D5A"/>
    <w:rsid w:val="00017602"/>
    <w:rsid w:val="00020FFD"/>
    <w:rsid w:val="00021A9A"/>
    <w:rsid w:val="00036603"/>
    <w:rsid w:val="00067ED9"/>
    <w:rsid w:val="000C0874"/>
    <w:rsid w:val="000C5AF8"/>
    <w:rsid w:val="000C6475"/>
    <w:rsid w:val="000D05BE"/>
    <w:rsid w:val="000D5158"/>
    <w:rsid w:val="000E2DA1"/>
    <w:rsid w:val="000E5E82"/>
    <w:rsid w:val="0013482C"/>
    <w:rsid w:val="0019064A"/>
    <w:rsid w:val="0019182C"/>
    <w:rsid w:val="00196B62"/>
    <w:rsid w:val="001A54F0"/>
    <w:rsid w:val="001B5775"/>
    <w:rsid w:val="001B7171"/>
    <w:rsid w:val="001C14E6"/>
    <w:rsid w:val="001C1A5B"/>
    <w:rsid w:val="001C3E83"/>
    <w:rsid w:val="001E0867"/>
    <w:rsid w:val="001F3763"/>
    <w:rsid w:val="002101F9"/>
    <w:rsid w:val="002163C8"/>
    <w:rsid w:val="00221F92"/>
    <w:rsid w:val="00226132"/>
    <w:rsid w:val="002464CD"/>
    <w:rsid w:val="002476B9"/>
    <w:rsid w:val="002508FA"/>
    <w:rsid w:val="00250939"/>
    <w:rsid w:val="002A247B"/>
    <w:rsid w:val="002C728A"/>
    <w:rsid w:val="00303B73"/>
    <w:rsid w:val="00315111"/>
    <w:rsid w:val="00341848"/>
    <w:rsid w:val="003465C8"/>
    <w:rsid w:val="00357267"/>
    <w:rsid w:val="003606C7"/>
    <w:rsid w:val="00373D01"/>
    <w:rsid w:val="00373F5F"/>
    <w:rsid w:val="00380A78"/>
    <w:rsid w:val="00381B2F"/>
    <w:rsid w:val="00382448"/>
    <w:rsid w:val="00394053"/>
    <w:rsid w:val="00394132"/>
    <w:rsid w:val="00395ADF"/>
    <w:rsid w:val="003A0D60"/>
    <w:rsid w:val="003B1E2C"/>
    <w:rsid w:val="003C331C"/>
    <w:rsid w:val="003E2604"/>
    <w:rsid w:val="003F4F3B"/>
    <w:rsid w:val="003F77A1"/>
    <w:rsid w:val="00402C4D"/>
    <w:rsid w:val="00405C0F"/>
    <w:rsid w:val="0040758F"/>
    <w:rsid w:val="00407ECC"/>
    <w:rsid w:val="00410B89"/>
    <w:rsid w:val="00420166"/>
    <w:rsid w:val="00420A7B"/>
    <w:rsid w:val="0043046A"/>
    <w:rsid w:val="00433CED"/>
    <w:rsid w:val="004462B1"/>
    <w:rsid w:val="00450F72"/>
    <w:rsid w:val="00471B5A"/>
    <w:rsid w:val="004D4ED0"/>
    <w:rsid w:val="004F1501"/>
    <w:rsid w:val="0050213F"/>
    <w:rsid w:val="00524064"/>
    <w:rsid w:val="00531764"/>
    <w:rsid w:val="0054449D"/>
    <w:rsid w:val="005530A0"/>
    <w:rsid w:val="005733A3"/>
    <w:rsid w:val="00576C14"/>
    <w:rsid w:val="00581065"/>
    <w:rsid w:val="005867FA"/>
    <w:rsid w:val="005B11BF"/>
    <w:rsid w:val="005C370E"/>
    <w:rsid w:val="005D0D98"/>
    <w:rsid w:val="00605163"/>
    <w:rsid w:val="006178CE"/>
    <w:rsid w:val="00660795"/>
    <w:rsid w:val="00664D88"/>
    <w:rsid w:val="00676AF7"/>
    <w:rsid w:val="00677B60"/>
    <w:rsid w:val="006818AD"/>
    <w:rsid w:val="0068732D"/>
    <w:rsid w:val="006B7305"/>
    <w:rsid w:val="006C7A9D"/>
    <w:rsid w:val="007326D5"/>
    <w:rsid w:val="00753F5E"/>
    <w:rsid w:val="007701DB"/>
    <w:rsid w:val="007736B4"/>
    <w:rsid w:val="00775E8D"/>
    <w:rsid w:val="0078374B"/>
    <w:rsid w:val="007869B0"/>
    <w:rsid w:val="007A09C6"/>
    <w:rsid w:val="007B14BD"/>
    <w:rsid w:val="007B6A41"/>
    <w:rsid w:val="007C1ED4"/>
    <w:rsid w:val="007C523D"/>
    <w:rsid w:val="007C571D"/>
    <w:rsid w:val="007C6524"/>
    <w:rsid w:val="007F3993"/>
    <w:rsid w:val="007F46E6"/>
    <w:rsid w:val="00846245"/>
    <w:rsid w:val="00853153"/>
    <w:rsid w:val="00875CB2"/>
    <w:rsid w:val="008855DC"/>
    <w:rsid w:val="008D4A19"/>
    <w:rsid w:val="008D5501"/>
    <w:rsid w:val="008D6C31"/>
    <w:rsid w:val="008E5DCA"/>
    <w:rsid w:val="008E5F0C"/>
    <w:rsid w:val="009231DC"/>
    <w:rsid w:val="00926D97"/>
    <w:rsid w:val="009454FC"/>
    <w:rsid w:val="00963BFE"/>
    <w:rsid w:val="00966EEB"/>
    <w:rsid w:val="009700A4"/>
    <w:rsid w:val="0098677B"/>
    <w:rsid w:val="00995C6B"/>
    <w:rsid w:val="009A4ED4"/>
    <w:rsid w:val="009C78A3"/>
    <w:rsid w:val="009F656E"/>
    <w:rsid w:val="00A43263"/>
    <w:rsid w:val="00A518A9"/>
    <w:rsid w:val="00A71ECD"/>
    <w:rsid w:val="00A746F5"/>
    <w:rsid w:val="00A851DF"/>
    <w:rsid w:val="00A8653E"/>
    <w:rsid w:val="00A94A94"/>
    <w:rsid w:val="00A94F48"/>
    <w:rsid w:val="00A95322"/>
    <w:rsid w:val="00AA2C5B"/>
    <w:rsid w:val="00AC32CD"/>
    <w:rsid w:val="00AC34C9"/>
    <w:rsid w:val="00AC3A44"/>
    <w:rsid w:val="00AD09C3"/>
    <w:rsid w:val="00AD189B"/>
    <w:rsid w:val="00AE2ADB"/>
    <w:rsid w:val="00AE46FF"/>
    <w:rsid w:val="00AE5E13"/>
    <w:rsid w:val="00AE72AC"/>
    <w:rsid w:val="00AF06F3"/>
    <w:rsid w:val="00AF1619"/>
    <w:rsid w:val="00AF57D7"/>
    <w:rsid w:val="00AF7506"/>
    <w:rsid w:val="00B21142"/>
    <w:rsid w:val="00B4299D"/>
    <w:rsid w:val="00B65EC9"/>
    <w:rsid w:val="00B81C47"/>
    <w:rsid w:val="00B855D5"/>
    <w:rsid w:val="00B90EF5"/>
    <w:rsid w:val="00B91932"/>
    <w:rsid w:val="00BC0413"/>
    <w:rsid w:val="00BC21A4"/>
    <w:rsid w:val="00BD0479"/>
    <w:rsid w:val="00BD3D89"/>
    <w:rsid w:val="00BD4E43"/>
    <w:rsid w:val="00C1025E"/>
    <w:rsid w:val="00C12091"/>
    <w:rsid w:val="00C12C9D"/>
    <w:rsid w:val="00C16107"/>
    <w:rsid w:val="00C24999"/>
    <w:rsid w:val="00C25DDF"/>
    <w:rsid w:val="00C30703"/>
    <w:rsid w:val="00C46B8F"/>
    <w:rsid w:val="00C55223"/>
    <w:rsid w:val="00C555C4"/>
    <w:rsid w:val="00C615C7"/>
    <w:rsid w:val="00C712F8"/>
    <w:rsid w:val="00CA0B68"/>
    <w:rsid w:val="00CA21B3"/>
    <w:rsid w:val="00CA6364"/>
    <w:rsid w:val="00CC6C89"/>
    <w:rsid w:val="00CE175A"/>
    <w:rsid w:val="00CE38AA"/>
    <w:rsid w:val="00D12156"/>
    <w:rsid w:val="00D14EA2"/>
    <w:rsid w:val="00D22300"/>
    <w:rsid w:val="00D24636"/>
    <w:rsid w:val="00D31B57"/>
    <w:rsid w:val="00D4049C"/>
    <w:rsid w:val="00D4337C"/>
    <w:rsid w:val="00D61148"/>
    <w:rsid w:val="00D656BF"/>
    <w:rsid w:val="00D70A17"/>
    <w:rsid w:val="00D75A1E"/>
    <w:rsid w:val="00D7730C"/>
    <w:rsid w:val="00D819A2"/>
    <w:rsid w:val="00D9317D"/>
    <w:rsid w:val="00DA595A"/>
    <w:rsid w:val="00DA6A9B"/>
    <w:rsid w:val="00DB43A2"/>
    <w:rsid w:val="00DC285B"/>
    <w:rsid w:val="00DD6E87"/>
    <w:rsid w:val="00DD740B"/>
    <w:rsid w:val="00DF2EB8"/>
    <w:rsid w:val="00E02776"/>
    <w:rsid w:val="00E164B3"/>
    <w:rsid w:val="00E22B3B"/>
    <w:rsid w:val="00E27496"/>
    <w:rsid w:val="00E36FFA"/>
    <w:rsid w:val="00E42B85"/>
    <w:rsid w:val="00E51094"/>
    <w:rsid w:val="00E62FA5"/>
    <w:rsid w:val="00E8113B"/>
    <w:rsid w:val="00E87831"/>
    <w:rsid w:val="00EB1068"/>
    <w:rsid w:val="00EB61EF"/>
    <w:rsid w:val="00EB704F"/>
    <w:rsid w:val="00ED1D0D"/>
    <w:rsid w:val="00ED3298"/>
    <w:rsid w:val="00EE1C9F"/>
    <w:rsid w:val="00EE2A70"/>
    <w:rsid w:val="00EF100B"/>
    <w:rsid w:val="00F32A52"/>
    <w:rsid w:val="00F524D6"/>
    <w:rsid w:val="00F61B8F"/>
    <w:rsid w:val="00F84AD6"/>
    <w:rsid w:val="00F877C6"/>
    <w:rsid w:val="00F95178"/>
    <w:rsid w:val="00F9522B"/>
    <w:rsid w:val="00F968C4"/>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6933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34"/>
    <w:qFormat/>
    <w:rsid w:val="00D14EA2"/>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D14EA2"/>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D14EA2"/>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D14EA2"/>
    <w:rPr>
      <w:vertAlign w:val="superscript"/>
    </w:rPr>
  </w:style>
  <w:style w:type="character" w:styleId="Hyperlink">
    <w:name w:val="Hyperlink"/>
    <w:basedOn w:val="Standaardalinea-lettertype"/>
    <w:uiPriority w:val="99"/>
    <w:unhideWhenUsed/>
    <w:rsid w:val="00D14EA2"/>
    <w:rPr>
      <w:color w:val="0000FF" w:themeColor="hyperlink"/>
      <w:u w:val="single"/>
    </w:rPr>
  </w:style>
  <w:style w:type="character" w:styleId="Verwijzingopmerking">
    <w:name w:val="annotation reference"/>
    <w:basedOn w:val="Standaardalinea-lettertype"/>
    <w:uiPriority w:val="99"/>
    <w:semiHidden/>
    <w:unhideWhenUsed/>
    <w:rsid w:val="00D14EA2"/>
    <w:rPr>
      <w:sz w:val="16"/>
      <w:szCs w:val="16"/>
    </w:rPr>
  </w:style>
  <w:style w:type="paragraph" w:styleId="Tekstopmerking">
    <w:name w:val="annotation text"/>
    <w:basedOn w:val="Standaard"/>
    <w:link w:val="TekstopmerkingChar"/>
    <w:uiPriority w:val="99"/>
    <w:unhideWhenUsed/>
    <w:rsid w:val="00D14EA2"/>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D14EA2"/>
    <w:rPr>
      <w:rFonts w:asciiTheme="minorHAnsi" w:eastAsiaTheme="minorHAnsi" w:hAnsiTheme="minorHAnsi" w:cstheme="minorBidi"/>
      <w:kern w:val="2"/>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6818AD"/>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6818AD"/>
    <w:rPr>
      <w:rFonts w:ascii="Verdana" w:eastAsiaTheme="minorHAnsi" w:hAnsi="Verdana" w:cs="Mangal"/>
      <w:b/>
      <w:bCs/>
      <w:kern w:val="2"/>
      <w:sz w:val="20"/>
      <w:szCs w:val="18"/>
      <w:lang w:eastAsia="en-US" w:bidi="ar-SA"/>
    </w:rPr>
  </w:style>
  <w:style w:type="character" w:styleId="Onopgelostemelding">
    <w:name w:val="Unresolved Mention"/>
    <w:basedOn w:val="Standaardalinea-lettertype"/>
    <w:uiPriority w:val="99"/>
    <w:semiHidden/>
    <w:unhideWhenUsed/>
    <w:rsid w:val="00AA2C5B"/>
    <w:rPr>
      <w:color w:val="605E5C"/>
      <w:shd w:val="clear" w:color="auto" w:fill="E1DFDD"/>
    </w:rPr>
  </w:style>
  <w:style w:type="character" w:styleId="GevolgdeHyperlink">
    <w:name w:val="FollowedHyperlink"/>
    <w:basedOn w:val="Standaardalinea-lettertype"/>
    <w:uiPriority w:val="99"/>
    <w:semiHidden/>
    <w:unhideWhenUsed/>
    <w:rsid w:val="00AC3A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media.alzheimer-nederland.nl/s3fs-public/media/2025-09/documents/infographic_Dementie%20heeft%20grote%20impact%20op%20de%20samenleving_online.pdf" TargetMode="External"/><Relationship Id="rId2" Type="http://schemas.openxmlformats.org/officeDocument/2006/relationships/hyperlink" Target="https://www.volksgezondheidtoekomstverkenning.nl/vtv-2024/trendscenario/ziekten-aandoeningen" TargetMode="External"/><Relationship Id="rId1" Type="http://schemas.openxmlformats.org/officeDocument/2006/relationships/hyperlink" Target="https://www.alzheimer-nederland.nl/dementie/feiten-en-cijfers-over-dementie" TargetMode="External"/><Relationship Id="rId6" Type="http://schemas.openxmlformats.org/officeDocument/2006/relationships/hyperlink" Target="https://projecten.zonmw.nl/nl/project/dementierisico-reductie-individueel-leefstijladvies-de-leefstijl-interventie-op-de" TargetMode="External"/><Relationship Id="rId5" Type="http://schemas.openxmlformats.org/officeDocument/2006/relationships/hyperlink" Target="https://projecten.zonmw.nl/nl/project/beinvloedbare-risicofactoren-voor-preventie-van-dementie-nederlands-consortium-voor" TargetMode="External"/><Relationship Id="rId4" Type="http://schemas.openxmlformats.org/officeDocument/2006/relationships/hyperlink" Target="https://projecten.zonmw.nl/nl/project/nederlands-dementie-preventie-initiatief-ndp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2381</ap:Words>
  <ap:Characters>13099</ap:Characters>
  <ap:DocSecurity>0</ap:DocSecurity>
  <ap:Lines>109</ap:Lines>
  <ap:Paragraphs>30</ap:Paragraphs>
  <ap:ScaleCrop>false</ap:ScaleCrop>
  <ap:LinksUpToDate>false</ap:LinksUpToDate>
  <ap:CharactersWithSpaces>15450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2026-03-19T12:41:00.0000000Z</dcterms:created>
  <dcterms:modified xsi:type="dcterms:W3CDTF">2026-03-19T12:41:00.0000000Z</dcterms:modified>
  <dc:creator/>
  <dc:description>------------------------</dc:description>
  <dc:subject/>
  <dc:title/>
  <keywords/>
  <version/>
  <category/>
</coreProperties>
</file>