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2026Z05441</w:t>
        <w:br/>
      </w:r>
      <w:proofErr w:type="spellEnd"/>
    </w:p>
    <w:p>
      <w:pPr>
        <w:pStyle w:val="Normal"/>
        <w:rPr>
          <w:b w:val="1"/>
          <w:bCs w:val="1"/>
        </w:rPr>
      </w:pPr>
      <w:r w:rsidR="250AE766">
        <w:rPr>
          <w:b w:val="0"/>
          <w:bCs w:val="0"/>
        </w:rPr>
        <w:t>(ingezonden 19 maart 2026)</w:t>
        <w:br/>
      </w:r>
    </w:p>
    <w:p>
      <w:r>
        <w:t xml:space="preserve">Vragen van de leden Kröger (GroenLinks-PvdA) en Kostic (PvdD) aan de minister van Infrastructuur en Waterstaat over het vonnis van de Raad van State op het tussen-LVB Schiphol</w:t>
      </w:r>
      <w:r>
        <w:br/>
      </w:r>
    </w:p>
    <w:p>
      <w:r>
        <w:t xml:space="preserve"> </w:t>
      </w:r>
      <w:r>
        <w:br/>
      </w:r>
    </w:p>
    <w:p>
      <w:pPr>
        <w:pStyle w:val="ListParagraph"/>
        <w:numPr>
          <w:ilvl w:val="0"/>
          <w:numId w:val="100501000"/>
        </w:numPr>
        <w:ind w:left="360"/>
      </w:pPr>
      <w:r>
        <w:t xml:space="preserve">Kunt u toelichten wat u precies bedoelde met de uitspraak “We moeten door.” in reactie op het vonnis van de Raad van State (RvS) op het tussen-LVB Schiphol? 1)</w:t>
      </w:r>
      <w:r>
        <w:br/>
      </w:r>
    </w:p>
    <w:p>
      <w:pPr>
        <w:pStyle w:val="ListParagraph"/>
        <w:numPr>
          <w:ilvl w:val="0"/>
          <w:numId w:val="100501000"/>
        </w:numPr>
        <w:ind w:left="360"/>
      </w:pPr>
      <w:r>
        <w:t xml:space="preserve">Klopt het dat het nu voorliggende LVB, inhoudelijk en in de aannames, grotendeels een voortzetting is van het vernietigde tussen-LVB? Zo nee, waar baseert u dat precies op? </w:t>
      </w:r>
      <w:r>
        <w:br/>
      </w:r>
    </w:p>
    <w:p>
      <w:pPr>
        <w:pStyle w:val="ListParagraph"/>
        <w:numPr>
          <w:ilvl w:val="0"/>
          <w:numId w:val="100501000"/>
        </w:numPr>
        <w:ind w:left="360"/>
      </w:pPr>
      <w:r>
        <w:t xml:space="preserve">Erkent u dat de RvS met de recente uitspraak expliciet heeft bepaald dat de gedoogsituatie van 500.000 vliegbewegingen met het Nieuwe Normen- en Handhavingstelsel (NNHS), onrechtmatig als uitgangspunt is genomen?</w:t>
      </w:r>
      <w:r>
        <w:br/>
      </w:r>
    </w:p>
    <w:p>
      <w:pPr>
        <w:pStyle w:val="ListParagraph"/>
        <w:numPr>
          <w:ilvl w:val="0"/>
          <w:numId w:val="100501000"/>
        </w:numPr>
        <w:ind w:left="360"/>
      </w:pPr>
      <w:r>
        <w:t xml:space="preserve">Welke gevolgen heeft de RvS-uitspraak voor het nu voorliggende LVB, nu niet de milieuruimte van het LVB-2008 als uitgangspunt is genomen, maar het Refahh, (500.000 vliegbewegingen + NNHS)? Op welke juridische adviezen baseert u zich en kunt u die met de Kamer delen?</w:t>
      </w:r>
      <w:r>
        <w:br/>
      </w:r>
    </w:p>
    <w:p>
      <w:pPr>
        <w:pStyle w:val="ListParagraph"/>
        <w:numPr>
          <w:ilvl w:val="0"/>
          <w:numId w:val="100501000"/>
        </w:numPr>
        <w:ind w:left="360"/>
      </w:pPr>
      <w:r>
        <w:t xml:space="preserve">Als de referentiesituatie het LVB-2008 moet zijn, zoals de Afdeling besloot, wat zijn dan de gelijkwaardigheidscriteria waaraan het nieuwe LVB moet voldoen?</w:t>
      </w:r>
      <w:r>
        <w:br/>
      </w:r>
    </w:p>
    <w:p>
      <w:pPr>
        <w:pStyle w:val="ListParagraph"/>
        <w:numPr>
          <w:ilvl w:val="0"/>
          <w:numId w:val="100501000"/>
        </w:numPr>
        <w:ind w:left="360"/>
      </w:pPr>
      <w:r>
        <w:t xml:space="preserve">Erkent u dat het LVB-2008 de referentie moet zijn? Op welke juridische adviezen baseert u zich en kunt u die met de Kamer delen?</w:t>
      </w:r>
      <w:r>
        <w:br/>
      </w:r>
    </w:p>
    <w:p>
      <w:pPr>
        <w:pStyle w:val="ListParagraph"/>
        <w:numPr>
          <w:ilvl w:val="0"/>
          <w:numId w:val="100501000"/>
        </w:numPr>
        <w:ind w:left="360"/>
      </w:pPr>
      <w:r>
        <w:t xml:space="preserve">Als de referentiesituatie het LVB-2008 moet zijn, moet er dan een nieuw milieurapport gemaakt worden met een nieuwe passende beoordeling? Zo nee, waarom niet?</w:t>
      </w:r>
      <w:r>
        <w:br/>
      </w:r>
    </w:p>
    <w:p>
      <w:pPr>
        <w:pStyle w:val="ListParagraph"/>
        <w:numPr>
          <w:ilvl w:val="0"/>
          <w:numId w:val="100501000"/>
        </w:numPr>
        <w:ind w:left="360"/>
      </w:pPr>
      <w:r>
        <w:t xml:space="preserve">Kan het nu voorliggende LVB worden aangepast met een gewijzigde referentiesituatie (LVB-200), zodat het niet ook sneuvelt bij een toetsing door de RvS? Zo nee, waarom niet?</w:t>
      </w:r>
      <w:r>
        <w:br/>
      </w:r>
    </w:p>
    <w:p>
      <w:pPr>
        <w:pStyle w:val="ListParagraph"/>
        <w:numPr>
          <w:ilvl w:val="0"/>
          <w:numId w:val="100501000"/>
        </w:numPr>
        <w:ind w:left="360"/>
      </w:pPr>
      <w:r>
        <w:t xml:space="preserve">Kunt u ingaan op de constatering van To70 van 2023, dat binnen de milieuruimte van het nog steeds geldende LVB-2008 slechts 400.000 tot 410.000 vliegbewegingen mogelijk zouden zijn? 2) En dat dit aantal de meest recente aanscherping is van eerdere schattingen van uw voorganger(s) en van de Inspectie Leefomgeving en Transport (ILT)? Waarom is niet voor dit aantal gekozen als referentiesituatie?</w:t>
      </w:r>
      <w:r>
        <w:br/>
      </w:r>
    </w:p>
    <w:p>
      <w:pPr>
        <w:pStyle w:val="ListParagraph"/>
        <w:numPr>
          <w:ilvl w:val="0"/>
          <w:numId w:val="100501000"/>
        </w:numPr>
        <w:ind w:left="360"/>
      </w:pPr>
      <w:r>
        <w:t xml:space="preserve">Waarom is voor het tussen-LVB gekozen voor een aantal vliegbewegingen, in plaats van hinder, terwijl de wet en de referentiesituatie hinder voorschrijven?</w:t>
      </w:r>
      <w:r>
        <w:br/>
      </w:r>
    </w:p>
    <w:p>
      <w:pPr>
        <w:pStyle w:val="ListParagraph"/>
        <w:numPr>
          <w:ilvl w:val="0"/>
          <w:numId w:val="100501000"/>
        </w:numPr>
        <w:ind w:left="360"/>
      </w:pPr>
      <w:r>
        <w:t xml:space="preserve">Waarom is voor de 'balanced approach'-procedure ervoor gekozen om de gedoogsituatie van het NNHS als uitgangspunt te nemen en niet het toen nog geldende LVB-2008, terwijl de rechter inmiddels in de RBV-zaak had bepaald dat die gedoogsituatie moest worden beëindigd en dus illegaal was? </w:t>
      </w:r>
      <w:r>
        <w:br/>
      </w:r>
    </w:p>
    <w:p>
      <w:pPr>
        <w:pStyle w:val="ListParagraph"/>
        <w:numPr>
          <w:ilvl w:val="0"/>
          <w:numId w:val="100501000"/>
        </w:numPr>
        <w:ind w:left="360"/>
      </w:pPr>
      <w:r>
        <w:t xml:space="preserve">Kunt u ingaan op de uitspraak van de Afdeling dat voor het handhaven van het wettige LVB 2008 geen 'balanced approach'-procedure nodig is en dat dit alleen gold voor de experimenteerregeling?   </w:t>
      </w:r>
      <w:r>
        <w:br/>
      </w:r>
    </w:p>
    <w:p>
      <w:pPr>
        <w:pStyle w:val="ListParagraph"/>
        <w:numPr>
          <w:ilvl w:val="0"/>
          <w:numId w:val="100501000"/>
        </w:numPr>
        <w:ind w:left="360"/>
      </w:pPr>
      <w:r>
        <w:t xml:space="preserve">Hoe komen we tot een nieuwe capaciteitsdeclaratie voor de komende periodes, nu het tussen-LVB met 478.000 vliegbewegingen geen wettige basis meer heeft? Geldt dan automatisch weer het LVB-2008 met een capaciteitsdeclaratie gebaseerd op de milieuruimte van het LVB-2008?</w:t>
      </w:r>
      <w:r>
        <w:br/>
      </w:r>
    </w:p>
    <w:p>
      <w:pPr>
        <w:pStyle w:val="ListParagraph"/>
        <w:numPr>
          <w:ilvl w:val="0"/>
          <w:numId w:val="100501000"/>
        </w:numPr>
        <w:ind w:left="360"/>
      </w:pPr>
      <w:r>
        <w:t xml:space="preserve">Bent u het ermee eens dat een jaarvolume geluid of Lden’s geen goede kwantificering voor hinderbeleving is? Hoe wordt voor een nieuw besluit hinderbeleving betrokken en nieuw gedefinieerd om tot een gelijkwaardige bescherming te komen? Hoe wordt dit betrokken bij het vaststellen van aantallen ernstig gehinderden en het politieke doel om te komen tot 20% minder ernstig gehinderden? </w:t>
      </w:r>
      <w:r>
        <w:br/>
      </w:r>
    </w:p>
    <w:p>
      <w:pPr>
        <w:pStyle w:val="ListParagraph"/>
        <w:numPr>
          <w:ilvl w:val="0"/>
          <w:numId w:val="100501000"/>
        </w:numPr>
        <w:ind w:left="360"/>
      </w:pPr>
      <w:r>
        <w:t xml:space="preserve">Bent u het ermee eens dat het oordeel van de RvS de juridische kaders opnieuw heeft vastgesteld en dat het volgen van deze kaders de snelste weg naar een wettig LVB zal zijn?</w:t>
      </w:r>
      <w:r>
        <w:br/>
      </w:r>
    </w:p>
    <w:p>
      <w:pPr>
        <w:pStyle w:val="ListParagraph"/>
        <w:numPr>
          <w:ilvl w:val="0"/>
          <w:numId w:val="100501000"/>
        </w:numPr>
        <w:ind w:left="360"/>
      </w:pPr>
      <w:r>
        <w:t xml:space="preserve">Kunt u deze vragen één voor één beantwoorden voor het komende CD Luchtvaart?</w:t>
      </w:r>
      <w:r>
        <w:br/>
      </w:r>
    </w:p>
    <w:p>
      <w:r>
        <w:t xml:space="preserve">1) Website Reformatorisch Dagblad, 13 maart 2026, 'Karremans na uitspraak over Schiphol: we moeten door' (www.rd.nl/a/1142007-karremans-na-uitspraak-over-schiphol-we-moeten-door)</w:t>
      </w:r>
      <w:r>
        <w:br/>
      </w:r>
    </w:p>
    <w:p>
      <w:r>
        <w:t xml:space="preserve">2) Website Luchtvaart in de toekomst, 8 februari 2023 (https://www.luchtvaartindetoekomst.nl/site/binaries/site-content/collections/documents/2023/02/16/index/230208+Effecten+beeindigen+anticiperend+handhaven.pdf)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