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2FC" w:rsidP="000A12FC" w:rsidRDefault="000A12FC" w14:paraId="21C4EFA6" w14:textId="6849630A">
      <w:r>
        <w:t>Geachte voorzitter,</w:t>
      </w:r>
    </w:p>
    <w:p w:rsidR="000A12FC" w:rsidP="000A12FC" w:rsidRDefault="000A12FC" w14:paraId="1B2A7EC3" w14:textId="77777777"/>
    <w:p w:rsidR="00FD0D0A" w:rsidP="00FD0D0A" w:rsidRDefault="00FD0D0A" w14:paraId="481969F2" w14:textId="77777777"/>
    <w:p w:rsidR="00FD0D0A" w:rsidP="00765F16" w:rsidRDefault="00FD0D0A" w14:paraId="12023AAA" w14:textId="2C6CA20E">
      <w:r>
        <w:t xml:space="preserve">In reactie op de </w:t>
      </w:r>
      <w:r w:rsidR="00765F16">
        <w:t>e</w:t>
      </w:r>
      <w:r w:rsidRPr="00765F16" w:rsidR="00765F16">
        <w:t xml:space="preserve">mailprocedure op initiatief van het lid </w:t>
      </w:r>
      <w:proofErr w:type="spellStart"/>
      <w:r w:rsidRPr="00765F16" w:rsidR="00765F16">
        <w:t>Piri</w:t>
      </w:r>
      <w:proofErr w:type="spellEnd"/>
      <w:r w:rsidRPr="00765F16" w:rsidR="00765F16">
        <w:t xml:space="preserve"> </w:t>
      </w:r>
      <w:r w:rsidR="00765F16">
        <w:t>(</w:t>
      </w:r>
      <w:r w:rsidRPr="00765F16" w:rsidR="00765F16">
        <w:t>GroenLinks PvdA</w:t>
      </w:r>
      <w:r w:rsidR="00765F16">
        <w:t>)</w:t>
      </w:r>
      <w:r w:rsidR="006675AC">
        <w:t xml:space="preserve"> </w:t>
      </w:r>
      <w:r>
        <w:t>informe</w:t>
      </w:r>
      <w:r w:rsidR="0048756C">
        <w:t>ren wij u</w:t>
      </w:r>
      <w:r w:rsidR="006675AC">
        <w:t xml:space="preserve"> </w:t>
      </w:r>
      <w:r>
        <w:t xml:space="preserve">over de gezamenlijke verklaring van het Verenigd Koninkrijk, Frankrijk, Duitsland, Italië, Japan, Canada en Nederland van 19 maart 2026. </w:t>
      </w:r>
    </w:p>
    <w:p w:rsidR="00FD0D0A" w:rsidP="00FD0D0A" w:rsidRDefault="00FD0D0A" w14:paraId="7A915137" w14:textId="77777777"/>
    <w:p w:rsidRPr="00B646DC" w:rsidR="00FD0D0A" w:rsidP="00FD0D0A" w:rsidRDefault="00FD0D0A" w14:paraId="33E5936E" w14:textId="77777777">
      <w:pPr>
        <w:rPr>
          <w:u w:val="single"/>
        </w:rPr>
      </w:pPr>
      <w:r>
        <w:rPr>
          <w:u w:val="single"/>
        </w:rPr>
        <w:t>Inhoud van de verklaring</w:t>
      </w:r>
    </w:p>
    <w:p w:rsidR="00FD0D0A" w:rsidP="00FD0D0A" w:rsidRDefault="00FD0D0A" w14:paraId="0955C4E5" w14:textId="77777777"/>
    <w:p w:rsidRPr="00523C21" w:rsidR="00FD0D0A" w:rsidP="00FD0D0A" w:rsidRDefault="00FD0D0A" w14:paraId="3A6F482E" w14:textId="17D2F9D6">
      <w:r>
        <w:t>De verklaring veroordeelt de</w:t>
      </w:r>
      <w:r w:rsidRPr="00523C21">
        <w:t xml:space="preserve"> recente aanvallen </w:t>
      </w:r>
      <w:r w:rsidR="00124466">
        <w:t>van</w:t>
      </w:r>
      <w:r w:rsidRPr="00523C21">
        <w:t xml:space="preserve"> Iran op onbewapende commerciële vaartuigen in de Golf, alsmede de aanvallen op civiele infrastructuur, waaronder olie- en gasinstallaties, en de feitelijke afsluiting van de Straat van Hormuz door Iraanse strijdkrachten.</w:t>
      </w:r>
    </w:p>
    <w:p w:rsidR="00FD0D0A" w:rsidP="00FD0D0A" w:rsidRDefault="00FD0D0A" w14:paraId="5A30CF05" w14:textId="77777777"/>
    <w:p w:rsidR="00FD0D0A" w:rsidP="00FD0D0A" w:rsidRDefault="00FD0D0A" w14:paraId="1D82E981" w14:textId="4B9AB599">
      <w:r>
        <w:t xml:space="preserve">Daarnaast drukt de verklaring de gezamenlijke </w:t>
      </w:r>
      <w:r w:rsidRPr="00523C21">
        <w:t>bezorgdheid</w:t>
      </w:r>
      <w:r>
        <w:t xml:space="preserve"> uit</w:t>
      </w:r>
      <w:r w:rsidRPr="00523C21">
        <w:t xml:space="preserve"> over de escalatie van het conflic</w:t>
      </w:r>
      <w:r>
        <w:t>t. Ook wordt Iran opgeroepen</w:t>
      </w:r>
      <w:r w:rsidRPr="00523C21">
        <w:t xml:space="preserve"> zijn dreigementen</w:t>
      </w:r>
      <w:r>
        <w:t xml:space="preserve">, alsmede als </w:t>
      </w:r>
      <w:r w:rsidRPr="00523C21">
        <w:t xml:space="preserve">het leggen van zeemijnen, drone- en raketaanvallen en andere pogingen om de Straat </w:t>
      </w:r>
      <w:r>
        <w:t xml:space="preserve">van Hormuz </w:t>
      </w:r>
      <w:r w:rsidRPr="00523C21">
        <w:t>voor de commerciële scheepvaart te blokkeren</w:t>
      </w:r>
      <w:r>
        <w:t xml:space="preserve">, </w:t>
      </w:r>
      <w:r w:rsidRPr="00523C21">
        <w:t>per direct te staken en te voldoen aan Resolutie 2817 van de VN-Veiligheidsraad</w:t>
      </w:r>
      <w:r>
        <w:t xml:space="preserve"> van 11 maart 2026</w:t>
      </w:r>
      <w:r w:rsidRPr="00523C21">
        <w:t>.</w:t>
      </w:r>
      <w:r>
        <w:t xml:space="preserve"> </w:t>
      </w:r>
      <w:r w:rsidRPr="00523C21">
        <w:t xml:space="preserve">De vrijheid van navigatie vormt een fundamenteel beginsel van het internationaal recht, zoals onder meer </w:t>
      </w:r>
      <w:r w:rsidR="00572857">
        <w:t>vastgelegd</w:t>
      </w:r>
      <w:r w:rsidRPr="00523C21">
        <w:t xml:space="preserve"> in het Verdrag van de Verenigde Naties inzake het </w:t>
      </w:r>
      <w:r>
        <w:t>R</w:t>
      </w:r>
      <w:r w:rsidRPr="00523C21">
        <w:t xml:space="preserve">echt van de </w:t>
      </w:r>
      <w:r>
        <w:t>Z</w:t>
      </w:r>
      <w:r w:rsidRPr="00523C21">
        <w:t>ee</w:t>
      </w:r>
      <w:r>
        <w:t xml:space="preserve"> (UNCLOS)</w:t>
      </w:r>
      <w:r w:rsidRPr="00523C21">
        <w:t>.</w:t>
      </w:r>
      <w:r>
        <w:t xml:space="preserve"> </w:t>
      </w:r>
    </w:p>
    <w:p w:rsidR="00FD0D0A" w:rsidP="00FD0D0A" w:rsidRDefault="00FD0D0A" w14:paraId="4244C8EA" w14:textId="77777777"/>
    <w:p w:rsidRPr="00523C21" w:rsidR="00FD0D0A" w:rsidP="00FD0D0A" w:rsidRDefault="00FD0D0A" w14:paraId="63DC84AF" w14:textId="093594A3">
      <w:r w:rsidRPr="00523C21">
        <w:t xml:space="preserve">De gevolgen van het handelen van Iran </w:t>
      </w:r>
      <w:r>
        <w:t>zijn</w:t>
      </w:r>
      <w:r w:rsidRPr="00523C21">
        <w:t xml:space="preserve"> wereldwijd voelbaar, in het bijzonder voor de meest kwetsbaren.</w:t>
      </w:r>
      <w:r>
        <w:t xml:space="preserve"> </w:t>
      </w:r>
      <w:r w:rsidRPr="00523C21">
        <w:t xml:space="preserve">In overeenstemming met Resolutie 2817 van de VN-Veiligheidsraad </w:t>
      </w:r>
      <w:r>
        <w:t>wordt in</w:t>
      </w:r>
      <w:r w:rsidRPr="00523C21">
        <w:t xml:space="preserve"> </w:t>
      </w:r>
      <w:r>
        <w:t>de verklaring benadrukt dat</w:t>
      </w:r>
      <w:r w:rsidRPr="00523C21">
        <w:t xml:space="preserve"> dergelijke </w:t>
      </w:r>
      <w:r>
        <w:t>belemmering van</w:t>
      </w:r>
      <w:r w:rsidRPr="00523C21">
        <w:t xml:space="preserve"> de internationale scheepvaart en de verstoring van mondiale energievoorzieningsketens een bedreiging vormen voor de internationale vrede en veiligheid</w:t>
      </w:r>
      <w:r>
        <w:t>. In de verklaring wordt opgeroepen tot</w:t>
      </w:r>
      <w:r w:rsidRPr="00523C21">
        <w:t xml:space="preserve"> een onmiddellijk</w:t>
      </w:r>
      <w:r>
        <w:t>e</w:t>
      </w:r>
      <w:r w:rsidRPr="00523C21">
        <w:t xml:space="preserve"> en alomvattend</w:t>
      </w:r>
      <w:r>
        <w:t>e</w:t>
      </w:r>
      <w:r w:rsidRPr="00523C21">
        <w:t xml:space="preserve"> </w:t>
      </w:r>
      <w:r>
        <w:t>opschorting van</w:t>
      </w:r>
      <w:r w:rsidRPr="00523C21">
        <w:t xml:space="preserve"> aanvallen op civiele infrastructuur, waaronder olie- en gasinstallaties.</w:t>
      </w:r>
    </w:p>
    <w:p w:rsidR="00FD0D0A" w:rsidP="00FD0D0A" w:rsidRDefault="00FD0D0A" w14:paraId="1DDB18F3" w14:textId="77777777"/>
    <w:p w:rsidRPr="00523C21" w:rsidR="00FD0D0A" w:rsidP="00FD0D0A" w:rsidRDefault="00FD0D0A" w14:paraId="7958E0EA" w14:textId="7C6A64AA">
      <w:r>
        <w:t>Daarnaast beschrijft de verklaring de beginsel</w:t>
      </w:r>
      <w:r w:rsidRPr="00523C21">
        <w:t>bereidheid om bij te dragen aan passende inspanningen ter waarborging van een veilige doorvaart door de Straat</w:t>
      </w:r>
      <w:r w:rsidR="007D1B1B">
        <w:t xml:space="preserve"> </w:t>
      </w:r>
      <w:r w:rsidR="007D1B1B">
        <w:lastRenderedPageBreak/>
        <w:t>van Hormuz</w:t>
      </w:r>
      <w:r w:rsidRPr="00523C21">
        <w:t>.</w:t>
      </w:r>
      <w:r>
        <w:t xml:space="preserve"> De inspanningen</w:t>
      </w:r>
      <w:r w:rsidRPr="00523C21">
        <w:t xml:space="preserve"> van staten </w:t>
      </w:r>
      <w:r>
        <w:t>inzake</w:t>
      </w:r>
      <w:r w:rsidRPr="00523C21">
        <w:t xml:space="preserve"> voorbereidende planningsactiviteiten</w:t>
      </w:r>
      <w:r>
        <w:t xml:space="preserve"> worden in de verklaring verwelkomd. </w:t>
      </w:r>
    </w:p>
    <w:p w:rsidR="00FD0D0A" w:rsidP="00FD0D0A" w:rsidRDefault="00FD0D0A" w14:paraId="61B96B84" w14:textId="77777777"/>
    <w:p w:rsidRPr="00523C21" w:rsidR="00FD0D0A" w:rsidP="00FD0D0A" w:rsidRDefault="00744AFA" w14:paraId="215E8032" w14:textId="0E32C98E">
      <w:r>
        <w:t>I</w:t>
      </w:r>
      <w:r w:rsidR="00FD0D0A">
        <w:t xml:space="preserve">n de verklaring </w:t>
      </w:r>
      <w:r>
        <w:t xml:space="preserve">wordt </w:t>
      </w:r>
      <w:r w:rsidRPr="00523C21" w:rsidR="00FD0D0A">
        <w:t>het besluit van het Internationaal Energieagentschap</w:t>
      </w:r>
      <w:r>
        <w:t xml:space="preserve"> verwelkomd</w:t>
      </w:r>
      <w:r w:rsidR="00FD0D0A">
        <w:t xml:space="preserve"> </w:t>
      </w:r>
      <w:r w:rsidRPr="00523C21" w:rsidR="00FD0D0A">
        <w:t xml:space="preserve">om een gecoördineerde vrijgave van strategische olievoorraden toe te staan. </w:t>
      </w:r>
      <w:r w:rsidR="00FD0D0A">
        <w:t xml:space="preserve">Er </w:t>
      </w:r>
      <w:r w:rsidRPr="00523C21" w:rsidR="00FD0D0A">
        <w:t xml:space="preserve">zullen aanvullende maatregelen </w:t>
      </w:r>
      <w:r w:rsidR="00FD0D0A">
        <w:t>worden</w:t>
      </w:r>
      <w:r w:rsidRPr="00523C21" w:rsidR="00FD0D0A">
        <w:t xml:space="preserve"> </w:t>
      </w:r>
      <w:r w:rsidR="00FD0D0A">
        <w:t>getroffen</w:t>
      </w:r>
      <w:r w:rsidRPr="00523C21" w:rsidR="00FD0D0A">
        <w:t xml:space="preserve"> om de energiemarkten te stabiliseren, waaronder samenwerking met bepaalde producerende landen om de productie te verhogen.</w:t>
      </w:r>
    </w:p>
    <w:p w:rsidR="00FD0D0A" w:rsidP="00FD0D0A" w:rsidRDefault="00FD0D0A" w14:paraId="4168BE74" w14:textId="77777777"/>
    <w:p w:rsidRPr="00523C21" w:rsidR="00FD0D0A" w:rsidP="00FD0D0A" w:rsidRDefault="00FD0D0A" w14:paraId="6A5F3C22" w14:textId="3AAFF7DE">
      <w:r>
        <w:t xml:space="preserve">Tot slot </w:t>
      </w:r>
      <w:r w:rsidR="00572857">
        <w:t>spreekt</w:t>
      </w:r>
      <w:r>
        <w:t xml:space="preserve"> de verklaring steun uit voor het </w:t>
      </w:r>
      <w:r w:rsidRPr="00523C21">
        <w:t>werken aan het verlenen van steun aan de meest getroffen landen, onder meer via de Verenigde Naties en de internationale financiële instellingen.</w:t>
      </w:r>
      <w:r>
        <w:t xml:space="preserve"> </w:t>
      </w:r>
      <w:r w:rsidRPr="00523C21">
        <w:t xml:space="preserve">Maritieme veiligheid en vrijheid van navigatie komen alle landen ten goede. </w:t>
      </w:r>
      <w:r>
        <w:t>Als onderdeel van de verklaring</w:t>
      </w:r>
      <w:r w:rsidRPr="00523C21">
        <w:t xml:space="preserve"> </w:t>
      </w:r>
      <w:r>
        <w:t>worden</w:t>
      </w:r>
      <w:r w:rsidRPr="00523C21">
        <w:t xml:space="preserve"> alle staten op</w:t>
      </w:r>
      <w:r>
        <w:t>geroepen</w:t>
      </w:r>
      <w:r w:rsidRPr="00523C21">
        <w:t xml:space="preserve"> het internationaal recht te eerbiedigen en de fundamentele beginselen van internationale welvaart en veiligheid te handhaven.</w:t>
      </w:r>
    </w:p>
    <w:p w:rsidR="00FD0D0A" w:rsidP="00FD0D0A" w:rsidRDefault="00FD0D0A" w14:paraId="6292D5F1" w14:textId="77777777"/>
    <w:p w:rsidR="00FD0D0A" w:rsidP="00FD0D0A" w:rsidRDefault="00FD0D0A" w14:paraId="3626667A" w14:textId="77777777">
      <w:pPr>
        <w:rPr>
          <w:u w:val="single"/>
        </w:rPr>
      </w:pPr>
      <w:r>
        <w:rPr>
          <w:u w:val="single"/>
        </w:rPr>
        <w:t xml:space="preserve">Nederlandse belangen en positie </w:t>
      </w:r>
    </w:p>
    <w:p w:rsidR="00FD0D0A" w:rsidP="00FD0D0A" w:rsidRDefault="00FD0D0A" w14:paraId="7A362DAF" w14:textId="77777777">
      <w:pPr>
        <w:rPr>
          <w:u w:val="single"/>
        </w:rPr>
      </w:pPr>
    </w:p>
    <w:p w:rsidR="00DD40C5" w:rsidP="00896E03" w:rsidRDefault="00544E63" w14:paraId="5E5FC725" w14:textId="77777777">
      <w:r>
        <w:t xml:space="preserve">De </w:t>
      </w:r>
      <w:proofErr w:type="spellStart"/>
      <w:r w:rsidRPr="00C53DE0">
        <w:rPr>
          <w:i/>
          <w:iCs/>
        </w:rPr>
        <w:t>de</w:t>
      </w:r>
      <w:proofErr w:type="spellEnd"/>
      <w:r w:rsidRPr="00C53DE0">
        <w:rPr>
          <w:i/>
          <w:iCs/>
        </w:rPr>
        <w:t xml:space="preserve"> facto</w:t>
      </w:r>
      <w:r>
        <w:t xml:space="preserve"> sluiting van de Straat van Hormuz </w:t>
      </w:r>
      <w:r w:rsidRPr="00544E63">
        <w:t>ra</w:t>
      </w:r>
      <w:r w:rsidR="00A61E5A">
        <w:t>akt</w:t>
      </w:r>
      <w:r w:rsidRPr="00544E63">
        <w:t xml:space="preserve"> direct Nederlandse veiligheids- en economische belangen.</w:t>
      </w:r>
      <w:r w:rsidR="00CD1BA6">
        <w:t xml:space="preserve"> De </w:t>
      </w:r>
      <w:r w:rsidRPr="00CD1BA6" w:rsidR="00CD1BA6">
        <w:t xml:space="preserve">situatie </w:t>
      </w:r>
      <w:r w:rsidR="00CD1BA6">
        <w:t xml:space="preserve">is </w:t>
      </w:r>
      <w:r w:rsidRPr="00CD1BA6" w:rsidR="00CD1BA6">
        <w:t xml:space="preserve">omgeven met grote onzekerheid en </w:t>
      </w:r>
      <w:r w:rsidR="00CD1BA6">
        <w:t xml:space="preserve">er </w:t>
      </w:r>
      <w:r w:rsidRPr="00CD1BA6" w:rsidR="00CD1BA6">
        <w:t>kunnen bredere economische effecten optreden naar gelang de spanning in de regio aanhoudt</w:t>
      </w:r>
      <w:r w:rsidR="00CD1BA6">
        <w:t>.</w:t>
      </w:r>
      <w:r w:rsidR="00CD1BA6">
        <w:rPr>
          <w:rStyle w:val="FootnoteReference"/>
        </w:rPr>
        <w:footnoteReference w:id="1"/>
      </w:r>
      <w:r w:rsidRPr="00DD40C5" w:rsidR="00DD40C5">
        <w:t xml:space="preserve"> </w:t>
      </w:r>
      <w:r w:rsidR="00DD40C5">
        <w:t xml:space="preserve">Die effecten zijn nu al zichtbaar op de wereldwijde energiemarkt; het Internationaal Energie Agentschap (IEA) waarschuwde eerder vandaag voor een grote energiecrisis indien de vrije doorvaart door de Straat van Hormuz niet wordt hersteld. </w:t>
      </w:r>
      <w:r w:rsidRPr="00544E63">
        <w:t xml:space="preserve">Het waarborgen van de vrije en veilige doorvaart van al het maritieme verkeer in dit gebied is </w:t>
      </w:r>
      <w:r w:rsidR="00DD40C5">
        <w:t xml:space="preserve">daarmee </w:t>
      </w:r>
      <w:r w:rsidRPr="00544E63">
        <w:t>nadrukkelijk in het Nederlands belang</w:t>
      </w:r>
      <w:r>
        <w:t xml:space="preserve">; </w:t>
      </w:r>
      <w:r w:rsidR="00166397">
        <w:t xml:space="preserve">zowel </w:t>
      </w:r>
      <w:r w:rsidR="00FD0D0A">
        <w:t xml:space="preserve">voor schepen die onder de </w:t>
      </w:r>
      <w:r w:rsidRPr="00B770FF" w:rsidR="00FD0D0A">
        <w:t>Nederlandse vlag varen, alsmede voor schepen van onze (Europese) partners.</w:t>
      </w:r>
      <w:r w:rsidRPr="00B770FF" w:rsidR="00B770FF">
        <w:t xml:space="preserve"> </w:t>
      </w:r>
    </w:p>
    <w:p w:rsidR="00DD40C5" w:rsidP="00896E03" w:rsidRDefault="00DD40C5" w14:paraId="772FA5CE" w14:textId="77777777"/>
    <w:p w:rsidR="00896E03" w:rsidP="00896E03" w:rsidRDefault="003964AE" w14:paraId="5D2C4FC1" w14:textId="1B67C650">
      <w:r w:rsidRPr="003964AE">
        <w:t xml:space="preserve">Nederland hecht veel waarde aan de naleving van het internationale recht op vrije doorvaart en doortocht, ook om humanitaire redenen, en aan de </w:t>
      </w:r>
      <w:r w:rsidRPr="00340CF4">
        <w:t xml:space="preserve">bevordering van de internationale rechtsorde en steunt daarmee de in de verklaring opgenomen oproep aan alle landen om zich te houden aan het internationaal recht. Nederland acht de </w:t>
      </w:r>
      <w:proofErr w:type="spellStart"/>
      <w:r w:rsidRPr="00340CF4">
        <w:rPr>
          <w:i/>
          <w:iCs/>
        </w:rPr>
        <w:t>de</w:t>
      </w:r>
      <w:proofErr w:type="spellEnd"/>
      <w:r w:rsidRPr="00340CF4">
        <w:rPr>
          <w:i/>
          <w:iCs/>
        </w:rPr>
        <w:t xml:space="preserve"> facto </w:t>
      </w:r>
      <w:r w:rsidRPr="00340CF4">
        <w:t xml:space="preserve">sluiting van de Straat van Hormuz derhalve onacceptabel en steunt de Verenigde Naties in zijn rol, zoals het initiatief van de SGVN voor bemiddeling humanitaire doorvaart van voedsel, medicijnen en kunstmest. </w:t>
      </w:r>
      <w:r w:rsidRPr="00340CF4" w:rsidR="00896E03">
        <w:t xml:space="preserve">In de conclusies van de Europese Raad van 19 maart </w:t>
      </w:r>
      <w:proofErr w:type="spellStart"/>
      <w:r w:rsidRPr="00340CF4" w:rsidR="00896E03">
        <w:t>jl</w:t>
      </w:r>
      <w:proofErr w:type="spellEnd"/>
      <w:r w:rsidRPr="00340CF4" w:rsidR="00896E03">
        <w:t xml:space="preserve">, alsmede in de </w:t>
      </w:r>
      <w:r w:rsidRPr="00340CF4" w:rsidR="009C0E9E">
        <w:t>verklaring</w:t>
      </w:r>
      <w:r w:rsidRPr="00340CF4" w:rsidR="00896E03">
        <w:t xml:space="preserve"> van de Raad van de Internationale Maritieme Organisatie (IMO) wordt in</w:t>
      </w:r>
      <w:r w:rsidR="00896E03">
        <w:t xml:space="preserve"> vergelijkbare bewoordingen steun uitgesproken voor gecoördineerde internationale inspanningen ter waarborging van de vrije doorvaart in de Straat van Hormuz. </w:t>
      </w:r>
    </w:p>
    <w:p w:rsidR="00A60CFB" w:rsidP="00896E03" w:rsidRDefault="00A60CFB" w14:paraId="522FBB01" w14:textId="77777777"/>
    <w:p w:rsidR="00896E03" w:rsidP="00896E03" w:rsidRDefault="00896E03" w14:paraId="07FC8325" w14:textId="670CEC31">
      <w:r>
        <w:t xml:space="preserve">Mocht er sprake zijn van een concreet initiatief om </w:t>
      </w:r>
      <w:r w:rsidRPr="00523C21">
        <w:t xml:space="preserve">bij te dragen aan </w:t>
      </w:r>
      <w:r>
        <w:t xml:space="preserve">dergelijke </w:t>
      </w:r>
      <w:r w:rsidRPr="00523C21">
        <w:t>inspanningen</w:t>
      </w:r>
      <w:r>
        <w:t xml:space="preserve">, dan zal de wenselijkheid en mogelijkheid worden onderzocht, en de Kamer hierover, conform bestaande procedures, worden geïnformeerd. </w:t>
      </w:r>
    </w:p>
    <w:p w:rsidR="00A60CFB" w:rsidP="00FD0D0A" w:rsidRDefault="00A60CFB" w14:paraId="2775E2A2" w14:textId="77777777"/>
    <w:p w:rsidRPr="00B646DC" w:rsidR="00FD0D0A" w:rsidP="00FD0D0A" w:rsidRDefault="00FD0D0A" w14:paraId="1FE05741" w14:textId="470CBDD6">
      <w:r>
        <w:t xml:space="preserve">Op dit moment is er geen sprake van een concrete militaire Nederlandse bijdrage in de Straat van Hormuz. </w:t>
      </w:r>
      <w:r w:rsidR="00CD1BA6">
        <w:t>G</w:t>
      </w:r>
      <w:r>
        <w:t xml:space="preserve">ezien het belang van veilige en vrije doorvaart, beziet </w:t>
      </w:r>
      <w:r>
        <w:lastRenderedPageBreak/>
        <w:t>Nederland</w:t>
      </w:r>
      <w:r w:rsidR="007868F6">
        <w:t xml:space="preserve">, </w:t>
      </w:r>
      <w:r>
        <w:t xml:space="preserve">samen met Verenigd Koninkrijk, </w:t>
      </w:r>
      <w:r w:rsidR="0076691E">
        <w:t xml:space="preserve">Frankrijk, Duitsland, </w:t>
      </w:r>
      <w:r>
        <w:t>Italië,</w:t>
      </w:r>
      <w:r w:rsidR="0076691E">
        <w:t xml:space="preserve"> </w:t>
      </w:r>
      <w:r>
        <w:t>Japan</w:t>
      </w:r>
      <w:r w:rsidR="0076691E">
        <w:t xml:space="preserve"> en Canada</w:t>
      </w:r>
      <w:r w:rsidR="007868F6">
        <w:t>,</w:t>
      </w:r>
      <w:r>
        <w:t xml:space="preserve"> doorlopend welke mogelijke stappen genomen zouden kunnen worden</w:t>
      </w:r>
      <w:r w:rsidR="00CD1BA6">
        <w:t>. Zo heeft Nederland samen met o</w:t>
      </w:r>
      <w:r w:rsidR="007868F6">
        <w:t>nder andere</w:t>
      </w:r>
      <w:r w:rsidR="00CD1BA6">
        <w:t xml:space="preserve"> Duitsland en Frankrijk in Europees verband bijvoorbeeld gepleit voor een horizontaal sanctieregime voor vrije doorvaart. </w:t>
      </w:r>
    </w:p>
    <w:p w:rsidRPr="00E56FCC" w:rsidR="00E56FCC" w:rsidP="00FD0D0A" w:rsidRDefault="00E56FCC" w14:paraId="02483ED2" w14:textId="77777777"/>
    <w:p w:rsidR="007D1B1B" w:rsidP="007D1B1B" w:rsidRDefault="007D1B1B" w14:paraId="33F837DF" w14:textId="5C52882B">
      <w:r>
        <w:t>Het kabinet monitort de situatie nauwlettend en beziet doorlopend het handelingsperspectief</w:t>
      </w:r>
      <w:r w:rsidR="000508D1">
        <w:t xml:space="preserve"> (zowel diplomatiek, als economisch, als militair)</w:t>
      </w:r>
      <w:r w:rsidR="00896E03">
        <w:t>, waarbij inbegrepen mogelijke ondersteuning van de getroffen staten in de regio</w:t>
      </w:r>
      <w:r>
        <w:t>.</w:t>
      </w:r>
      <w:r w:rsidR="00CD1BA6">
        <w:t xml:space="preserve"> Hierbij onderstrepen we met internationale partners voortdurend het belang van het terugbrengen van stabiliteit in de regio en het voorkomen van verdere escalatie.</w:t>
      </w:r>
    </w:p>
    <w:p w:rsidR="00FD0D0A" w:rsidP="00FD0D0A" w:rsidRDefault="00FD0D0A" w14:paraId="046981EF" w14:textId="77777777"/>
    <w:p w:rsidR="00542526" w:rsidP="00FD0D0A" w:rsidRDefault="00542526" w14:paraId="0AB96EAA" w14:textId="77777777"/>
    <w:p w:rsidR="00FD0D0A" w:rsidP="00FD0D0A" w:rsidRDefault="00FD0D0A" w14:paraId="5EAA633F" w14:textId="77777777"/>
    <w:p w:rsidR="00542526" w:rsidP="00542526" w:rsidRDefault="00542526" w14:paraId="15CF2D00" w14:textId="77777777">
      <w:r>
        <w:t xml:space="preserve">De minister van Buitenlandse Zaken, </w:t>
      </w:r>
      <w:r>
        <w:tab/>
      </w:r>
      <w:r>
        <w:tab/>
        <w:t xml:space="preserve">De minister van Defensie, </w:t>
      </w:r>
    </w:p>
    <w:p w:rsidR="00542526" w:rsidP="00542526" w:rsidRDefault="00542526" w14:paraId="47FE19F6" w14:textId="77777777"/>
    <w:p w:rsidR="00542526" w:rsidP="00542526" w:rsidRDefault="00542526" w14:paraId="7A36DEB6" w14:textId="77777777"/>
    <w:p w:rsidR="00542526" w:rsidP="00542526" w:rsidRDefault="00542526" w14:paraId="260ADEFC" w14:textId="77777777"/>
    <w:p w:rsidR="00542526" w:rsidP="00542526" w:rsidRDefault="00542526" w14:paraId="0A192E8F" w14:textId="77777777"/>
    <w:p w:rsidR="00542526" w:rsidP="00542526" w:rsidRDefault="00542526" w14:paraId="031BE298" w14:textId="77777777"/>
    <w:p w:rsidRPr="001255AC" w:rsidR="00542526" w:rsidP="00542526" w:rsidRDefault="00542526" w14:paraId="5FD08F00" w14:textId="77777777">
      <w:r w:rsidRPr="001255AC">
        <w:t xml:space="preserve">T.B.W. Berendsen </w:t>
      </w:r>
      <w:r w:rsidRPr="001255AC">
        <w:tab/>
      </w:r>
      <w:r w:rsidRPr="001255AC">
        <w:tab/>
      </w:r>
      <w:r w:rsidRPr="001255AC">
        <w:tab/>
      </w:r>
      <w:r w:rsidRPr="001255AC">
        <w:tab/>
      </w:r>
      <w:proofErr w:type="spellStart"/>
      <w:r>
        <w:t>Dilan</w:t>
      </w:r>
      <w:proofErr w:type="spellEnd"/>
      <w:r>
        <w:t xml:space="preserve"> </w:t>
      </w:r>
      <w:proofErr w:type="spellStart"/>
      <w:r w:rsidRPr="001255AC">
        <w:t>Yeşilgöz-Zegerius</w:t>
      </w:r>
      <w:proofErr w:type="spellEnd"/>
    </w:p>
    <w:p w:rsidRPr="000A12FC" w:rsidR="00B646DC" w:rsidP="00FD0D0A" w:rsidRDefault="00B646DC" w14:paraId="32979A73" w14:textId="77777777"/>
    <w:sectPr w:rsidRPr="000A12FC" w:rsidR="00B646DC">
      <w:headerReference w:type="default" r:id="rId14"/>
      <w:footerReference w:type="default" r:id="rId15"/>
      <w:headerReference w:type="first" r:id="rId16"/>
      <w:footerReference w:type="first" r:id="rId17"/>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11D84" w14:textId="77777777" w:rsidR="002F5CB7" w:rsidRDefault="002F5CB7">
      <w:pPr>
        <w:spacing w:line="240" w:lineRule="auto"/>
      </w:pPr>
      <w:r>
        <w:separator/>
      </w:r>
    </w:p>
  </w:endnote>
  <w:endnote w:type="continuationSeparator" w:id="0">
    <w:p w14:paraId="494A0D7F" w14:textId="77777777" w:rsidR="002F5CB7" w:rsidRDefault="002F5C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21363"/>
      <w:docPartObj>
        <w:docPartGallery w:val="Page Numbers (Bottom of Page)"/>
        <w:docPartUnique/>
      </w:docPartObj>
    </w:sdtPr>
    <w:sdtContent>
      <w:p w14:paraId="3873F05D" w14:textId="73623452" w:rsidR="004F3AD1" w:rsidRDefault="004F3AD1">
        <w:pPr>
          <w:pStyle w:val="Footer"/>
          <w:jc w:val="center"/>
        </w:pPr>
        <w:r>
          <w:fldChar w:fldCharType="begin"/>
        </w:r>
        <w:r>
          <w:instrText>PAGE   \* MERGEFORMAT</w:instrText>
        </w:r>
        <w:r>
          <w:fldChar w:fldCharType="separate"/>
        </w:r>
        <w:r>
          <w:t>2</w:t>
        </w:r>
        <w:r>
          <w:fldChar w:fldCharType="end"/>
        </w:r>
      </w:p>
    </w:sdtContent>
  </w:sdt>
  <w:p w14:paraId="2CFB1C28" w14:textId="77777777" w:rsidR="004F3AD1" w:rsidRDefault="004F3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023222"/>
      <w:docPartObj>
        <w:docPartGallery w:val="Page Numbers (Bottom of Page)"/>
        <w:docPartUnique/>
      </w:docPartObj>
    </w:sdtPr>
    <w:sdtContent>
      <w:p w14:paraId="5F7B0941" w14:textId="3A8C70F0" w:rsidR="004F3AD1" w:rsidRDefault="004F3AD1">
        <w:pPr>
          <w:pStyle w:val="Footer"/>
          <w:jc w:val="center"/>
        </w:pPr>
        <w:r>
          <w:fldChar w:fldCharType="begin"/>
        </w:r>
        <w:r>
          <w:instrText>PAGE   \* MERGEFORMAT</w:instrText>
        </w:r>
        <w:r>
          <w:fldChar w:fldCharType="separate"/>
        </w:r>
        <w:r>
          <w:t>2</w:t>
        </w:r>
        <w:r>
          <w:fldChar w:fldCharType="end"/>
        </w:r>
      </w:p>
    </w:sdtContent>
  </w:sdt>
  <w:p w14:paraId="51D7D108" w14:textId="77777777" w:rsidR="004F3AD1" w:rsidRDefault="004F3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CF21" w14:textId="77777777" w:rsidR="002F5CB7" w:rsidRDefault="002F5CB7">
      <w:pPr>
        <w:spacing w:line="240" w:lineRule="auto"/>
      </w:pPr>
      <w:r>
        <w:separator/>
      </w:r>
    </w:p>
  </w:footnote>
  <w:footnote w:type="continuationSeparator" w:id="0">
    <w:p w14:paraId="20318062" w14:textId="77777777" w:rsidR="002F5CB7" w:rsidRDefault="002F5CB7">
      <w:pPr>
        <w:spacing w:line="240" w:lineRule="auto"/>
      </w:pPr>
      <w:r>
        <w:continuationSeparator/>
      </w:r>
    </w:p>
  </w:footnote>
  <w:footnote w:id="1">
    <w:p w14:paraId="1E08D834" w14:textId="7D47D287" w:rsidR="00CD1BA6" w:rsidRPr="007111A7" w:rsidRDefault="00CD1BA6">
      <w:pPr>
        <w:pStyle w:val="FootnoteText"/>
        <w:rPr>
          <w:sz w:val="16"/>
          <w:szCs w:val="16"/>
        </w:rPr>
      </w:pPr>
      <w:r w:rsidRPr="007111A7">
        <w:rPr>
          <w:rStyle w:val="FootnoteReference"/>
          <w:sz w:val="16"/>
          <w:szCs w:val="16"/>
        </w:rPr>
        <w:footnoteRef/>
      </w:r>
      <w:r w:rsidRPr="007111A7">
        <w:rPr>
          <w:sz w:val="16"/>
          <w:szCs w:val="16"/>
        </w:rPr>
        <w:t xml:space="preserve"> Zie Kamerbrief van de Minister van Economische Zaken en Klimaat, de Minister van Sociale Zaken en Werkgelegenheid, de Minister van Klimaat en Groene Groei, de Minister van Buitenlandse Handel en Ontwikkelings</w:t>
      </w:r>
      <w:r w:rsidR="001B38F1">
        <w:rPr>
          <w:sz w:val="16"/>
          <w:szCs w:val="16"/>
        </w:rPr>
        <w:t>samenwerking</w:t>
      </w:r>
      <w:r w:rsidRPr="007111A7">
        <w:rPr>
          <w:sz w:val="16"/>
          <w:szCs w:val="16"/>
        </w:rPr>
        <w:t xml:space="preserve"> en de Staatssecretaris van Financiën,</w:t>
      </w:r>
      <w:r w:rsidR="003964AE" w:rsidRPr="007111A7">
        <w:rPr>
          <w:sz w:val="16"/>
          <w:szCs w:val="16"/>
        </w:rPr>
        <w:t xml:space="preserve"> “Economische impact gewapend conflict Midden-Oosten,”</w:t>
      </w:r>
      <w:r w:rsidRPr="007111A7">
        <w:rPr>
          <w:sz w:val="16"/>
          <w:szCs w:val="16"/>
        </w:rPr>
        <w:t xml:space="preserve"> </w:t>
      </w:r>
      <w:r w:rsidR="003964AE" w:rsidRPr="007111A7">
        <w:rPr>
          <w:sz w:val="16"/>
          <w:szCs w:val="16"/>
        </w:rPr>
        <w:t xml:space="preserve">16 maart 2026, Kamerstuk 23 432, nr. 666.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2A8E" w14:textId="7A84744D" w:rsidR="00B32589" w:rsidRDefault="000A12FC">
    <w:r>
      <w:rPr>
        <w:noProof/>
      </w:rPr>
      <mc:AlternateContent>
        <mc:Choice Requires="wps">
          <w:drawing>
            <wp:anchor distT="0" distB="0" distL="0" distR="0" simplePos="0" relativeHeight="251658240" behindDoc="0" locked="1" layoutInCell="1" allowOverlap="1" wp14:anchorId="48D02A92" wp14:editId="48D02A93">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D02AC0" w14:textId="77777777" w:rsidR="00B32589" w:rsidRDefault="000A12FC">
                          <w:pPr>
                            <w:pStyle w:val="Referentiegegevensbold"/>
                          </w:pPr>
                          <w:r>
                            <w:t>Ministerie van Buitenlandse Zaken</w:t>
                          </w:r>
                        </w:p>
                        <w:p w14:paraId="48D02AC1" w14:textId="77777777" w:rsidR="00B32589" w:rsidRDefault="00B32589">
                          <w:pPr>
                            <w:pStyle w:val="WitregelW2"/>
                          </w:pPr>
                        </w:p>
                        <w:p w14:paraId="48D02AC2" w14:textId="77777777" w:rsidR="00B32589" w:rsidRDefault="000A12FC">
                          <w:pPr>
                            <w:pStyle w:val="Referentiegegevensbold"/>
                          </w:pPr>
                          <w:r>
                            <w:t>Onze referentie</w:t>
                          </w:r>
                        </w:p>
                        <w:p w14:paraId="48D02AC3" w14:textId="77777777" w:rsidR="00B32589" w:rsidRDefault="000A12FC">
                          <w:pPr>
                            <w:pStyle w:val="Referentiegegevens"/>
                          </w:pPr>
                          <w:r>
                            <w:t>BZ2626285</w:t>
                          </w:r>
                        </w:p>
                      </w:txbxContent>
                    </wps:txbx>
                    <wps:bodyPr vert="horz" wrap="square" lIns="0" tIns="0" rIns="0" bIns="0" anchor="t" anchorCtr="0"/>
                  </wps:wsp>
                </a:graphicData>
              </a:graphic>
            </wp:anchor>
          </w:drawing>
        </mc:Choice>
        <mc:Fallback>
          <w:pict>
            <v:shapetype w14:anchorId="48D02A92"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8D02AC0" w14:textId="77777777" w:rsidR="00B32589" w:rsidRDefault="000A12FC">
                    <w:pPr>
                      <w:pStyle w:val="Referentiegegevensbold"/>
                    </w:pPr>
                    <w:r>
                      <w:t>Ministerie van Buitenlandse Zaken</w:t>
                    </w:r>
                  </w:p>
                  <w:p w14:paraId="48D02AC1" w14:textId="77777777" w:rsidR="00B32589" w:rsidRDefault="00B32589">
                    <w:pPr>
                      <w:pStyle w:val="WitregelW2"/>
                    </w:pPr>
                  </w:p>
                  <w:p w14:paraId="48D02AC2" w14:textId="77777777" w:rsidR="00B32589" w:rsidRDefault="000A12FC">
                    <w:pPr>
                      <w:pStyle w:val="Referentiegegevensbold"/>
                    </w:pPr>
                    <w:r>
                      <w:t>Onze referentie</w:t>
                    </w:r>
                  </w:p>
                  <w:p w14:paraId="48D02AC3" w14:textId="77777777" w:rsidR="00B32589" w:rsidRDefault="000A12FC">
                    <w:pPr>
                      <w:pStyle w:val="Referentiegegevens"/>
                    </w:pPr>
                    <w:r>
                      <w:t>BZ2626285</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8D02A96" wp14:editId="1CCE1EA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8D02AD2" w14:textId="77777777" w:rsidR="000A12FC" w:rsidRDefault="000A12FC"/>
                      </w:txbxContent>
                    </wps:txbx>
                    <wps:bodyPr vert="horz" wrap="square" lIns="0" tIns="0" rIns="0" bIns="0" anchor="t" anchorCtr="0"/>
                  </wps:wsp>
                </a:graphicData>
              </a:graphic>
            </wp:anchor>
          </w:drawing>
        </mc:Choice>
        <mc:Fallback>
          <w:pict>
            <v:shape w14:anchorId="48D02A96"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8D02AD2" w14:textId="77777777" w:rsidR="000A12FC" w:rsidRDefault="000A12FC"/>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2A90" w14:textId="73DA9786" w:rsidR="00B32589" w:rsidRDefault="000A12FC">
    <w:pPr>
      <w:spacing w:after="7131" w:line="14" w:lineRule="exact"/>
    </w:pPr>
    <w:r>
      <w:rPr>
        <w:noProof/>
      </w:rPr>
      <mc:AlternateContent>
        <mc:Choice Requires="wps">
          <w:drawing>
            <wp:anchor distT="0" distB="0" distL="0" distR="0" simplePos="0" relativeHeight="251658243" behindDoc="0" locked="1" layoutInCell="1" allowOverlap="1" wp14:anchorId="48D02A98" wp14:editId="48D02A9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8D02AC5" w14:textId="77777777" w:rsidR="000A12FC" w:rsidRDefault="000A12FC"/>
                      </w:txbxContent>
                    </wps:txbx>
                    <wps:bodyPr vert="horz" wrap="square" lIns="0" tIns="0" rIns="0" bIns="0" anchor="t" anchorCtr="0"/>
                  </wps:wsp>
                </a:graphicData>
              </a:graphic>
            </wp:anchor>
          </w:drawing>
        </mc:Choice>
        <mc:Fallback>
          <w:pict>
            <v:shapetype w14:anchorId="48D02A9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8D02AC5" w14:textId="77777777" w:rsidR="000A12FC" w:rsidRDefault="000A12FC"/>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8D02A9A" wp14:editId="48D02A9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8D02AA9" w14:textId="77777777" w:rsidR="00B32589" w:rsidRDefault="000A12FC">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8D02A9A"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8D02AA9" w14:textId="77777777" w:rsidR="00B32589" w:rsidRDefault="000A12FC">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8D02A9C" wp14:editId="48D02A9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32589" w14:paraId="48D02AAC" w14:textId="77777777">
                            <w:tc>
                              <w:tcPr>
                                <w:tcW w:w="678" w:type="dxa"/>
                              </w:tcPr>
                              <w:p w14:paraId="48D02AAA" w14:textId="77777777" w:rsidR="00B32589" w:rsidRDefault="000A12FC">
                                <w:r>
                                  <w:t>Datum</w:t>
                                </w:r>
                              </w:p>
                            </w:tc>
                            <w:tc>
                              <w:tcPr>
                                <w:tcW w:w="6851" w:type="dxa"/>
                              </w:tcPr>
                              <w:p w14:paraId="48D02AAB" w14:textId="51447103" w:rsidR="00B32589" w:rsidRDefault="00FD0D0A">
                                <w:r>
                                  <w:t>20</w:t>
                                </w:r>
                                <w:r w:rsidR="000A12FC">
                                  <w:t xml:space="preserve"> maart 2026</w:t>
                                </w:r>
                              </w:p>
                            </w:tc>
                          </w:tr>
                          <w:tr w:rsidR="00B32589" w14:paraId="48D02AB1" w14:textId="77777777">
                            <w:tc>
                              <w:tcPr>
                                <w:tcW w:w="678" w:type="dxa"/>
                              </w:tcPr>
                              <w:p w14:paraId="48D02AAD" w14:textId="77777777" w:rsidR="00B32589" w:rsidRDefault="000A12FC">
                                <w:r>
                                  <w:t>Betreft</w:t>
                                </w:r>
                              </w:p>
                              <w:p w14:paraId="48D02AAE" w14:textId="77777777" w:rsidR="00B32589" w:rsidRDefault="00B32589"/>
                            </w:tc>
                            <w:tc>
                              <w:tcPr>
                                <w:tcW w:w="6851" w:type="dxa"/>
                              </w:tcPr>
                              <w:p w14:paraId="48D02AAF" w14:textId="33AA78FD" w:rsidR="00B32589" w:rsidRDefault="00B43360">
                                <w:r w:rsidRPr="00B43360">
                                  <w:t>Kamerbrief inzake</w:t>
                                </w:r>
                                <w:r>
                                  <w:rPr>
                                    <w:i/>
                                    <w:iCs/>
                                  </w:rPr>
                                  <w:t xml:space="preserve"> </w:t>
                                </w:r>
                                <w:r w:rsidR="00FD0D0A">
                                  <w:rPr>
                                    <w:i/>
                                    <w:iCs/>
                                  </w:rPr>
                                  <w:t>Joint Statement</w:t>
                                </w:r>
                                <w:r w:rsidR="00FD0D0A">
                                  <w:t xml:space="preserve"> vrije doorvaart</w:t>
                                </w:r>
                                <w:r w:rsidR="000A12FC">
                                  <w:t xml:space="preserve"> Straat van Hormuz</w:t>
                                </w:r>
                              </w:p>
                              <w:p w14:paraId="48D02AB0" w14:textId="77777777" w:rsidR="00B32589" w:rsidRDefault="00B32589"/>
                            </w:tc>
                          </w:tr>
                        </w:tbl>
                        <w:p w14:paraId="48D02AB2" w14:textId="77777777" w:rsidR="00B32589" w:rsidRDefault="00B32589"/>
                        <w:p w14:paraId="48D02AB3" w14:textId="77777777" w:rsidR="00B32589" w:rsidRDefault="00B32589"/>
                      </w:txbxContent>
                    </wps:txbx>
                    <wps:bodyPr vert="horz" wrap="square" lIns="0" tIns="0" rIns="0" bIns="0" anchor="t" anchorCtr="0"/>
                  </wps:wsp>
                </a:graphicData>
              </a:graphic>
            </wp:anchor>
          </w:drawing>
        </mc:Choice>
        <mc:Fallback>
          <w:pict>
            <v:shape w14:anchorId="48D02A9C"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32589" w14:paraId="48D02AAC" w14:textId="77777777">
                      <w:tc>
                        <w:tcPr>
                          <w:tcW w:w="678" w:type="dxa"/>
                        </w:tcPr>
                        <w:p w14:paraId="48D02AAA" w14:textId="77777777" w:rsidR="00B32589" w:rsidRDefault="000A12FC">
                          <w:r>
                            <w:t>Datum</w:t>
                          </w:r>
                        </w:p>
                      </w:tc>
                      <w:tc>
                        <w:tcPr>
                          <w:tcW w:w="6851" w:type="dxa"/>
                        </w:tcPr>
                        <w:p w14:paraId="48D02AAB" w14:textId="51447103" w:rsidR="00B32589" w:rsidRDefault="00FD0D0A">
                          <w:r>
                            <w:t>20</w:t>
                          </w:r>
                          <w:r w:rsidR="000A12FC">
                            <w:t xml:space="preserve"> maart 2026</w:t>
                          </w:r>
                        </w:p>
                      </w:tc>
                    </w:tr>
                    <w:tr w:rsidR="00B32589" w14:paraId="48D02AB1" w14:textId="77777777">
                      <w:tc>
                        <w:tcPr>
                          <w:tcW w:w="678" w:type="dxa"/>
                        </w:tcPr>
                        <w:p w14:paraId="48D02AAD" w14:textId="77777777" w:rsidR="00B32589" w:rsidRDefault="000A12FC">
                          <w:r>
                            <w:t>Betreft</w:t>
                          </w:r>
                        </w:p>
                        <w:p w14:paraId="48D02AAE" w14:textId="77777777" w:rsidR="00B32589" w:rsidRDefault="00B32589"/>
                      </w:tc>
                      <w:tc>
                        <w:tcPr>
                          <w:tcW w:w="6851" w:type="dxa"/>
                        </w:tcPr>
                        <w:p w14:paraId="48D02AAF" w14:textId="33AA78FD" w:rsidR="00B32589" w:rsidRDefault="00B43360">
                          <w:r w:rsidRPr="00B43360">
                            <w:t>Kamerbrief inzake</w:t>
                          </w:r>
                          <w:r>
                            <w:rPr>
                              <w:i/>
                              <w:iCs/>
                            </w:rPr>
                            <w:t xml:space="preserve"> </w:t>
                          </w:r>
                          <w:r w:rsidR="00FD0D0A">
                            <w:rPr>
                              <w:i/>
                              <w:iCs/>
                            </w:rPr>
                            <w:t>Joint Statement</w:t>
                          </w:r>
                          <w:r w:rsidR="00FD0D0A">
                            <w:t xml:space="preserve"> vrije doorvaart</w:t>
                          </w:r>
                          <w:r w:rsidR="000A12FC">
                            <w:t xml:space="preserve"> Straat van Hormuz</w:t>
                          </w:r>
                        </w:p>
                        <w:p w14:paraId="48D02AB0" w14:textId="77777777" w:rsidR="00B32589" w:rsidRDefault="00B32589"/>
                      </w:tc>
                    </w:tr>
                  </w:tbl>
                  <w:p w14:paraId="48D02AB2" w14:textId="77777777" w:rsidR="00B32589" w:rsidRDefault="00B32589"/>
                  <w:p w14:paraId="48D02AB3" w14:textId="77777777" w:rsidR="00B32589" w:rsidRDefault="00B32589"/>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8D02A9E" wp14:editId="48D02A9F">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D02AB4" w14:textId="77777777" w:rsidR="00B32589" w:rsidRDefault="000A12FC">
                          <w:pPr>
                            <w:pStyle w:val="Referentiegegevensbold"/>
                          </w:pPr>
                          <w:r>
                            <w:t>Ministerie van Buitenlandse Zaken</w:t>
                          </w:r>
                        </w:p>
                        <w:p w14:paraId="48D02AB5" w14:textId="77777777" w:rsidR="00B32589" w:rsidRDefault="00B32589">
                          <w:pPr>
                            <w:pStyle w:val="WitregelW1"/>
                          </w:pPr>
                        </w:p>
                        <w:p w14:paraId="48D02AB6" w14:textId="2BC6A6B1" w:rsidR="00B32589" w:rsidRPr="003B687B" w:rsidRDefault="003B687B">
                          <w:pPr>
                            <w:pStyle w:val="Referentiegegevens"/>
                          </w:pPr>
                          <w:r w:rsidRPr="003B687B">
                            <w:t>Rijnstraat 8</w:t>
                          </w:r>
                        </w:p>
                        <w:p w14:paraId="2D132735" w14:textId="66C0DEBB" w:rsidR="003B687B" w:rsidRPr="003B687B" w:rsidRDefault="003B687B" w:rsidP="003B687B">
                          <w:pPr>
                            <w:rPr>
                              <w:sz w:val="13"/>
                              <w:szCs w:val="13"/>
                              <w:lang w:val="da-DK"/>
                            </w:rPr>
                          </w:pPr>
                          <w:r w:rsidRPr="003B687B">
                            <w:rPr>
                              <w:sz w:val="13"/>
                              <w:szCs w:val="13"/>
                              <w:lang w:val="da-DK"/>
                            </w:rPr>
                            <w:t>2515XP Den Haag</w:t>
                          </w:r>
                        </w:p>
                        <w:p w14:paraId="42685571" w14:textId="54E48601" w:rsidR="003B687B" w:rsidRPr="003B687B" w:rsidRDefault="003B687B" w:rsidP="003B687B">
                          <w:pPr>
                            <w:rPr>
                              <w:sz w:val="13"/>
                              <w:szCs w:val="13"/>
                              <w:lang w:val="da-DK"/>
                            </w:rPr>
                          </w:pPr>
                          <w:r w:rsidRPr="003B687B">
                            <w:rPr>
                              <w:sz w:val="13"/>
                              <w:szCs w:val="13"/>
                              <w:lang w:val="da-DK"/>
                            </w:rPr>
                            <w:t>Postbus 20061</w:t>
                          </w:r>
                        </w:p>
                        <w:p w14:paraId="354B5103" w14:textId="0C0B463E" w:rsidR="003B687B" w:rsidRPr="003B687B" w:rsidRDefault="003B687B" w:rsidP="003B687B">
                          <w:pPr>
                            <w:rPr>
                              <w:sz w:val="13"/>
                              <w:szCs w:val="13"/>
                              <w:lang w:val="da-DK"/>
                            </w:rPr>
                          </w:pPr>
                          <w:r w:rsidRPr="003B687B">
                            <w:rPr>
                              <w:sz w:val="13"/>
                              <w:szCs w:val="13"/>
                              <w:lang w:val="da-DK"/>
                            </w:rPr>
                            <w:t>Nederland</w:t>
                          </w:r>
                        </w:p>
                        <w:p w14:paraId="48D02AB7" w14:textId="77777777" w:rsidR="00B32589" w:rsidRPr="003B687B" w:rsidRDefault="000A12FC">
                          <w:pPr>
                            <w:pStyle w:val="Referentiegegevens"/>
                            <w:rPr>
                              <w:lang w:val="da-DK"/>
                            </w:rPr>
                          </w:pPr>
                          <w:r w:rsidRPr="003B687B">
                            <w:rPr>
                              <w:lang w:val="da-DK"/>
                            </w:rPr>
                            <w:t>www.minbuza.nl</w:t>
                          </w:r>
                        </w:p>
                        <w:p w14:paraId="48D02AB8" w14:textId="77777777" w:rsidR="00B32589" w:rsidRDefault="00B32589">
                          <w:pPr>
                            <w:pStyle w:val="WitregelW2"/>
                            <w:rPr>
                              <w:lang w:val="da-DK"/>
                            </w:rPr>
                          </w:pPr>
                        </w:p>
                        <w:p w14:paraId="375FEC82" w14:textId="3326F932" w:rsidR="003B687B" w:rsidRPr="007868F6" w:rsidRDefault="003B687B" w:rsidP="003B687B">
                          <w:pPr>
                            <w:rPr>
                              <w:b/>
                              <w:bCs/>
                              <w:sz w:val="13"/>
                              <w:szCs w:val="13"/>
                            </w:rPr>
                          </w:pPr>
                          <w:r w:rsidRPr="007868F6">
                            <w:rPr>
                              <w:b/>
                              <w:bCs/>
                              <w:sz w:val="13"/>
                              <w:szCs w:val="13"/>
                            </w:rPr>
                            <w:t>Onze referentie</w:t>
                          </w:r>
                        </w:p>
                        <w:p w14:paraId="2B76E1FA" w14:textId="470C090E" w:rsidR="003B687B" w:rsidRPr="007868F6" w:rsidRDefault="003B687B" w:rsidP="003B687B">
                          <w:pPr>
                            <w:rPr>
                              <w:sz w:val="13"/>
                              <w:szCs w:val="13"/>
                            </w:rPr>
                          </w:pPr>
                          <w:r w:rsidRPr="007868F6">
                            <w:rPr>
                              <w:sz w:val="13"/>
                              <w:szCs w:val="13"/>
                            </w:rPr>
                            <w:t>BZ2626285</w:t>
                          </w:r>
                        </w:p>
                        <w:p w14:paraId="0C73D050" w14:textId="77777777" w:rsidR="003B687B" w:rsidRPr="007868F6" w:rsidRDefault="003B687B" w:rsidP="003B687B"/>
                        <w:p w14:paraId="48D02AB9" w14:textId="1C0C40D8" w:rsidR="00B32589" w:rsidRDefault="00BF5743">
                          <w:pPr>
                            <w:pStyle w:val="Referentiegegevensbold"/>
                          </w:pPr>
                          <w:r>
                            <w:t>Uw</w:t>
                          </w:r>
                          <w:r w:rsidR="000A12FC">
                            <w:t xml:space="preserve"> referentie</w:t>
                          </w:r>
                        </w:p>
                        <w:p w14:paraId="1D0DE958" w14:textId="77777777" w:rsidR="00542526" w:rsidRPr="001255AC" w:rsidRDefault="00542526" w:rsidP="00542526">
                          <w:pPr>
                            <w:rPr>
                              <w:sz w:val="13"/>
                              <w:szCs w:val="13"/>
                            </w:rPr>
                          </w:pPr>
                          <w:r w:rsidRPr="001255AC">
                            <w:rPr>
                              <w:sz w:val="13"/>
                              <w:szCs w:val="13"/>
                            </w:rPr>
                            <w:t>2026Z05551/2026D12755</w:t>
                          </w:r>
                        </w:p>
                        <w:p w14:paraId="48D02ABB" w14:textId="77777777" w:rsidR="00B32589" w:rsidRDefault="00B32589">
                          <w:pPr>
                            <w:pStyle w:val="WitregelW1"/>
                          </w:pPr>
                        </w:p>
                        <w:p w14:paraId="48D02ABC" w14:textId="77777777" w:rsidR="00B32589" w:rsidRDefault="000A12FC">
                          <w:pPr>
                            <w:pStyle w:val="Referentiegegevensbold"/>
                          </w:pPr>
                          <w:r>
                            <w:t>Bijlage(n)</w:t>
                          </w:r>
                        </w:p>
                        <w:p w14:paraId="48D02ABD" w14:textId="77777777" w:rsidR="00B32589" w:rsidRDefault="000A12FC">
                          <w:pPr>
                            <w:pStyle w:val="Referentiegegevens"/>
                          </w:pPr>
                          <w:r>
                            <w:t>-</w:t>
                          </w:r>
                        </w:p>
                      </w:txbxContent>
                    </wps:txbx>
                    <wps:bodyPr vert="horz" wrap="square" lIns="0" tIns="0" rIns="0" bIns="0" anchor="t" anchorCtr="0"/>
                  </wps:wsp>
                </a:graphicData>
              </a:graphic>
            </wp:anchor>
          </w:drawing>
        </mc:Choice>
        <mc:Fallback>
          <w:pict>
            <v:shape w14:anchorId="48D02A9E"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8D02AB4" w14:textId="77777777" w:rsidR="00B32589" w:rsidRDefault="000A12FC">
                    <w:pPr>
                      <w:pStyle w:val="Referentiegegevensbold"/>
                    </w:pPr>
                    <w:r>
                      <w:t>Ministerie van Buitenlandse Zaken</w:t>
                    </w:r>
                  </w:p>
                  <w:p w14:paraId="48D02AB5" w14:textId="77777777" w:rsidR="00B32589" w:rsidRDefault="00B32589">
                    <w:pPr>
                      <w:pStyle w:val="WitregelW1"/>
                    </w:pPr>
                  </w:p>
                  <w:p w14:paraId="48D02AB6" w14:textId="2BC6A6B1" w:rsidR="00B32589" w:rsidRPr="003B687B" w:rsidRDefault="003B687B">
                    <w:pPr>
                      <w:pStyle w:val="Referentiegegevens"/>
                    </w:pPr>
                    <w:r w:rsidRPr="003B687B">
                      <w:t>Rijnstraat 8</w:t>
                    </w:r>
                  </w:p>
                  <w:p w14:paraId="2D132735" w14:textId="66C0DEBB" w:rsidR="003B687B" w:rsidRPr="003B687B" w:rsidRDefault="003B687B" w:rsidP="003B687B">
                    <w:pPr>
                      <w:rPr>
                        <w:sz w:val="13"/>
                        <w:szCs w:val="13"/>
                        <w:lang w:val="da-DK"/>
                      </w:rPr>
                    </w:pPr>
                    <w:r w:rsidRPr="003B687B">
                      <w:rPr>
                        <w:sz w:val="13"/>
                        <w:szCs w:val="13"/>
                        <w:lang w:val="da-DK"/>
                      </w:rPr>
                      <w:t>2515XP Den Haag</w:t>
                    </w:r>
                  </w:p>
                  <w:p w14:paraId="42685571" w14:textId="54E48601" w:rsidR="003B687B" w:rsidRPr="003B687B" w:rsidRDefault="003B687B" w:rsidP="003B687B">
                    <w:pPr>
                      <w:rPr>
                        <w:sz w:val="13"/>
                        <w:szCs w:val="13"/>
                        <w:lang w:val="da-DK"/>
                      </w:rPr>
                    </w:pPr>
                    <w:r w:rsidRPr="003B687B">
                      <w:rPr>
                        <w:sz w:val="13"/>
                        <w:szCs w:val="13"/>
                        <w:lang w:val="da-DK"/>
                      </w:rPr>
                      <w:t>Postbus 20061</w:t>
                    </w:r>
                  </w:p>
                  <w:p w14:paraId="354B5103" w14:textId="0C0B463E" w:rsidR="003B687B" w:rsidRPr="003B687B" w:rsidRDefault="003B687B" w:rsidP="003B687B">
                    <w:pPr>
                      <w:rPr>
                        <w:sz w:val="13"/>
                        <w:szCs w:val="13"/>
                        <w:lang w:val="da-DK"/>
                      </w:rPr>
                    </w:pPr>
                    <w:r w:rsidRPr="003B687B">
                      <w:rPr>
                        <w:sz w:val="13"/>
                        <w:szCs w:val="13"/>
                        <w:lang w:val="da-DK"/>
                      </w:rPr>
                      <w:t>Nederland</w:t>
                    </w:r>
                  </w:p>
                  <w:p w14:paraId="48D02AB7" w14:textId="77777777" w:rsidR="00B32589" w:rsidRPr="003B687B" w:rsidRDefault="000A12FC">
                    <w:pPr>
                      <w:pStyle w:val="Referentiegegevens"/>
                      <w:rPr>
                        <w:lang w:val="da-DK"/>
                      </w:rPr>
                    </w:pPr>
                    <w:r w:rsidRPr="003B687B">
                      <w:rPr>
                        <w:lang w:val="da-DK"/>
                      </w:rPr>
                      <w:t>www.minbuza.nl</w:t>
                    </w:r>
                  </w:p>
                  <w:p w14:paraId="48D02AB8" w14:textId="77777777" w:rsidR="00B32589" w:rsidRDefault="00B32589">
                    <w:pPr>
                      <w:pStyle w:val="WitregelW2"/>
                      <w:rPr>
                        <w:lang w:val="da-DK"/>
                      </w:rPr>
                    </w:pPr>
                  </w:p>
                  <w:p w14:paraId="375FEC82" w14:textId="3326F932" w:rsidR="003B687B" w:rsidRPr="007868F6" w:rsidRDefault="003B687B" w:rsidP="003B687B">
                    <w:pPr>
                      <w:rPr>
                        <w:b/>
                        <w:bCs/>
                        <w:sz w:val="13"/>
                        <w:szCs w:val="13"/>
                      </w:rPr>
                    </w:pPr>
                    <w:r w:rsidRPr="007868F6">
                      <w:rPr>
                        <w:b/>
                        <w:bCs/>
                        <w:sz w:val="13"/>
                        <w:szCs w:val="13"/>
                      </w:rPr>
                      <w:t>Onze referentie</w:t>
                    </w:r>
                  </w:p>
                  <w:p w14:paraId="2B76E1FA" w14:textId="470C090E" w:rsidR="003B687B" w:rsidRPr="007868F6" w:rsidRDefault="003B687B" w:rsidP="003B687B">
                    <w:pPr>
                      <w:rPr>
                        <w:sz w:val="13"/>
                        <w:szCs w:val="13"/>
                      </w:rPr>
                    </w:pPr>
                    <w:r w:rsidRPr="007868F6">
                      <w:rPr>
                        <w:sz w:val="13"/>
                        <w:szCs w:val="13"/>
                      </w:rPr>
                      <w:t>BZ2626285</w:t>
                    </w:r>
                  </w:p>
                  <w:p w14:paraId="0C73D050" w14:textId="77777777" w:rsidR="003B687B" w:rsidRPr="007868F6" w:rsidRDefault="003B687B" w:rsidP="003B687B"/>
                  <w:p w14:paraId="48D02AB9" w14:textId="1C0C40D8" w:rsidR="00B32589" w:rsidRDefault="00BF5743">
                    <w:pPr>
                      <w:pStyle w:val="Referentiegegevensbold"/>
                    </w:pPr>
                    <w:r>
                      <w:t>Uw</w:t>
                    </w:r>
                    <w:r w:rsidR="000A12FC">
                      <w:t xml:space="preserve"> referentie</w:t>
                    </w:r>
                  </w:p>
                  <w:p w14:paraId="1D0DE958" w14:textId="77777777" w:rsidR="00542526" w:rsidRPr="001255AC" w:rsidRDefault="00542526" w:rsidP="00542526">
                    <w:pPr>
                      <w:rPr>
                        <w:sz w:val="13"/>
                        <w:szCs w:val="13"/>
                      </w:rPr>
                    </w:pPr>
                    <w:r w:rsidRPr="001255AC">
                      <w:rPr>
                        <w:sz w:val="13"/>
                        <w:szCs w:val="13"/>
                      </w:rPr>
                      <w:t>2026Z05551/2026D12755</w:t>
                    </w:r>
                  </w:p>
                  <w:p w14:paraId="48D02ABB" w14:textId="77777777" w:rsidR="00B32589" w:rsidRDefault="00B32589">
                    <w:pPr>
                      <w:pStyle w:val="WitregelW1"/>
                    </w:pPr>
                  </w:p>
                  <w:p w14:paraId="48D02ABC" w14:textId="77777777" w:rsidR="00B32589" w:rsidRDefault="000A12FC">
                    <w:pPr>
                      <w:pStyle w:val="Referentiegegevensbold"/>
                    </w:pPr>
                    <w:r>
                      <w:t>Bijlage(n)</w:t>
                    </w:r>
                  </w:p>
                  <w:p w14:paraId="48D02ABD" w14:textId="77777777" w:rsidR="00B32589" w:rsidRDefault="000A12F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8D02AA2" wp14:editId="23F3E56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8D02ACB" w14:textId="77777777" w:rsidR="000A12FC" w:rsidRDefault="000A12FC"/>
                      </w:txbxContent>
                    </wps:txbx>
                    <wps:bodyPr vert="horz" wrap="square" lIns="0" tIns="0" rIns="0" bIns="0" anchor="t" anchorCtr="0"/>
                  </wps:wsp>
                </a:graphicData>
              </a:graphic>
            </wp:anchor>
          </w:drawing>
        </mc:Choice>
        <mc:Fallback>
          <w:pict>
            <v:shape w14:anchorId="48D02AA2"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8D02ACB" w14:textId="77777777" w:rsidR="000A12FC" w:rsidRDefault="000A12FC"/>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8D02AA4" wp14:editId="48D02AA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8D02ACD" w14:textId="77777777" w:rsidR="000A12FC" w:rsidRDefault="000A12FC"/>
                      </w:txbxContent>
                    </wps:txbx>
                    <wps:bodyPr vert="horz" wrap="square" lIns="0" tIns="0" rIns="0" bIns="0" anchor="t" anchorCtr="0"/>
                  </wps:wsp>
                </a:graphicData>
              </a:graphic>
            </wp:anchor>
          </w:drawing>
        </mc:Choice>
        <mc:Fallback>
          <w:pict>
            <v:shape w14:anchorId="48D02AA4"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8D02ACD" w14:textId="77777777" w:rsidR="000A12FC" w:rsidRDefault="000A12FC"/>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8D02AA6" wp14:editId="48D02AA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D02ABF" w14:textId="77777777" w:rsidR="00B32589" w:rsidRDefault="000A12FC">
                          <w:pPr>
                            <w:spacing w:line="240" w:lineRule="auto"/>
                          </w:pPr>
                          <w:r>
                            <w:rPr>
                              <w:noProof/>
                            </w:rPr>
                            <w:drawing>
                              <wp:inline distT="0" distB="0" distL="0" distR="0" wp14:anchorId="48D02AC5" wp14:editId="48D02AC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D02AA6"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8D02ABF" w14:textId="77777777" w:rsidR="00B32589" w:rsidRDefault="000A12FC">
                    <w:pPr>
                      <w:spacing w:line="240" w:lineRule="auto"/>
                    </w:pPr>
                    <w:r>
                      <w:rPr>
                        <w:noProof/>
                      </w:rPr>
                      <w:drawing>
                        <wp:inline distT="0" distB="0" distL="0" distR="0" wp14:anchorId="48D02AC5" wp14:editId="48D02AC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F996D"/>
    <w:multiLevelType w:val="multilevel"/>
    <w:tmpl w:val="FD15A1C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134048"/>
    <w:multiLevelType w:val="multilevel"/>
    <w:tmpl w:val="87FF109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8E680A6"/>
    <w:multiLevelType w:val="multilevel"/>
    <w:tmpl w:val="D22F57E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3B5C703"/>
    <w:multiLevelType w:val="multilevel"/>
    <w:tmpl w:val="962C9CE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161ECF2"/>
    <w:multiLevelType w:val="multilevel"/>
    <w:tmpl w:val="DBE0C68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751733769">
    <w:abstractNumId w:val="4"/>
  </w:num>
  <w:num w:numId="2" w16cid:durableId="413475267">
    <w:abstractNumId w:val="1"/>
  </w:num>
  <w:num w:numId="3" w16cid:durableId="1671758871">
    <w:abstractNumId w:val="3"/>
  </w:num>
  <w:num w:numId="4" w16cid:durableId="866720198">
    <w:abstractNumId w:val="2"/>
  </w:num>
  <w:num w:numId="5" w16cid:durableId="1221526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589"/>
    <w:rsid w:val="000508D1"/>
    <w:rsid w:val="000533C1"/>
    <w:rsid w:val="00063187"/>
    <w:rsid w:val="00082C35"/>
    <w:rsid w:val="000A12FC"/>
    <w:rsid w:val="000C7727"/>
    <w:rsid w:val="0010067E"/>
    <w:rsid w:val="001153EB"/>
    <w:rsid w:val="00121C68"/>
    <w:rsid w:val="00124466"/>
    <w:rsid w:val="001250DD"/>
    <w:rsid w:val="00141D4E"/>
    <w:rsid w:val="00166397"/>
    <w:rsid w:val="001A14B9"/>
    <w:rsid w:val="001B38F1"/>
    <w:rsid w:val="00246E36"/>
    <w:rsid w:val="00272628"/>
    <w:rsid w:val="00280BA7"/>
    <w:rsid w:val="002918A5"/>
    <w:rsid w:val="002F5CB7"/>
    <w:rsid w:val="00325C6F"/>
    <w:rsid w:val="00340CF4"/>
    <w:rsid w:val="00346067"/>
    <w:rsid w:val="0034607A"/>
    <w:rsid w:val="0039084C"/>
    <w:rsid w:val="003964AE"/>
    <w:rsid w:val="003A5B3B"/>
    <w:rsid w:val="003B687B"/>
    <w:rsid w:val="003D14AD"/>
    <w:rsid w:val="003D5940"/>
    <w:rsid w:val="003E105C"/>
    <w:rsid w:val="003F58BC"/>
    <w:rsid w:val="00402E3C"/>
    <w:rsid w:val="00442A21"/>
    <w:rsid w:val="004849E4"/>
    <w:rsid w:val="0048756C"/>
    <w:rsid w:val="004F3AD1"/>
    <w:rsid w:val="005078D3"/>
    <w:rsid w:val="00523C21"/>
    <w:rsid w:val="005412A1"/>
    <w:rsid w:val="00542526"/>
    <w:rsid w:val="00544E63"/>
    <w:rsid w:val="00567AB0"/>
    <w:rsid w:val="00572857"/>
    <w:rsid w:val="005B3064"/>
    <w:rsid w:val="0063090E"/>
    <w:rsid w:val="00637ABF"/>
    <w:rsid w:val="006675AC"/>
    <w:rsid w:val="00670CC9"/>
    <w:rsid w:val="00675853"/>
    <w:rsid w:val="006D2C64"/>
    <w:rsid w:val="006E4457"/>
    <w:rsid w:val="00704A9C"/>
    <w:rsid w:val="007111A7"/>
    <w:rsid w:val="007173C9"/>
    <w:rsid w:val="00731D42"/>
    <w:rsid w:val="00744AFA"/>
    <w:rsid w:val="0075561A"/>
    <w:rsid w:val="00765F16"/>
    <w:rsid w:val="0076691E"/>
    <w:rsid w:val="007670B7"/>
    <w:rsid w:val="00783D6A"/>
    <w:rsid w:val="007859E9"/>
    <w:rsid w:val="007868F6"/>
    <w:rsid w:val="007D1B1B"/>
    <w:rsid w:val="007D3973"/>
    <w:rsid w:val="007E772B"/>
    <w:rsid w:val="00800B1D"/>
    <w:rsid w:val="00802B79"/>
    <w:rsid w:val="00825BE5"/>
    <w:rsid w:val="008455EA"/>
    <w:rsid w:val="008523BF"/>
    <w:rsid w:val="008602C5"/>
    <w:rsid w:val="00896E03"/>
    <w:rsid w:val="008A7E24"/>
    <w:rsid w:val="008C026D"/>
    <w:rsid w:val="008E1C65"/>
    <w:rsid w:val="00910744"/>
    <w:rsid w:val="009118D1"/>
    <w:rsid w:val="00913450"/>
    <w:rsid w:val="009372CF"/>
    <w:rsid w:val="009543B4"/>
    <w:rsid w:val="00987DE6"/>
    <w:rsid w:val="009C0E9E"/>
    <w:rsid w:val="009D16AD"/>
    <w:rsid w:val="00A33C86"/>
    <w:rsid w:val="00A3464A"/>
    <w:rsid w:val="00A42736"/>
    <w:rsid w:val="00A60CFB"/>
    <w:rsid w:val="00A61E5A"/>
    <w:rsid w:val="00AA475D"/>
    <w:rsid w:val="00B12BD5"/>
    <w:rsid w:val="00B13A8F"/>
    <w:rsid w:val="00B21E6A"/>
    <w:rsid w:val="00B32589"/>
    <w:rsid w:val="00B4115A"/>
    <w:rsid w:val="00B43360"/>
    <w:rsid w:val="00B43C82"/>
    <w:rsid w:val="00B449F4"/>
    <w:rsid w:val="00B646DC"/>
    <w:rsid w:val="00B770FF"/>
    <w:rsid w:val="00B9438E"/>
    <w:rsid w:val="00BE0565"/>
    <w:rsid w:val="00BF5743"/>
    <w:rsid w:val="00C15D44"/>
    <w:rsid w:val="00C275CB"/>
    <w:rsid w:val="00C53DE0"/>
    <w:rsid w:val="00C551F8"/>
    <w:rsid w:val="00C67D38"/>
    <w:rsid w:val="00C70B60"/>
    <w:rsid w:val="00CC3DEC"/>
    <w:rsid w:val="00CD1BA6"/>
    <w:rsid w:val="00CF73F5"/>
    <w:rsid w:val="00D170A7"/>
    <w:rsid w:val="00D244F1"/>
    <w:rsid w:val="00D55657"/>
    <w:rsid w:val="00D71C89"/>
    <w:rsid w:val="00D7411C"/>
    <w:rsid w:val="00D87AEF"/>
    <w:rsid w:val="00DA7E71"/>
    <w:rsid w:val="00DD40C5"/>
    <w:rsid w:val="00DF055E"/>
    <w:rsid w:val="00E015C6"/>
    <w:rsid w:val="00E47754"/>
    <w:rsid w:val="00E56FCC"/>
    <w:rsid w:val="00EA24C5"/>
    <w:rsid w:val="00EB0027"/>
    <w:rsid w:val="00ED193A"/>
    <w:rsid w:val="00F301E9"/>
    <w:rsid w:val="00F428B9"/>
    <w:rsid w:val="00F51BF0"/>
    <w:rsid w:val="00F6598E"/>
    <w:rsid w:val="00F7530B"/>
    <w:rsid w:val="00F915F3"/>
    <w:rsid w:val="00FD0D0A"/>
    <w:rsid w:val="00FE0B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2A85"/>
  <w15:docId w15:val="{86454886-11BE-4BE8-97AE-6610A630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FD0D0A"/>
    <w:pPr>
      <w:tabs>
        <w:tab w:val="center" w:pos="4513"/>
        <w:tab w:val="right" w:pos="9026"/>
      </w:tabs>
      <w:spacing w:line="240" w:lineRule="auto"/>
    </w:pPr>
  </w:style>
  <w:style w:type="character" w:customStyle="1" w:styleId="HeaderChar">
    <w:name w:val="Header Char"/>
    <w:basedOn w:val="DefaultParagraphFont"/>
    <w:link w:val="Header"/>
    <w:uiPriority w:val="99"/>
    <w:rsid w:val="00FD0D0A"/>
    <w:rPr>
      <w:rFonts w:ascii="Verdana" w:hAnsi="Verdana"/>
      <w:color w:val="000000"/>
      <w:sz w:val="18"/>
      <w:szCs w:val="18"/>
    </w:rPr>
  </w:style>
  <w:style w:type="paragraph" w:styleId="Footer">
    <w:name w:val="footer"/>
    <w:basedOn w:val="Normal"/>
    <w:link w:val="FooterChar"/>
    <w:uiPriority w:val="99"/>
    <w:unhideWhenUsed/>
    <w:rsid w:val="00FD0D0A"/>
    <w:pPr>
      <w:tabs>
        <w:tab w:val="center" w:pos="4513"/>
        <w:tab w:val="right" w:pos="9026"/>
      </w:tabs>
      <w:spacing w:line="240" w:lineRule="auto"/>
    </w:pPr>
  </w:style>
  <w:style w:type="character" w:customStyle="1" w:styleId="FooterChar">
    <w:name w:val="Footer Char"/>
    <w:basedOn w:val="DefaultParagraphFont"/>
    <w:link w:val="Footer"/>
    <w:uiPriority w:val="99"/>
    <w:rsid w:val="00FD0D0A"/>
    <w:rPr>
      <w:rFonts w:ascii="Verdana" w:hAnsi="Verdana"/>
      <w:color w:val="000000"/>
      <w:sz w:val="18"/>
      <w:szCs w:val="18"/>
    </w:rPr>
  </w:style>
  <w:style w:type="paragraph" w:styleId="Revision">
    <w:name w:val="Revision"/>
    <w:hidden/>
    <w:uiPriority w:val="99"/>
    <w:semiHidden/>
    <w:rsid w:val="00B43C8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C3DEC"/>
    <w:rPr>
      <w:sz w:val="16"/>
      <w:szCs w:val="16"/>
    </w:rPr>
  </w:style>
  <w:style w:type="paragraph" w:styleId="CommentText">
    <w:name w:val="annotation text"/>
    <w:basedOn w:val="Normal"/>
    <w:link w:val="CommentTextChar"/>
    <w:uiPriority w:val="99"/>
    <w:unhideWhenUsed/>
    <w:rsid w:val="00CC3DEC"/>
    <w:pPr>
      <w:spacing w:line="240" w:lineRule="auto"/>
    </w:pPr>
    <w:rPr>
      <w:sz w:val="20"/>
      <w:szCs w:val="20"/>
    </w:rPr>
  </w:style>
  <w:style w:type="character" w:customStyle="1" w:styleId="CommentTextChar">
    <w:name w:val="Comment Text Char"/>
    <w:basedOn w:val="DefaultParagraphFont"/>
    <w:link w:val="CommentText"/>
    <w:uiPriority w:val="99"/>
    <w:rsid w:val="00CC3DE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C3DEC"/>
    <w:rPr>
      <w:b/>
      <w:bCs/>
    </w:rPr>
  </w:style>
  <w:style w:type="character" w:customStyle="1" w:styleId="CommentSubjectChar">
    <w:name w:val="Comment Subject Char"/>
    <w:basedOn w:val="CommentTextChar"/>
    <w:link w:val="CommentSubject"/>
    <w:uiPriority w:val="99"/>
    <w:semiHidden/>
    <w:rsid w:val="00CC3DEC"/>
    <w:rPr>
      <w:rFonts w:ascii="Verdana" w:hAnsi="Verdana"/>
      <w:b/>
      <w:bCs/>
      <w:color w:val="000000"/>
    </w:rPr>
  </w:style>
  <w:style w:type="paragraph" w:styleId="FootnoteText">
    <w:name w:val="footnote text"/>
    <w:basedOn w:val="Normal"/>
    <w:link w:val="FootnoteTextChar"/>
    <w:uiPriority w:val="99"/>
    <w:semiHidden/>
    <w:unhideWhenUsed/>
    <w:rsid w:val="00CD1BA6"/>
    <w:pPr>
      <w:spacing w:line="240" w:lineRule="auto"/>
    </w:pPr>
    <w:rPr>
      <w:sz w:val="20"/>
      <w:szCs w:val="20"/>
    </w:rPr>
  </w:style>
  <w:style w:type="character" w:customStyle="1" w:styleId="FootnoteTextChar">
    <w:name w:val="Footnote Text Char"/>
    <w:basedOn w:val="DefaultParagraphFont"/>
    <w:link w:val="FootnoteText"/>
    <w:uiPriority w:val="99"/>
    <w:semiHidden/>
    <w:rsid w:val="00CD1BA6"/>
    <w:rPr>
      <w:rFonts w:ascii="Verdana" w:hAnsi="Verdana"/>
      <w:color w:val="000000"/>
    </w:rPr>
  </w:style>
  <w:style w:type="character" w:styleId="FootnoteReference">
    <w:name w:val="footnote reference"/>
    <w:basedOn w:val="DefaultParagraphFont"/>
    <w:uiPriority w:val="99"/>
    <w:semiHidden/>
    <w:unhideWhenUsed/>
    <w:rsid w:val="00CD1B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341">
      <w:bodyDiv w:val="1"/>
      <w:marLeft w:val="0"/>
      <w:marRight w:val="0"/>
      <w:marTop w:val="0"/>
      <w:marBottom w:val="0"/>
      <w:divBdr>
        <w:top w:val="none" w:sz="0" w:space="0" w:color="auto"/>
        <w:left w:val="none" w:sz="0" w:space="0" w:color="auto"/>
        <w:bottom w:val="none" w:sz="0" w:space="0" w:color="auto"/>
        <w:right w:val="none" w:sz="0" w:space="0" w:color="auto"/>
      </w:divBdr>
    </w:div>
    <w:div w:id="2140146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864</ap:Words>
  <ap:Characters>4757</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Kamerbrief n.a.v. vraag Piri - Straat van Hormuz</vt:lpstr>
    </vt:vector>
  </ap:TitlesOfParts>
  <ap:LinksUpToDate>false</ap:LinksUpToDate>
  <ap:CharactersWithSpaces>5610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2026-03-20T09:37:00.0000000Z</dcterms:created>
  <dcterms:modified xsi:type="dcterms:W3CDTF">2026-03-20T09:37:00.0000000Z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https://247.plaza.buzaservices.nl/subject/PV-RK2026022026/BZ2626285/Reguliere kamerbrief - Kamerbrief n.a.v. vraag Piri - Straat van Hormuz.docx</vt:lpwstr>
  </property>
  <property fmtid="{D5CDD505-2E9C-101B-9397-08002B2CF9AE}" pid="24" name="_dlc_DocIdItemGuid">
    <vt:lpwstr>26ad1f15-607b-43de-9fdc-4886c6214aaa</vt:lpwstr>
  </property>
  <property fmtid="{D5CDD505-2E9C-101B-9397-08002B2CF9AE}" pid="25" name="_docset_NoMedatataSyncRequired">
    <vt:lpwstr>False</vt:lpwstr>
  </property>
</Properties>
</file>