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2026Z05637</w:t>
        <w:br/>
      </w:r>
      <w:proofErr w:type="spellEnd"/>
    </w:p>
    <w:p>
      <w:pPr>
        <w:pStyle w:val="Normal"/>
        <w:rPr>
          <w:b w:val="1"/>
          <w:bCs w:val="1"/>
        </w:rPr>
      </w:pPr>
      <w:r w:rsidR="250AE766">
        <w:rPr>
          <w:b w:val="0"/>
          <w:bCs w:val="0"/>
        </w:rPr>
        <w:t>(ingezonden 20 maart 2026)</w:t>
        <w:br/>
      </w:r>
    </w:p>
    <w:p>
      <w:r>
        <w:t xml:space="preserve">Vragen van de leden Van den Berg en Hoogeveen (beiden JA21) aan de minister van Klimaat en Groene Groei over het bericht dat Polen en Italië met acht andere lidstaten de aanval openen op de Europese CO2-beprijzing</w:t>
      </w:r>
      <w:r>
        <w:br/>
      </w:r>
    </w:p>
    <w:p>
      <w:r>
        <w:t xml:space="preserve"> </w:t>
      </w:r>
      <w:r>
        <w:br/>
      </w:r>
    </w:p>
    <w:p>
      <w:pPr>
        <w:pStyle w:val="ListParagraph"/>
        <w:numPr>
          <w:ilvl w:val="0"/>
          <w:numId w:val="100501080"/>
        </w:numPr>
        <w:ind w:left="360"/>
      </w:pPr>
      <w:r>
        <w:t xml:space="preserve">Bent u bekend met het bericht 'Polen en Italië openen met acht andere lidstaten aanval op Europese CO2-beprijzing'? 1)</w:t>
      </w:r>
      <w:r>
        <w:br/>
      </w:r>
    </w:p>
    <w:p>
      <w:pPr>
        <w:pStyle w:val="ListParagraph"/>
        <w:numPr>
          <w:ilvl w:val="0"/>
          <w:numId w:val="100501080"/>
        </w:numPr>
        <w:ind w:left="360"/>
      </w:pPr>
      <w:r>
        <w:t xml:space="preserve">Hoe beoordeelt u het feit dat meerdere EU-lidstaten inmiddels openlijk aandringen op herziening, afzwakking of tijdelijke opschorting van het ETS vanwege de gevolgen voor energieprijzen, industrie en concurrentiekracht?</w:t>
      </w:r>
      <w:r>
        <w:br/>
      </w:r>
    </w:p>
    <w:p>
      <w:pPr>
        <w:pStyle w:val="ListParagraph"/>
        <w:numPr>
          <w:ilvl w:val="0"/>
          <w:numId w:val="100501080"/>
        </w:numPr>
        <w:ind w:left="360"/>
      </w:pPr>
      <w:r>
        <w:t xml:space="preserve">Erkent u dat de kosten van het ETS in de praktijk niet beperkt blijven tot de papieren handel in emissierechten, maar via de elektriciteitsprijs en productiekosten rechtstreeks doorwerken in de rekening van bedrijven en uiteindelijk ook van consumenten?</w:t>
      </w:r>
      <w:r>
        <w:br/>
      </w:r>
    </w:p>
    <w:p>
      <w:pPr>
        <w:pStyle w:val="ListParagraph"/>
        <w:numPr>
          <w:ilvl w:val="0"/>
          <w:numId w:val="100501080"/>
        </w:numPr>
        <w:ind w:left="360"/>
      </w:pPr>
      <w:r>
        <w:t xml:space="preserve">Waarom kiest u er niet voor zich actief aan te sluiten bij lidstaten als Polen en Italië die pleiten voor een fundamentele herziening of tijdelijke opschorting van het ETS?</w:t>
      </w:r>
      <w:r>
        <w:br/>
      </w:r>
    </w:p>
    <w:p>
      <w:pPr>
        <w:pStyle w:val="ListParagraph"/>
        <w:numPr>
          <w:ilvl w:val="0"/>
          <w:numId w:val="100501080"/>
        </w:numPr>
        <w:ind w:left="360"/>
      </w:pPr>
      <w:r>
        <w:t xml:space="preserve">Klopt het dat in de Europese discussie over concurrentievermogen en energieprijzen inmiddels expliciet wordt gewezen op de kosten die samenhangen met het ETS? Welke conclusies trekt u daaruit voor de Nederlandse inzet?</w:t>
      </w:r>
      <w:r>
        <w:br/>
      </w:r>
    </w:p>
    <w:p>
      <w:pPr>
        <w:pStyle w:val="ListParagraph"/>
        <w:numPr>
          <w:ilvl w:val="0"/>
          <w:numId w:val="100501080"/>
        </w:numPr>
        <w:ind w:left="360"/>
      </w:pPr>
      <w:r>
        <w:t xml:space="preserve">Bent u bereid in Brussel te pleiten voor een tijdelijke noodrem of opschorting van onderdelen van het ETS zolang de energieprijzen uitzonderlijk hoog zijn en de concurrentiekracht van de Europese industrie verder onder druk staat? Zo nee, waarom niet?</w:t>
      </w:r>
      <w:r>
        <w:br/>
      </w:r>
    </w:p>
    <w:p>
      <w:pPr>
        <w:pStyle w:val="ListParagraph"/>
        <w:numPr>
          <w:ilvl w:val="0"/>
          <w:numId w:val="100501080"/>
        </w:numPr>
        <w:ind w:left="360"/>
      </w:pPr>
      <w:r>
        <w:t xml:space="preserve">Deelt u de mening dat ETS-opbrengsten in de eerste plaats ten goede moeten gaan van de industrie en naar maatregelen die de energierekening en concurrentiedruk verlagen, in plaats van te worden gebruikt om nieuw klimaatbeleid verder op te tuigen?</w:t>
      </w:r>
      <w:r>
        <w:br/>
      </w:r>
    </w:p>
    <w:p>
      <w:pPr>
        <w:pStyle w:val="ListParagraph"/>
        <w:numPr>
          <w:ilvl w:val="0"/>
          <w:numId w:val="100501080"/>
        </w:numPr>
        <w:ind w:left="360"/>
      </w:pPr>
      <w:r>
        <w:t xml:space="preserve">Bent u bereid zich in te zetten voor een ingrijpende herziening van het ETS, waarbij betaalbaarheid van energie, leveringszekerheid en een gelijk speelveld voor Europese bedrijven zwaarder gaan wegen dan de huidige ideologische fixatie op steeds hogere CO2-prijzen?</w:t>
      </w:r>
      <w:r>
        <w:br/>
      </w:r>
    </w:p>
    <w:p>
      <w:pPr>
        <w:pStyle w:val="ListParagraph"/>
        <w:numPr>
          <w:ilvl w:val="0"/>
          <w:numId w:val="100501080"/>
        </w:numPr>
        <w:ind w:left="360"/>
      </w:pPr>
      <w:r>
        <w:t xml:space="preserve">Kunt u aangeven welke gevolgen het ETS volgens u momenteel heeft voor de Nederlandse energie-intensieve industrie, waaronder de chemie, staal, raffinage en andere grootverbruikers?</w:t>
      </w:r>
      <w:r>
        <w:br/>
      </w:r>
    </w:p>
    <w:p>
      <w:pPr>
        <w:pStyle w:val="ListParagraph"/>
        <w:numPr>
          <w:ilvl w:val="0"/>
          <w:numId w:val="100501080"/>
        </w:numPr>
        <w:ind w:left="360"/>
      </w:pPr>
      <w:r>
        <w:t xml:space="preserve">Kunt u daarbij ook inzichtelijk maken in hoeverre ETS-kosten doorwerken in de Nederlandse elektriciteitsprijs en daarmee het vestigingsklimaat en de werkgelegenheid raken?</w:t>
      </w:r>
      <w:r>
        <w:br/>
      </w:r>
    </w:p>
    <w:p>
      <w:pPr>
        <w:pStyle w:val="ListParagraph"/>
        <w:numPr>
          <w:ilvl w:val="0"/>
          <w:numId w:val="100501080"/>
        </w:numPr>
        <w:ind w:left="360"/>
      </w:pPr>
      <w:r>
        <w:t xml:space="preserve">Klopt het dat binnen het bestaande Europese ETS een deel van de opbrengsten van emissierechten wordt aangewend voor een fonds ten behoeve van lagere-inkomenslidstaten, het zogenoemde Modernisation Fund?</w:t>
      </w:r>
      <w:r>
        <w:br/>
      </w:r>
    </w:p>
    <w:p>
      <w:pPr>
        <w:pStyle w:val="ListParagraph"/>
        <w:numPr>
          <w:ilvl w:val="0"/>
          <w:numId w:val="100501080"/>
        </w:numPr>
        <w:ind w:left="360"/>
      </w:pPr>
      <w:r>
        <w:t xml:space="preserve">Hoe beoordeelt u het principiële bezwaar dat Europese CO2-beprijzing daarmee niet alleen een prijsprikkel is, maar ook een herverdelingsmechanisme wordt waarbij opbrengsten uit het ETS worden ingezet voor vergroening in andere lidstaten?</w:t>
      </w:r>
      <w:r>
        <w:br/>
      </w:r>
    </w:p>
    <w:p>
      <w:pPr>
        <w:pStyle w:val="ListParagraph"/>
        <w:numPr>
          <w:ilvl w:val="0"/>
          <w:numId w:val="100501080"/>
        </w:numPr>
        <w:ind w:left="360"/>
      </w:pPr>
      <w:r>
        <w:t xml:space="preserve">Kunt u inzichtelijk maken welk deel van de totale ETS-opbrengsten binnen de Europese Unie momenteel wordt gereserveerd voor het Modernisation Fund en in hoeverre dit leidt tot minder ruimte voor lastenverlichting of concurrentieversterking in lidstaten als Nederland?</w:t>
      </w:r>
      <w:r>
        <w:br/>
      </w:r>
    </w:p>
    <w:p>
      <w:pPr>
        <w:pStyle w:val="ListParagraph"/>
        <w:numPr>
          <w:ilvl w:val="0"/>
          <w:numId w:val="100501080"/>
        </w:numPr>
        <w:ind w:left="360"/>
      </w:pPr>
      <w:r>
        <w:t xml:space="preserve">Deelt u de mening dat dit fonds de prikkel vergroot om ETS-opbrengsten te zien als financieringsbron voor steeds verdergaande Europese klimaatpolitiek in plaats van als middel dat juist zou moeten worden beperkt vanwege de schade voor koopkracht en concurrentiekracht?</w:t>
      </w:r>
      <w:r>
        <w:br/>
      </w:r>
    </w:p>
    <w:p>
      <w:pPr>
        <w:pStyle w:val="ListParagraph"/>
        <w:numPr>
          <w:ilvl w:val="0"/>
          <w:numId w:val="100501080"/>
        </w:numPr>
        <w:ind w:left="360"/>
      </w:pPr>
      <w:r>
        <w:t xml:space="preserve">Kunt u uitsluiten dat Nederland in toekomstige Europese onderhandelingen zal instemmen met nieuwe of grotere ETS-gerelateerde herverdelingsfondsen ten behoeve van andere lidstaten? Zo nee, waarom vindt u het aanvaardbaar dat Nederlandse huishoudens en ondernemingen worden geconfronteerd met hogere energiekosten, terwijl ETS-opbrengsten mede worden afgeroomd voor klimaatuitgaven elders in Europa?</w:t>
      </w:r>
      <w:r>
        <w:br/>
      </w:r>
    </w:p>
    <w:p>
      <w:r>
        <w:t xml:space="preserve"> </w:t>
      </w:r>
      <w:r>
        <w:br/>
      </w:r>
    </w:p>
    <w:p>
      <w:r>
        <w:t xml:space="preserve">1) De Telegraaf, 18 maart 2026, 'Polen en Italië openen met acht andere lidstaten aanval op Europese CO2-beprijzing'</w:t>
      </w:r>
      <w:r>
        <w:br/>
      </w:r>
    </w:p>
    <w:p>
      <w:r>
        <w:t xml:space="preserve"> </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040">
    <w:abstractNumId w:val="10050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