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FEF" w:rsidP="00B2075F" w:rsidRDefault="001B7FEF" w14:paraId="051C623B" w14:textId="2FAE879B">
      <w:pPr>
        <w:spacing w:line="276" w:lineRule="auto"/>
      </w:pPr>
      <w:r>
        <w:t>Geachte voorzitter,</w:t>
      </w:r>
    </w:p>
    <w:p w:rsidR="00231EAF" w:rsidP="00B2075F" w:rsidRDefault="00231EAF" w14:paraId="0052878D" w14:textId="77777777">
      <w:pPr>
        <w:spacing w:line="276" w:lineRule="auto"/>
      </w:pPr>
    </w:p>
    <w:p w:rsidR="00853698" w:rsidP="00B2075F" w:rsidRDefault="00894581" w14:paraId="30004E41" w14:textId="3CB2F87C">
      <w:pPr>
        <w:spacing w:line="276" w:lineRule="auto"/>
      </w:pPr>
      <w:bookmarkStart w:name="_Hlk223953845" w:id="0"/>
      <w:bookmarkStart w:name="_Hlk222825937" w:id="1"/>
      <w:bookmarkStart w:name="_Hlk222826859" w:id="2"/>
      <w:r>
        <w:t>Veertien jaar conflict</w:t>
      </w:r>
      <w:r w:rsidRPr="00517947" w:rsidR="00517947">
        <w:t xml:space="preserve"> </w:t>
      </w:r>
      <w:r w:rsidR="005B70BB">
        <w:t>heeft</w:t>
      </w:r>
      <w:r w:rsidRPr="00517947">
        <w:t xml:space="preserve"> </w:t>
      </w:r>
      <w:r w:rsidRPr="00517947" w:rsidR="00517947">
        <w:t>diepe sporen nagelaten</w:t>
      </w:r>
      <w:r>
        <w:t xml:space="preserve"> in Syrië</w:t>
      </w:r>
      <w:r w:rsidR="001E60F7">
        <w:t xml:space="preserve">. </w:t>
      </w:r>
      <w:r w:rsidRPr="00517947" w:rsidR="00517947">
        <w:t xml:space="preserve">Jaren van </w:t>
      </w:r>
      <w:r w:rsidR="001E60F7">
        <w:t xml:space="preserve">systematische </w:t>
      </w:r>
      <w:r w:rsidR="0007676D">
        <w:t xml:space="preserve">onderdrukking en geweld </w:t>
      </w:r>
      <w:r w:rsidRPr="00517947" w:rsidR="00517947">
        <w:t>hebben geleid tot grootschalige mensenrechtenschendingen, ontwrichte gemeenschappen en leed voor miljoenen burgers.</w:t>
      </w:r>
      <w:r w:rsidR="00517947">
        <w:t xml:space="preserve"> </w:t>
      </w:r>
      <w:r w:rsidR="007C2815">
        <w:t>Naast de</w:t>
      </w:r>
      <w:r w:rsidR="002B600D">
        <w:t>ze</w:t>
      </w:r>
      <w:r w:rsidR="007C2815">
        <w:t xml:space="preserve"> misdrijven die zijn gepleegd onder het Assad-regime en door ISIS</w:t>
      </w:r>
      <w:r w:rsidR="002B600D">
        <w:t>,</w:t>
      </w:r>
      <w:r w:rsidR="007C2815">
        <w:t xml:space="preserve"> zijn er</w:t>
      </w:r>
      <w:r w:rsidR="00C97EFB">
        <w:t xml:space="preserve"> </w:t>
      </w:r>
      <w:r w:rsidR="00B4293C">
        <w:t xml:space="preserve">het </w:t>
      </w:r>
      <w:r w:rsidR="00C97EFB">
        <w:t>afgelopen jaar</w:t>
      </w:r>
      <w:r w:rsidR="007C2815">
        <w:t xml:space="preserve"> </w:t>
      </w:r>
      <w:r w:rsidR="002B600D">
        <w:t xml:space="preserve">ook </w:t>
      </w:r>
      <w:r w:rsidR="00C971BD">
        <w:t xml:space="preserve">zorgelijke </w:t>
      </w:r>
      <w:r w:rsidR="00E47F3A">
        <w:t xml:space="preserve">berichten </w:t>
      </w:r>
      <w:r w:rsidR="00C97EFB">
        <w:t xml:space="preserve">geweest </w:t>
      </w:r>
      <w:r w:rsidR="00E47F3A">
        <w:t>van</w:t>
      </w:r>
      <w:r w:rsidRPr="00FE1ED5" w:rsidR="007C2815">
        <w:t xml:space="preserve"> </w:t>
      </w:r>
      <w:r w:rsidR="007C2815">
        <w:t>geweld</w:t>
      </w:r>
      <w:r w:rsidRPr="00FE1ED5" w:rsidR="007C2815">
        <w:t xml:space="preserve"> tegen </w:t>
      </w:r>
      <w:proofErr w:type="spellStart"/>
      <w:r w:rsidRPr="00FE1ED5" w:rsidR="007C2815">
        <w:t>alawieten</w:t>
      </w:r>
      <w:proofErr w:type="spellEnd"/>
      <w:r w:rsidRPr="00FE1ED5" w:rsidR="007C2815">
        <w:t xml:space="preserve">, </w:t>
      </w:r>
      <w:proofErr w:type="spellStart"/>
      <w:r w:rsidRPr="00FE1ED5" w:rsidR="007C2815">
        <w:t>druzen</w:t>
      </w:r>
      <w:proofErr w:type="spellEnd"/>
      <w:r w:rsidRPr="00FE1ED5" w:rsidR="007C2815">
        <w:t>, christenen</w:t>
      </w:r>
      <w:r>
        <w:t>, Koerden</w:t>
      </w:r>
      <w:r w:rsidRPr="00FE1ED5" w:rsidR="007C2815">
        <w:t xml:space="preserve"> en andere gemeenschappen</w:t>
      </w:r>
      <w:r w:rsidR="007C2815">
        <w:t xml:space="preserve"> in Syrië</w:t>
      </w:r>
      <w:r w:rsidR="002F68BB">
        <w:t>.</w:t>
      </w:r>
      <w:r w:rsidR="001E60F7">
        <w:t xml:space="preserve"> </w:t>
      </w:r>
      <w:r w:rsidR="00C971BD">
        <w:t xml:space="preserve">Het geweld </w:t>
      </w:r>
      <w:r w:rsidR="00BC3F98">
        <w:t>tegen</w:t>
      </w:r>
      <w:r w:rsidR="00853698">
        <w:t xml:space="preserve"> de </w:t>
      </w:r>
      <w:proofErr w:type="spellStart"/>
      <w:r w:rsidR="00853698">
        <w:t>alawitische</w:t>
      </w:r>
      <w:proofErr w:type="spellEnd"/>
      <w:r w:rsidR="00853698">
        <w:t xml:space="preserve"> gemeenschap in maart 2025 en tegen de </w:t>
      </w:r>
      <w:proofErr w:type="spellStart"/>
      <w:r w:rsidR="00853698">
        <w:t>druzische</w:t>
      </w:r>
      <w:proofErr w:type="spellEnd"/>
      <w:r w:rsidR="00853698">
        <w:t xml:space="preserve"> gemeenschap in juli 2025 staan</w:t>
      </w:r>
      <w:r w:rsidR="00C971BD">
        <w:t xml:space="preserve"> hierbij</w:t>
      </w:r>
      <w:r w:rsidR="00853698">
        <w:t xml:space="preserve"> nog </w:t>
      </w:r>
      <w:r w:rsidR="00594C40">
        <w:t>scherp</w:t>
      </w:r>
      <w:r w:rsidR="00853698">
        <w:t xml:space="preserve"> op het netvlies. </w:t>
      </w:r>
    </w:p>
    <w:p w:rsidR="00C971BD" w:rsidP="00B2075F" w:rsidRDefault="00C971BD" w14:paraId="74C0E530" w14:textId="1A5949CC">
      <w:pPr>
        <w:spacing w:line="276" w:lineRule="auto"/>
      </w:pPr>
    </w:p>
    <w:p w:rsidR="00AF1D5E" w:rsidP="00B2075F" w:rsidRDefault="00853698" w14:paraId="362C2393" w14:textId="115AA942">
      <w:pPr>
        <w:spacing w:line="276" w:lineRule="auto"/>
      </w:pPr>
      <w:r>
        <w:t>Het adresseren van d</w:t>
      </w:r>
      <w:r w:rsidR="00BC3F98">
        <w:t xml:space="preserve">eze </w:t>
      </w:r>
      <w:r w:rsidR="006D66CE">
        <w:t>diepe</w:t>
      </w:r>
      <w:r w:rsidR="00546347">
        <w:t xml:space="preserve"> wonden</w:t>
      </w:r>
      <w:r>
        <w:t xml:space="preserve"> is essentieel </w:t>
      </w:r>
      <w:r w:rsidR="00EA3413">
        <w:t>voor duurzame stabiliteit in Syrië</w:t>
      </w:r>
      <w:r>
        <w:t xml:space="preserve"> en vereist </w:t>
      </w:r>
      <w:r w:rsidR="002B600D">
        <w:t xml:space="preserve">zowel </w:t>
      </w:r>
      <w:r w:rsidR="006D66CE">
        <w:t>de</w:t>
      </w:r>
      <w:r>
        <w:t xml:space="preserve"> </w:t>
      </w:r>
      <w:r w:rsidR="00BC3F98">
        <w:t>bescherming</w:t>
      </w:r>
      <w:r>
        <w:t xml:space="preserve"> </w:t>
      </w:r>
      <w:r w:rsidR="006D66CE">
        <w:t xml:space="preserve">en borging </w:t>
      </w:r>
      <w:r>
        <w:t xml:space="preserve">van de rechten en veiligheid van alle Syrische gemeenschappen </w:t>
      </w:r>
      <w:r w:rsidR="002B600D">
        <w:t xml:space="preserve">als </w:t>
      </w:r>
      <w:r>
        <w:t>het tegengaan van straffeloosheid.</w:t>
      </w:r>
      <w:bookmarkEnd w:id="0"/>
      <w:r>
        <w:t xml:space="preserve"> </w:t>
      </w:r>
      <w:r w:rsidRPr="00A76135" w:rsidR="00AF1D5E">
        <w:t>Zonder erkenning van misdrijven</w:t>
      </w:r>
      <w:r w:rsidR="00AF1D5E">
        <w:t xml:space="preserve"> </w:t>
      </w:r>
      <w:r w:rsidRPr="00A76135">
        <w:t xml:space="preserve">en verantwoording van daders </w:t>
      </w:r>
      <w:r w:rsidR="00E2182B">
        <w:t>blijft leed onverwerkt</w:t>
      </w:r>
      <w:r w:rsidR="00B96744">
        <w:t xml:space="preserve"> </w:t>
      </w:r>
      <w:r w:rsidRPr="00A76135" w:rsidR="00AF1D5E">
        <w:t>en wordt het risico op hernieuwd geweld vergroot</w:t>
      </w:r>
      <w:r w:rsidR="006E4D14">
        <w:t>.</w:t>
      </w:r>
    </w:p>
    <w:p w:rsidR="00C71991" w:rsidP="00B2075F" w:rsidRDefault="00C71991" w14:paraId="342F97B2" w14:textId="441E612C">
      <w:pPr>
        <w:spacing w:line="276" w:lineRule="auto"/>
      </w:pPr>
    </w:p>
    <w:p w:rsidR="007913C5" w:rsidP="003736E2" w:rsidRDefault="00215256" w14:paraId="2E8F03EB" w14:textId="2A31118F">
      <w:pPr>
        <w:spacing w:line="276" w:lineRule="auto"/>
      </w:pPr>
      <w:r w:rsidRPr="00215256">
        <w:t xml:space="preserve">Het kabinet zet zich daarom actief in voor de bescherming van </w:t>
      </w:r>
      <w:r w:rsidR="00AF1D5E">
        <w:t xml:space="preserve">mensenrechten en </w:t>
      </w:r>
      <w:r w:rsidR="00C3200D">
        <w:t>gemeenschappen</w:t>
      </w:r>
      <w:r w:rsidRPr="00215256">
        <w:t>, het tegengaan van straffeloosheid en de opbouw van juridische en maatschappelijke capaciteit in Syrië om een inclusief berechtings- en verzoeningsproces (</w:t>
      </w:r>
      <w:r>
        <w:t xml:space="preserve">ook wel </w:t>
      </w:r>
      <w:proofErr w:type="spellStart"/>
      <w:r w:rsidRPr="00215256">
        <w:rPr>
          <w:i/>
          <w:iCs/>
        </w:rPr>
        <w:t>transitional</w:t>
      </w:r>
      <w:proofErr w:type="spellEnd"/>
      <w:r w:rsidRPr="00215256">
        <w:rPr>
          <w:i/>
          <w:iCs/>
        </w:rPr>
        <w:t xml:space="preserve"> </w:t>
      </w:r>
      <w:proofErr w:type="spellStart"/>
      <w:r w:rsidRPr="00215256">
        <w:rPr>
          <w:i/>
          <w:iCs/>
        </w:rPr>
        <w:t>justice</w:t>
      </w:r>
      <w:proofErr w:type="spellEnd"/>
      <w:r>
        <w:t xml:space="preserve"> genoemd</w:t>
      </w:r>
      <w:r w:rsidRPr="00215256">
        <w:t xml:space="preserve">) </w:t>
      </w:r>
      <w:r w:rsidR="00E45AE8">
        <w:t>te ondersteunen</w:t>
      </w:r>
      <w:r w:rsidRPr="00215256">
        <w:t>.</w:t>
      </w:r>
      <w:r w:rsidR="003736E2">
        <w:t xml:space="preserve"> </w:t>
      </w:r>
      <w:r w:rsidR="00C971BD">
        <w:t xml:space="preserve">Met deze brief informeert het kabinet uw Kamer over deze inspanningen. </w:t>
      </w:r>
      <w:r w:rsidR="00EB4CAB">
        <w:t>Hierbij zet het kabinet</w:t>
      </w:r>
      <w:r w:rsidR="007913C5">
        <w:t xml:space="preserve"> tevens uiteen hoe zij uitvoering geeft aan de moties Dobbe c.s., Van Baarle en </w:t>
      </w:r>
      <w:proofErr w:type="spellStart"/>
      <w:r w:rsidR="007913C5">
        <w:t>Piri</w:t>
      </w:r>
      <w:proofErr w:type="spellEnd"/>
      <w:r w:rsidR="00886059">
        <w:t>.</w:t>
      </w:r>
      <w:r w:rsidR="007913C5">
        <w:rPr>
          <w:rStyle w:val="FootnoteReference"/>
        </w:rPr>
        <w:footnoteReference w:id="2"/>
      </w:r>
      <w:r w:rsidR="007913C5">
        <w:t xml:space="preserve"> </w:t>
      </w:r>
    </w:p>
    <w:p w:rsidRPr="007913C5" w:rsidR="007913C5" w:rsidP="00B2075F" w:rsidRDefault="007913C5" w14:paraId="62C9EE9D" w14:textId="11CD39F7">
      <w:pPr>
        <w:spacing w:line="276" w:lineRule="auto"/>
        <w:rPr>
          <w:b/>
          <w:bCs/>
        </w:rPr>
      </w:pPr>
    </w:p>
    <w:p w:rsidR="009D4208" w:rsidP="00B2075F" w:rsidRDefault="009D4208" w14:paraId="57182418" w14:textId="77777777">
      <w:pPr>
        <w:spacing w:line="276" w:lineRule="auto"/>
        <w:rPr>
          <w:b/>
          <w:bCs/>
        </w:rPr>
      </w:pPr>
      <w:r>
        <w:rPr>
          <w:b/>
          <w:bCs/>
        </w:rPr>
        <w:br w:type="page"/>
      </w:r>
    </w:p>
    <w:p w:rsidR="0007676D" w:rsidP="00B2075F" w:rsidRDefault="007913C5" w14:paraId="003085DE" w14:textId="6C67E90A">
      <w:pPr>
        <w:spacing w:line="276" w:lineRule="auto"/>
      </w:pPr>
      <w:r>
        <w:rPr>
          <w:b/>
          <w:bCs/>
        </w:rPr>
        <w:lastRenderedPageBreak/>
        <w:t xml:space="preserve">Bescherming mensenrechten en </w:t>
      </w:r>
      <w:r w:rsidR="00C3200D">
        <w:rPr>
          <w:b/>
          <w:bCs/>
        </w:rPr>
        <w:t>gemeenschappen</w:t>
      </w:r>
    </w:p>
    <w:p w:rsidR="00477AB3" w:rsidP="00593517" w:rsidRDefault="00404DBF" w14:paraId="788B1D25" w14:textId="1A9946D2">
      <w:pPr>
        <w:spacing w:line="276" w:lineRule="auto"/>
      </w:pPr>
      <w:r>
        <w:t xml:space="preserve">De geweldsescalaties tegen onder meer de </w:t>
      </w:r>
      <w:proofErr w:type="spellStart"/>
      <w:r>
        <w:t>alawitische</w:t>
      </w:r>
      <w:proofErr w:type="spellEnd"/>
      <w:r>
        <w:t xml:space="preserve"> en </w:t>
      </w:r>
      <w:proofErr w:type="spellStart"/>
      <w:r>
        <w:t>druzische</w:t>
      </w:r>
      <w:proofErr w:type="spellEnd"/>
      <w:r>
        <w:t xml:space="preserve"> gemeenschappen</w:t>
      </w:r>
      <w:r w:rsidR="00546347">
        <w:t xml:space="preserve"> in 2025</w:t>
      </w:r>
      <w:r>
        <w:t xml:space="preserve"> onderstrepen het belang van </w:t>
      </w:r>
      <w:r w:rsidR="00C971BD">
        <w:t xml:space="preserve">een </w:t>
      </w:r>
      <w:r>
        <w:t xml:space="preserve">actieve inzet </w:t>
      </w:r>
      <w:r w:rsidR="00C971BD">
        <w:t xml:space="preserve">om de bescherming en borging van </w:t>
      </w:r>
      <w:r w:rsidR="00DB3A79">
        <w:t>de rechten</w:t>
      </w:r>
      <w:r>
        <w:t xml:space="preserve"> en veiligheid van alle gemeenschappen</w:t>
      </w:r>
      <w:r w:rsidR="00C971BD">
        <w:t xml:space="preserve"> te ondersteunen. Het kabinet zet </w:t>
      </w:r>
      <w:r w:rsidR="00900718">
        <w:t xml:space="preserve">zich </w:t>
      </w:r>
      <w:r w:rsidR="00C971BD">
        <w:t xml:space="preserve">hier zowel bilateraal - onder meer in contacten met de Syrische overgangsregering - als multilateraal voor in. </w:t>
      </w:r>
      <w:r w:rsidR="00CB7C21">
        <w:t>Zo dringt het kabinet in</w:t>
      </w:r>
      <w:r w:rsidR="00C971BD">
        <w:t xml:space="preserve"> lijn met de motie </w:t>
      </w:r>
      <w:proofErr w:type="spellStart"/>
      <w:r w:rsidR="00C971BD">
        <w:t>Piri</w:t>
      </w:r>
      <w:proofErr w:type="spellEnd"/>
      <w:r w:rsidR="00C971BD">
        <w:t xml:space="preserve"> consequent </w:t>
      </w:r>
      <w:r w:rsidR="00802CBA">
        <w:t>aan op onafhankelijke monitoring van mensenrechtenschendingen, berechting van misdrijven en bescherming van alle gemeenschappen</w:t>
      </w:r>
      <w:r w:rsidR="00CB7C21">
        <w:t xml:space="preserve"> in de contacten met de Syrische overgangsautoriteiten</w:t>
      </w:r>
      <w:r w:rsidR="00E83097">
        <w:t>.</w:t>
      </w:r>
      <w:r w:rsidR="006E4D14">
        <w:rPr>
          <w:rStyle w:val="FootnoteReference"/>
        </w:rPr>
        <w:footnoteReference w:id="3"/>
      </w:r>
      <w:r w:rsidR="00802CBA">
        <w:t xml:space="preserve"> </w:t>
      </w:r>
    </w:p>
    <w:p w:rsidR="00477AB3" w:rsidP="00B2075F" w:rsidRDefault="00477AB3" w14:paraId="41AB165F" w14:textId="6F4CDAF6">
      <w:pPr>
        <w:spacing w:line="276" w:lineRule="auto"/>
      </w:pPr>
    </w:p>
    <w:p w:rsidR="00896C30" w:rsidP="0061731C" w:rsidRDefault="00802CBA" w14:paraId="626AECD2" w14:textId="006EC05A">
      <w:pPr>
        <w:spacing w:line="276" w:lineRule="auto"/>
      </w:pPr>
      <w:r>
        <w:t>Het kabinet benadrukt in deze contacten ook het belang van inclusieve besluitvorming en gelijke rechten, met nadrukkelijk aandacht voor de</w:t>
      </w:r>
      <w:r w:rsidRPr="00802CBA">
        <w:t xml:space="preserve"> </w:t>
      </w:r>
      <w:r w:rsidRPr="0032700C">
        <w:t xml:space="preserve">positie van vrouwen en </w:t>
      </w:r>
      <w:r>
        <w:t xml:space="preserve">het belang van </w:t>
      </w:r>
      <w:r w:rsidRPr="0032700C">
        <w:t>hun betekenisvolle participatie in politieke en maatschappelijke processen</w:t>
      </w:r>
      <w:r>
        <w:t>.</w:t>
      </w:r>
      <w:r w:rsidR="00896C30">
        <w:t xml:space="preserve"> </w:t>
      </w:r>
      <w:r w:rsidRPr="00896C30" w:rsidR="00AF3F94">
        <w:t xml:space="preserve">Via UN </w:t>
      </w:r>
      <w:proofErr w:type="spellStart"/>
      <w:r w:rsidRPr="00896C30" w:rsidR="00AF3F94">
        <w:t>Women</w:t>
      </w:r>
      <w:proofErr w:type="spellEnd"/>
      <w:r w:rsidRPr="00896C30" w:rsidR="00AF3F94">
        <w:t xml:space="preserve"> </w:t>
      </w:r>
      <w:r w:rsidR="00AF3F94">
        <w:t>draagt</w:t>
      </w:r>
      <w:r w:rsidRPr="00896C30" w:rsidR="00AF3F94">
        <w:t xml:space="preserve"> Nederland </w:t>
      </w:r>
      <w:r w:rsidR="00AF3F94">
        <w:t xml:space="preserve">bij </w:t>
      </w:r>
      <w:r w:rsidRPr="00896C30" w:rsidR="00AF3F94">
        <w:t xml:space="preserve">aan de deelname van Syrische vrouwen in vredes- en politieke processen. </w:t>
      </w:r>
      <w:r w:rsidRPr="00896C30" w:rsidR="00896C30">
        <w:t>Een voorbeeld</w:t>
      </w:r>
      <w:r w:rsidR="002B600D">
        <w:t xml:space="preserve"> daarvan</w:t>
      </w:r>
      <w:r w:rsidRPr="00896C30" w:rsidR="00896C30">
        <w:t xml:space="preserve"> is de </w:t>
      </w:r>
      <w:proofErr w:type="spellStart"/>
      <w:r w:rsidRPr="00A94A0B" w:rsidR="00896C30">
        <w:rPr>
          <w:i/>
          <w:iCs/>
        </w:rPr>
        <w:t>Syrian</w:t>
      </w:r>
      <w:proofErr w:type="spellEnd"/>
      <w:r w:rsidRPr="00A94A0B" w:rsidR="00896C30">
        <w:rPr>
          <w:i/>
          <w:iCs/>
        </w:rPr>
        <w:t xml:space="preserve"> </w:t>
      </w:r>
      <w:proofErr w:type="spellStart"/>
      <w:r w:rsidRPr="00A94A0B" w:rsidR="00896C30">
        <w:rPr>
          <w:i/>
          <w:iCs/>
        </w:rPr>
        <w:t>Women’s</w:t>
      </w:r>
      <w:proofErr w:type="spellEnd"/>
      <w:r w:rsidRPr="00A94A0B" w:rsidR="00896C30">
        <w:rPr>
          <w:i/>
          <w:iCs/>
        </w:rPr>
        <w:t xml:space="preserve"> </w:t>
      </w:r>
      <w:proofErr w:type="spellStart"/>
      <w:r w:rsidRPr="00A94A0B" w:rsidR="00896C30">
        <w:rPr>
          <w:i/>
          <w:iCs/>
        </w:rPr>
        <w:t>Advisory</w:t>
      </w:r>
      <w:proofErr w:type="spellEnd"/>
      <w:r w:rsidRPr="00A94A0B" w:rsidR="00896C30">
        <w:rPr>
          <w:i/>
          <w:iCs/>
        </w:rPr>
        <w:t xml:space="preserve"> Board</w:t>
      </w:r>
      <w:r w:rsidRPr="00896C30" w:rsidR="00896C30">
        <w:t>, die Syriërs in verschillende regio’s heeft geconsulteerd en op basis hiervan de VN Speciaal Gezant voor Syrië en andere internationale beleidsmakers adviseert ten behoeve van een inclusief politiek proces in Syrië.</w:t>
      </w:r>
      <w:r w:rsidR="00F8770B">
        <w:rPr>
          <w:rStyle w:val="FootnoteReference"/>
        </w:rPr>
        <w:footnoteReference w:id="4"/>
      </w:r>
    </w:p>
    <w:p w:rsidR="001F619E" w:rsidP="00B2075F" w:rsidRDefault="001F619E" w14:paraId="217840BF" w14:textId="531910E1">
      <w:pPr>
        <w:spacing w:line="276" w:lineRule="auto"/>
      </w:pPr>
    </w:p>
    <w:p w:rsidR="006E4D14" w:rsidP="00B2075F" w:rsidRDefault="006E4D14" w14:paraId="005197D3" w14:textId="1B7EE50A">
      <w:pPr>
        <w:spacing w:line="276" w:lineRule="auto"/>
      </w:pPr>
      <w:r>
        <w:t xml:space="preserve">In EU-verband </w:t>
      </w:r>
      <w:r w:rsidR="00025F73">
        <w:t>zet</w:t>
      </w:r>
      <w:r>
        <w:t xml:space="preserve"> het kabinet </w:t>
      </w:r>
      <w:r w:rsidR="005166C8">
        <w:t xml:space="preserve">zich </w:t>
      </w:r>
      <w:r w:rsidR="00025F73">
        <w:t>in</w:t>
      </w:r>
      <w:r>
        <w:t xml:space="preserve"> voor gerichte sancties bij mensenrechtenschendingen of </w:t>
      </w:r>
      <w:r w:rsidRPr="0032700C">
        <w:t>sektarisch geweld</w:t>
      </w:r>
      <w:r>
        <w:t xml:space="preserve">, zoals </w:t>
      </w:r>
      <w:r w:rsidR="00D25A1B">
        <w:t xml:space="preserve">ingesteld </w:t>
      </w:r>
      <w:r>
        <w:t>tegen betrokkenen bij het geweld in Latakia in maart 2025.</w:t>
      </w:r>
      <w:r w:rsidRPr="006E4D14">
        <w:t xml:space="preserve"> </w:t>
      </w:r>
      <w:r w:rsidR="00AF3F94">
        <w:t xml:space="preserve">Het kabinet blijft </w:t>
      </w:r>
      <w:r w:rsidRPr="0032700C" w:rsidR="00AF3F94">
        <w:t xml:space="preserve">de situatie </w:t>
      </w:r>
      <w:r w:rsidR="00AF3F94">
        <w:t xml:space="preserve">in Syrië </w:t>
      </w:r>
      <w:r w:rsidRPr="0032700C" w:rsidR="00AF3F94">
        <w:t xml:space="preserve">nauwlettend volgen en </w:t>
      </w:r>
      <w:r w:rsidR="00AF3F94">
        <w:t>zich in EU-verband inzetten voor gerichte sanctionering van individuen en entiteiten die zich schuldig maken aan mensenrechtenschendingen en sektarisch geweld.</w:t>
      </w:r>
    </w:p>
    <w:p w:rsidR="001F619E" w:rsidP="00B2075F" w:rsidRDefault="001F619E" w14:paraId="149CF60D" w14:textId="77777777">
      <w:pPr>
        <w:spacing w:line="276" w:lineRule="auto"/>
      </w:pPr>
    </w:p>
    <w:p w:rsidR="0081321A" w:rsidP="00B2075F" w:rsidRDefault="001F619E" w14:paraId="71FDE3A6" w14:textId="65BFB167">
      <w:pPr>
        <w:spacing w:line="276" w:lineRule="auto"/>
      </w:pPr>
      <w:r>
        <w:t xml:space="preserve">Om de </w:t>
      </w:r>
      <w:r w:rsidR="00DB3A79">
        <w:t>veiligheids- en mensenrechten</w:t>
      </w:r>
      <w:r>
        <w:t xml:space="preserve">situatie te monitoren en de Nederlandse inzet vorm te geven, </w:t>
      </w:r>
      <w:r w:rsidR="00072DED">
        <w:t xml:space="preserve">vinden </w:t>
      </w:r>
      <w:r w:rsidR="00B0312C">
        <w:t xml:space="preserve">ook </w:t>
      </w:r>
      <w:r w:rsidR="00072DED">
        <w:t xml:space="preserve">structureel </w:t>
      </w:r>
      <w:r>
        <w:t xml:space="preserve">gesprekken plaats met </w:t>
      </w:r>
      <w:r w:rsidR="00614B2E">
        <w:t xml:space="preserve">Syrische </w:t>
      </w:r>
      <w:r>
        <w:t>gemeenschappen en het maatschappelijk middenveld</w:t>
      </w:r>
      <w:r w:rsidR="004C381D">
        <w:t xml:space="preserve">, </w:t>
      </w:r>
      <w:r>
        <w:t>op zowel ambtelijk als politiek niveau. Zo sprak voormalig minister</w:t>
      </w:r>
      <w:r w:rsidR="005C4832">
        <w:t>-</w:t>
      </w:r>
      <w:r>
        <w:t xml:space="preserve">president Schoof op 5 februari 2026 met een afvaardiging van de </w:t>
      </w:r>
      <w:proofErr w:type="spellStart"/>
      <w:r w:rsidR="001D37B7">
        <w:t>d</w:t>
      </w:r>
      <w:r>
        <w:t>ruzen</w:t>
      </w:r>
      <w:proofErr w:type="spellEnd"/>
      <w:r>
        <w:t>-gemeenschap. Het huidige kabinet blijft deze contacten onderhouden om de rechten en veiligheid van alle etnische en religieuze gemeenschappen in Syrië te helpen waarborgen.</w:t>
      </w:r>
      <w:r w:rsidRPr="005F5FA1" w:rsidR="005F5FA1">
        <w:t xml:space="preserve"> Ook ondersteunt het kabinet, via het decentrale Mensenrechtenfonds en het nieuwe subsidie</w:t>
      </w:r>
      <w:r w:rsidR="005F5FA1">
        <w:t>beleidskader</w:t>
      </w:r>
      <w:r w:rsidRPr="005F5FA1" w:rsidR="005F5FA1">
        <w:t xml:space="preserve"> Focus (2026-2030), maatschappelijke organisaties die zich inzetten voor de bescherming van mensenrechten, waaronder op het gebied van vrijheid van religie en levensovertuiging</w:t>
      </w:r>
      <w:r w:rsidR="005F5FA1">
        <w:t xml:space="preserve"> en de bescherming van religieuze gemeenschappen in Syrië.</w:t>
      </w:r>
    </w:p>
    <w:bookmarkEnd w:id="1"/>
    <w:bookmarkEnd w:id="2"/>
    <w:p w:rsidR="00CB7C21" w:rsidP="00B2075F" w:rsidRDefault="00CB7C21" w14:paraId="363C3911" w14:textId="0783FB37">
      <w:pPr>
        <w:spacing w:line="276" w:lineRule="auto"/>
        <w:rPr>
          <w:b/>
          <w:bCs/>
        </w:rPr>
      </w:pPr>
    </w:p>
    <w:p w:rsidR="005F5FA1" w:rsidP="00B2075F" w:rsidRDefault="005F5FA1" w14:paraId="3C4848DC" w14:textId="77777777">
      <w:pPr>
        <w:spacing w:line="276" w:lineRule="auto"/>
        <w:rPr>
          <w:b/>
          <w:bCs/>
        </w:rPr>
      </w:pPr>
      <w:r>
        <w:rPr>
          <w:b/>
          <w:bCs/>
        </w:rPr>
        <w:br w:type="page"/>
      </w:r>
    </w:p>
    <w:p w:rsidRPr="00AC0808" w:rsidR="00072DED" w:rsidP="00B2075F" w:rsidRDefault="00917756" w14:paraId="01B15114" w14:textId="2EA99F12">
      <w:pPr>
        <w:spacing w:line="276" w:lineRule="auto"/>
        <w:rPr>
          <w:b/>
          <w:bCs/>
        </w:rPr>
      </w:pPr>
      <w:r>
        <w:rPr>
          <w:b/>
          <w:bCs/>
        </w:rPr>
        <w:lastRenderedPageBreak/>
        <w:t>Tegengaan van straffeloosheid</w:t>
      </w:r>
    </w:p>
    <w:p w:rsidR="00D974AD" w:rsidP="00B2075F" w:rsidRDefault="00A76135" w14:paraId="04A80E6B" w14:textId="477204DB">
      <w:pPr>
        <w:spacing w:line="276" w:lineRule="auto"/>
      </w:pPr>
      <w:r>
        <w:t>Waar oorlogsmisdrijven en mensenrechtenschendingen</w:t>
      </w:r>
      <w:r w:rsidR="00025F73">
        <w:t xml:space="preserve"> in Syri</w:t>
      </w:r>
      <w:r w:rsidRPr="00025F73" w:rsidR="00025F73">
        <w:t>ë</w:t>
      </w:r>
      <w:r>
        <w:t xml:space="preserve"> </w:t>
      </w:r>
      <w:r w:rsidR="003C547B">
        <w:t>hebben plaatsgevonden</w:t>
      </w:r>
      <w:r>
        <w:t>, veroordeelt het kabinet deze</w:t>
      </w:r>
      <w:r w:rsidR="006556E2">
        <w:t xml:space="preserve"> </w:t>
      </w:r>
      <w:r>
        <w:t xml:space="preserve">ondubbelzinnig, </w:t>
      </w:r>
      <w:r w:rsidRPr="00FE1ED5">
        <w:t>ongeacht de vermeende dader of het slachtoffe</w:t>
      </w:r>
      <w:r>
        <w:t>r.</w:t>
      </w:r>
      <w:r w:rsidR="00646EEB">
        <w:rPr>
          <w:rStyle w:val="FootnoteReference"/>
        </w:rPr>
        <w:footnoteReference w:id="5"/>
      </w:r>
      <w:r w:rsidR="006556E2">
        <w:t xml:space="preserve"> </w:t>
      </w:r>
      <w:r w:rsidRPr="00347CC9" w:rsidR="00347CC9">
        <w:t xml:space="preserve">Hierbij </w:t>
      </w:r>
      <w:r w:rsidR="00F44719">
        <w:t xml:space="preserve">is een zorgvuldige </w:t>
      </w:r>
      <w:r w:rsidRPr="00347CC9" w:rsidR="00347CC9">
        <w:t>vaststelling van feiten</w:t>
      </w:r>
      <w:r w:rsidR="00F44719">
        <w:t xml:space="preserve"> essentieel. Het kabinet hecht daarom groot belang aan onafhankelijke bewijsvergaring en monitoring om berechting mogelijk te maken</w:t>
      </w:r>
      <w:r w:rsidR="00B163E5">
        <w:t xml:space="preserve"> en zodoende straffeloosheid te voorkomen</w:t>
      </w:r>
      <w:r w:rsidR="00F44719">
        <w:t>.</w:t>
      </w:r>
      <w:r w:rsidR="00B163E5">
        <w:rPr>
          <w:rStyle w:val="FootnoteReference"/>
        </w:rPr>
        <w:footnoteReference w:id="6"/>
      </w:r>
      <w:r w:rsidR="00072DED">
        <w:t xml:space="preserve"> </w:t>
      </w:r>
    </w:p>
    <w:p w:rsidR="00072DED" w:rsidP="00B2075F" w:rsidRDefault="00072DED" w14:paraId="79C731C6" w14:textId="77777777">
      <w:pPr>
        <w:spacing w:line="276" w:lineRule="auto"/>
      </w:pPr>
    </w:p>
    <w:p w:rsidR="007C3D66" w:rsidP="00B2075F" w:rsidRDefault="00353039" w14:paraId="3CDA233F" w14:textId="45C21B68">
      <w:pPr>
        <w:spacing w:line="276" w:lineRule="auto"/>
      </w:pPr>
      <w:r>
        <w:t>Nederland</w:t>
      </w:r>
      <w:r w:rsidR="00FF6CEB">
        <w:t xml:space="preserve"> </w:t>
      </w:r>
      <w:r w:rsidR="00012173">
        <w:t xml:space="preserve">ondersteunt hierom actief </w:t>
      </w:r>
      <w:r w:rsidR="00791BA3">
        <w:t>(</w:t>
      </w:r>
      <w:proofErr w:type="spellStart"/>
      <w:r w:rsidR="00791BA3">
        <w:t>inter</w:t>
      </w:r>
      <w:proofErr w:type="spellEnd"/>
      <w:r w:rsidR="00791BA3">
        <w:t>)nationale</w:t>
      </w:r>
      <w:r w:rsidRPr="00FE1ED5" w:rsidR="00791BA3">
        <w:t xml:space="preserve"> inspanningen gericht op waarheidsvinding</w:t>
      </w:r>
      <w:r w:rsidR="00791BA3">
        <w:t xml:space="preserve"> en </w:t>
      </w:r>
      <w:proofErr w:type="spellStart"/>
      <w:r w:rsidR="00791BA3">
        <w:rPr>
          <w:i/>
          <w:iCs/>
        </w:rPr>
        <w:t>transitional</w:t>
      </w:r>
      <w:proofErr w:type="spellEnd"/>
      <w:r w:rsidR="00791BA3">
        <w:rPr>
          <w:i/>
          <w:iCs/>
        </w:rPr>
        <w:t xml:space="preserve"> </w:t>
      </w:r>
      <w:proofErr w:type="spellStart"/>
      <w:r w:rsidR="00791BA3">
        <w:rPr>
          <w:i/>
          <w:iCs/>
        </w:rPr>
        <w:t>justice</w:t>
      </w:r>
      <w:proofErr w:type="spellEnd"/>
      <w:r w:rsidR="001E60F7">
        <w:rPr>
          <w:i/>
          <w:iCs/>
        </w:rPr>
        <w:t xml:space="preserve"> </w:t>
      </w:r>
      <w:r w:rsidR="001E60F7">
        <w:t>in Syrië</w:t>
      </w:r>
      <w:r w:rsidR="00791BA3">
        <w:t>.</w:t>
      </w:r>
      <w:r w:rsidR="00646EEB">
        <w:rPr>
          <w:rStyle w:val="FootnoteReference"/>
        </w:rPr>
        <w:footnoteReference w:id="7"/>
      </w:r>
      <w:r w:rsidR="00AE5A02">
        <w:t xml:space="preserve"> </w:t>
      </w:r>
      <w:r w:rsidR="006B4F35">
        <w:t>Zoals</w:t>
      </w:r>
      <w:r w:rsidR="004B3DA7">
        <w:t xml:space="preserve"> ook</w:t>
      </w:r>
      <w:r w:rsidR="006B4F35">
        <w:t xml:space="preserve"> toegelicht in de Kamerbrief van 5 januari 2026 </w:t>
      </w:r>
      <w:r w:rsidR="00791BA3">
        <w:t>blijft</w:t>
      </w:r>
      <w:r w:rsidR="006B4F35">
        <w:t xml:space="preserve"> Nederland de VN-bewijzenbank voor Syrië (IIIM) zowel politiek als financieel </w:t>
      </w:r>
      <w:r w:rsidR="00791BA3">
        <w:t>steunen.</w:t>
      </w:r>
      <w:r w:rsidR="00D974AD">
        <w:rPr>
          <w:rStyle w:val="FootnoteReference"/>
        </w:rPr>
        <w:footnoteReference w:id="8"/>
      </w:r>
      <w:r w:rsidR="00791BA3">
        <w:t xml:space="preserve"> Voor 2024-2026 betreft dit </w:t>
      </w:r>
      <w:r w:rsidR="006B4F35">
        <w:t>een bedrag van EUR 1.000.00</w:t>
      </w:r>
      <w:r w:rsidR="00791BA3">
        <w:t>0</w:t>
      </w:r>
      <w:r w:rsidR="006B4F35">
        <w:t xml:space="preserve">. </w:t>
      </w:r>
      <w:r w:rsidR="00C3006E">
        <w:t>Het</w:t>
      </w:r>
      <w:r w:rsidR="00CE71F1">
        <w:t xml:space="preserve"> IIIM verzamelt en bewaart bewijsmateriaal over</w:t>
      </w:r>
      <w:r w:rsidRPr="00C9360A" w:rsidR="00CE71F1">
        <w:t xml:space="preserve"> mensenrechtenschendingen </w:t>
      </w:r>
      <w:r w:rsidR="00CE71F1">
        <w:t>en schendingen van het humanitair oorlogsrecht in Syrië ten behoeve van</w:t>
      </w:r>
      <w:r w:rsidRPr="00C9360A" w:rsidR="00CE71F1">
        <w:t xml:space="preserve"> </w:t>
      </w:r>
      <w:r w:rsidR="00CE71F1">
        <w:t>(</w:t>
      </w:r>
      <w:proofErr w:type="spellStart"/>
      <w:r w:rsidRPr="00C9360A" w:rsidR="00CE71F1">
        <w:t>inter</w:t>
      </w:r>
      <w:proofErr w:type="spellEnd"/>
      <w:r w:rsidR="00CE71F1">
        <w:t>)</w:t>
      </w:r>
      <w:r w:rsidRPr="00C9360A" w:rsidR="00CE71F1">
        <w:t>nationale procedure</w:t>
      </w:r>
      <w:r w:rsidR="00CE71F1">
        <w:t>s, en heeft al een belangrijke rol gespeeld bij de opsporing en vervolging van onder meer ISIS-strijders.</w:t>
      </w:r>
      <w:r w:rsidR="00F50C5D">
        <w:t xml:space="preserve"> </w:t>
      </w:r>
    </w:p>
    <w:p w:rsidR="00250AD0" w:rsidP="00B2075F" w:rsidRDefault="00250AD0" w14:paraId="274A0454" w14:textId="77777777">
      <w:pPr>
        <w:spacing w:line="276" w:lineRule="auto"/>
      </w:pPr>
    </w:p>
    <w:p w:rsidR="00250AD0" w:rsidP="00B2075F" w:rsidRDefault="00602A20" w14:paraId="5FE7E71F" w14:textId="64FC1A9A">
      <w:pPr>
        <w:spacing w:line="276" w:lineRule="auto"/>
      </w:pPr>
      <w:r>
        <w:t>Nederland ondersteunt</w:t>
      </w:r>
      <w:r w:rsidR="00250AD0">
        <w:t xml:space="preserve"> ook het landenkantoor van het </w:t>
      </w:r>
      <w:r w:rsidRPr="00250AD0" w:rsidR="00250AD0">
        <w:t xml:space="preserve">Bureau van de </w:t>
      </w:r>
      <w:r w:rsidR="00E45AE8">
        <w:t xml:space="preserve">VN </w:t>
      </w:r>
      <w:r w:rsidRPr="00250AD0" w:rsidR="00250AD0">
        <w:t>Hoge Commissaris voor de Mensenrechten</w:t>
      </w:r>
      <w:r w:rsidR="00250AD0">
        <w:t xml:space="preserve"> (OHCHR) in Damascus. Voor 2026 en 2027 betreft de</w:t>
      </w:r>
      <w:r w:rsidR="0050239F">
        <w:t>ze</w:t>
      </w:r>
      <w:r w:rsidR="00250AD0">
        <w:t xml:space="preserve"> steun EUR 2.500.000. OHCHR</w:t>
      </w:r>
      <w:r w:rsidR="005062F4">
        <w:t xml:space="preserve"> onderzoekt </w:t>
      </w:r>
      <w:r w:rsidR="000F3524">
        <w:t>mensenrechtenschendingen</w:t>
      </w:r>
      <w:r w:rsidR="0046236B">
        <w:t xml:space="preserve">, </w:t>
      </w:r>
      <w:r w:rsidR="00227315">
        <w:t>rapporteert over de</w:t>
      </w:r>
      <w:r w:rsidR="005062F4">
        <w:t xml:space="preserve"> </w:t>
      </w:r>
      <w:r w:rsidR="00BC0A7B">
        <w:t xml:space="preserve">huidige </w:t>
      </w:r>
      <w:r w:rsidR="005062F4">
        <w:t>mensenrechtensituatie in Syrië</w:t>
      </w:r>
      <w:r w:rsidR="0046236B">
        <w:t xml:space="preserve"> </w:t>
      </w:r>
      <w:r w:rsidR="005062F4">
        <w:t xml:space="preserve">en </w:t>
      </w:r>
      <w:r w:rsidR="00250AD0">
        <w:t xml:space="preserve">biedt ondersteuning aan maatschappelijke organisaties voor inclusieve verzoeningsprocessen. </w:t>
      </w:r>
      <w:r w:rsidR="005062F4">
        <w:t>OHCHR</w:t>
      </w:r>
      <w:r w:rsidR="00250AD0">
        <w:t xml:space="preserve"> deelt </w:t>
      </w:r>
      <w:r w:rsidR="005062F4">
        <w:t xml:space="preserve">ook </w:t>
      </w:r>
      <w:r w:rsidR="00250AD0">
        <w:t>juridische expertise om</w:t>
      </w:r>
      <w:r w:rsidR="000F3524">
        <w:t xml:space="preserve"> lokale</w:t>
      </w:r>
      <w:r w:rsidR="00250AD0">
        <w:t xml:space="preserve"> kennis en capaciteit op te bouwen </w:t>
      </w:r>
      <w:r w:rsidR="00A4067B">
        <w:t>en zo</w:t>
      </w:r>
      <w:r w:rsidR="00B4293C">
        <w:t xml:space="preserve"> </w:t>
      </w:r>
      <w:r w:rsidR="00250AD0">
        <w:t>transparante en rechtvaardige juridische proce</w:t>
      </w:r>
      <w:r w:rsidR="00E45AE8">
        <w:t>ssen in Syrië mogelijk te maken</w:t>
      </w:r>
      <w:r w:rsidR="00B4293C">
        <w:t>.</w:t>
      </w:r>
    </w:p>
    <w:p w:rsidR="001E60F7" w:rsidP="00B2075F" w:rsidRDefault="001E60F7" w14:paraId="25214B62" w14:textId="77777777">
      <w:pPr>
        <w:spacing w:line="276" w:lineRule="auto"/>
      </w:pPr>
    </w:p>
    <w:p w:rsidR="001E60F7" w:rsidP="00B2075F" w:rsidRDefault="001E60F7" w14:paraId="4E480933" w14:textId="129B362E">
      <w:pPr>
        <w:spacing w:line="276" w:lineRule="auto"/>
      </w:pPr>
      <w:r>
        <w:t xml:space="preserve">In de VN </w:t>
      </w:r>
      <w:r w:rsidRPr="00C9360A">
        <w:t>Mensenrechtenraad</w:t>
      </w:r>
      <w:r>
        <w:t xml:space="preserve"> zet Nederland zich</w:t>
      </w:r>
      <w:r w:rsidRPr="00C9360A">
        <w:t xml:space="preserve"> in voor </w:t>
      </w:r>
      <w:r>
        <w:t xml:space="preserve">verlenging van het mandaat van de </w:t>
      </w:r>
      <w:r w:rsidRPr="007C3D66">
        <w:rPr>
          <w:i/>
          <w:iCs/>
        </w:rPr>
        <w:t xml:space="preserve">Independent International </w:t>
      </w:r>
      <w:proofErr w:type="spellStart"/>
      <w:r w:rsidRPr="007C3D66">
        <w:rPr>
          <w:i/>
          <w:iCs/>
        </w:rPr>
        <w:t>Commission</w:t>
      </w:r>
      <w:proofErr w:type="spellEnd"/>
      <w:r w:rsidRPr="007C3D66">
        <w:rPr>
          <w:i/>
          <w:iCs/>
        </w:rPr>
        <w:t xml:space="preserve"> of </w:t>
      </w:r>
      <w:proofErr w:type="spellStart"/>
      <w:r w:rsidRPr="007C3D66">
        <w:rPr>
          <w:i/>
          <w:iCs/>
        </w:rPr>
        <w:t>Inquiry</w:t>
      </w:r>
      <w:proofErr w:type="spellEnd"/>
      <w:r>
        <w:rPr>
          <w:i/>
          <w:iCs/>
        </w:rPr>
        <w:t xml:space="preserve"> (</w:t>
      </w:r>
      <w:proofErr w:type="spellStart"/>
      <w:r>
        <w:rPr>
          <w:i/>
          <w:iCs/>
        </w:rPr>
        <w:t>CoI</w:t>
      </w:r>
      <w:proofErr w:type="spellEnd"/>
      <w:r>
        <w:rPr>
          <w:i/>
          <w:iCs/>
        </w:rPr>
        <w:t>)</w:t>
      </w:r>
      <w:r w:rsidRPr="00C9360A">
        <w:t xml:space="preserve">, </w:t>
      </w:r>
      <w:r>
        <w:t>die</w:t>
      </w:r>
      <w:r w:rsidRPr="00C9360A">
        <w:t xml:space="preserve"> onderzoek doet naar mensenrechtenschendingen in Syrië</w:t>
      </w:r>
      <w:r>
        <w:t xml:space="preserve">. Eerder heeft de </w:t>
      </w:r>
      <w:proofErr w:type="spellStart"/>
      <w:r>
        <w:t>CoI</w:t>
      </w:r>
      <w:proofErr w:type="spellEnd"/>
      <w:r>
        <w:t xml:space="preserve"> onderzoek gedaan naar de gewelddadigheden in Latakia in maart 2025. </w:t>
      </w:r>
      <w:r w:rsidR="0094198C">
        <w:t xml:space="preserve">Op korte termijn wordt het </w:t>
      </w:r>
      <w:proofErr w:type="spellStart"/>
      <w:r w:rsidR="00275AE2">
        <w:t>CoI</w:t>
      </w:r>
      <w:proofErr w:type="spellEnd"/>
      <w:r w:rsidR="00275AE2">
        <w:t>-</w:t>
      </w:r>
      <w:r w:rsidR="0094198C">
        <w:t xml:space="preserve">onderzoek naar het geweld in </w:t>
      </w:r>
      <w:proofErr w:type="spellStart"/>
      <w:r w:rsidR="0094198C">
        <w:t>Sweida</w:t>
      </w:r>
      <w:proofErr w:type="spellEnd"/>
      <w:r w:rsidR="0094198C">
        <w:t xml:space="preserve"> van afgelopen juli </w:t>
      </w:r>
      <w:r w:rsidR="00275AE2">
        <w:t>verwacht</w:t>
      </w:r>
      <w:r w:rsidR="0094198C">
        <w:t xml:space="preserve">. </w:t>
      </w:r>
    </w:p>
    <w:p w:rsidR="007C3D66" w:rsidP="00B2075F" w:rsidRDefault="007C3D66" w14:paraId="03E6FE98" w14:textId="77777777">
      <w:pPr>
        <w:spacing w:line="276" w:lineRule="auto"/>
      </w:pPr>
    </w:p>
    <w:p w:rsidR="00E15158" w:rsidP="00B2075F" w:rsidRDefault="00791BA3" w14:paraId="747132B7" w14:textId="1F61F07C">
      <w:pPr>
        <w:spacing w:line="276" w:lineRule="auto"/>
      </w:pPr>
      <w:r>
        <w:t xml:space="preserve">Nederland en Canada zetten </w:t>
      </w:r>
      <w:r w:rsidR="007C3D66">
        <w:t>bovendien</w:t>
      </w:r>
      <w:r>
        <w:t xml:space="preserve"> de aanklacht tegen Syrië </w:t>
      </w:r>
      <w:r w:rsidR="00931A40">
        <w:t xml:space="preserve">voort </w:t>
      </w:r>
      <w:r>
        <w:t>voor het overtreden van het VN Antifolterverdrag bij het Internationaal Gerechtshof in Den Haag</w:t>
      </w:r>
      <w:r w:rsidR="007C3D66">
        <w:t>, zodat naleving van het verdrag en gerechtigheid voor de slachtoffers</w:t>
      </w:r>
      <w:r w:rsidR="00931A40">
        <w:t xml:space="preserve"> van het Assad-regime</w:t>
      </w:r>
      <w:r w:rsidR="007C3D66">
        <w:t xml:space="preserve"> gerealiseerd </w:t>
      </w:r>
      <w:r w:rsidR="00BB2D6D">
        <w:t>kunnen</w:t>
      </w:r>
      <w:r w:rsidR="007C3D66">
        <w:t xml:space="preserve"> worden.</w:t>
      </w:r>
      <w:r w:rsidRPr="007C3D66" w:rsidR="007C3D66">
        <w:t xml:space="preserve"> </w:t>
      </w:r>
    </w:p>
    <w:p w:rsidR="00E15158" w:rsidP="00B2075F" w:rsidRDefault="00E15158" w14:paraId="4CAF2C08" w14:textId="77777777">
      <w:pPr>
        <w:spacing w:line="276" w:lineRule="auto"/>
      </w:pPr>
    </w:p>
    <w:p w:rsidR="00C717E3" w:rsidP="00B2075F" w:rsidRDefault="00917756" w14:paraId="4CDFF539" w14:textId="22BEBF52">
      <w:pPr>
        <w:spacing w:line="276" w:lineRule="auto"/>
        <w:rPr>
          <w:b/>
          <w:bCs/>
        </w:rPr>
      </w:pPr>
      <w:r w:rsidRPr="00A70FFC">
        <w:rPr>
          <w:b/>
          <w:bCs/>
        </w:rPr>
        <w:t xml:space="preserve">Nederlandse steun </w:t>
      </w:r>
      <w:r>
        <w:rPr>
          <w:b/>
          <w:bCs/>
        </w:rPr>
        <w:t>aan</w:t>
      </w:r>
      <w:r w:rsidRPr="00A70FFC">
        <w:rPr>
          <w:b/>
          <w:bCs/>
        </w:rPr>
        <w:t xml:space="preserve"> </w:t>
      </w:r>
      <w:r w:rsidR="00E144CD">
        <w:rPr>
          <w:b/>
          <w:bCs/>
        </w:rPr>
        <w:t xml:space="preserve">initiatieven op </w:t>
      </w:r>
      <w:r w:rsidRPr="00A70FFC">
        <w:rPr>
          <w:b/>
          <w:bCs/>
        </w:rPr>
        <w:t>capaciteitsopbouw</w:t>
      </w:r>
      <w:r>
        <w:rPr>
          <w:b/>
          <w:bCs/>
        </w:rPr>
        <w:t xml:space="preserve"> voor </w:t>
      </w:r>
      <w:r w:rsidRPr="006630DB">
        <w:rPr>
          <w:b/>
          <w:bCs/>
          <w:i/>
          <w:iCs/>
        </w:rPr>
        <w:t>accountability</w:t>
      </w:r>
      <w:r>
        <w:rPr>
          <w:b/>
          <w:bCs/>
        </w:rPr>
        <w:t xml:space="preserve"> en </w:t>
      </w:r>
      <w:proofErr w:type="spellStart"/>
      <w:r w:rsidRPr="006630DB">
        <w:rPr>
          <w:b/>
          <w:bCs/>
          <w:i/>
          <w:iCs/>
        </w:rPr>
        <w:t>transitional</w:t>
      </w:r>
      <w:proofErr w:type="spellEnd"/>
      <w:r w:rsidRPr="006630DB">
        <w:rPr>
          <w:b/>
          <w:bCs/>
          <w:i/>
          <w:iCs/>
        </w:rPr>
        <w:t xml:space="preserve"> </w:t>
      </w:r>
      <w:proofErr w:type="spellStart"/>
      <w:r w:rsidRPr="006630DB">
        <w:rPr>
          <w:b/>
          <w:bCs/>
          <w:i/>
          <w:iCs/>
        </w:rPr>
        <w:t>justice</w:t>
      </w:r>
      <w:proofErr w:type="spellEnd"/>
    </w:p>
    <w:p w:rsidR="00275AE2" w:rsidP="00B2075F" w:rsidRDefault="006556E2" w14:paraId="5C61B60D" w14:textId="6DCD010E">
      <w:pPr>
        <w:spacing w:line="276" w:lineRule="auto"/>
      </w:pPr>
      <w:r>
        <w:t xml:space="preserve">Om mensenrechtenschendingen – zowel uit het verleden als uit de recente periode na de val van het Assad-regime – effectief </w:t>
      </w:r>
      <w:r w:rsidR="0094198C">
        <w:t>aan te pakken</w:t>
      </w:r>
      <w:r>
        <w:t xml:space="preserve">, is het </w:t>
      </w:r>
      <w:r w:rsidR="00AC0808">
        <w:t xml:space="preserve">ook </w:t>
      </w:r>
      <w:r>
        <w:t xml:space="preserve">van belang dat Syrische instellingen en maatschappelijke organisaties over voldoende kennis en capaciteit beschikken. </w:t>
      </w:r>
      <w:r w:rsidR="004E7816">
        <w:t xml:space="preserve">Gezien de schaal waarop schendingen, waaronder willekeurige detentie, marteling en gedwongen verdwijningen, hebben </w:t>
      </w:r>
      <w:r w:rsidR="004E7816">
        <w:lastRenderedPageBreak/>
        <w:t xml:space="preserve">plaatsgevonden, is de opgave op dit terrein groot. Volgens internationale organisaties worden nog altijd meer dan 130.000 mensen </w:t>
      </w:r>
      <w:r w:rsidR="00275AE2">
        <w:t xml:space="preserve">in Syrië </w:t>
      </w:r>
      <w:r w:rsidR="004E7816">
        <w:t xml:space="preserve">vermist. </w:t>
      </w:r>
      <w:r w:rsidRPr="004E7816" w:rsidR="004E7816">
        <w:t>Voor waarheidsvinding, gerechtigheid en erkenning van slachtoffers en hun families is het van groot belang dat deze schendingen zorgvuldig worden gedocumenteerd en waar mogelijk onderzocht.</w:t>
      </w:r>
    </w:p>
    <w:p w:rsidR="00275AE2" w:rsidP="00B2075F" w:rsidRDefault="00275AE2" w14:paraId="7C646EF8" w14:textId="77777777">
      <w:pPr>
        <w:spacing w:line="276" w:lineRule="auto"/>
      </w:pPr>
    </w:p>
    <w:p w:rsidR="009F1314" w:rsidP="00B2075F" w:rsidRDefault="006556E2" w14:paraId="2A4C13CA" w14:textId="5A811AEE">
      <w:pPr>
        <w:spacing w:line="276" w:lineRule="auto"/>
      </w:pPr>
      <w:r>
        <w:t xml:space="preserve">Het kabinet ondersteunt daarom initiatieven die bijdragen aan capaciteitsopbouw op het gebied van </w:t>
      </w:r>
      <w:r w:rsidRPr="00AC0808">
        <w:rPr>
          <w:i/>
          <w:iCs/>
        </w:rPr>
        <w:t>accountability</w:t>
      </w:r>
      <w:r>
        <w:t xml:space="preserve"> en </w:t>
      </w:r>
      <w:proofErr w:type="spellStart"/>
      <w:r w:rsidRPr="00AC0808">
        <w:rPr>
          <w:i/>
          <w:iCs/>
        </w:rPr>
        <w:t>transitional</w:t>
      </w:r>
      <w:proofErr w:type="spellEnd"/>
      <w:r w:rsidRPr="00AC0808">
        <w:rPr>
          <w:i/>
          <w:iCs/>
        </w:rPr>
        <w:t xml:space="preserve"> </w:t>
      </w:r>
      <w:proofErr w:type="spellStart"/>
      <w:r w:rsidRPr="00AC0808">
        <w:rPr>
          <w:i/>
          <w:iCs/>
        </w:rPr>
        <w:t>justice</w:t>
      </w:r>
      <w:proofErr w:type="spellEnd"/>
      <w:r>
        <w:t xml:space="preserve">. </w:t>
      </w:r>
      <w:r w:rsidR="00703A50">
        <w:t xml:space="preserve">In aanvulling op het werk van </w:t>
      </w:r>
      <w:r w:rsidR="00CD1FE5">
        <w:t xml:space="preserve">de bovengenoemde </w:t>
      </w:r>
      <w:r w:rsidR="00703A50">
        <w:t xml:space="preserve">VN-organisaties steunt Nederland hierom de </w:t>
      </w:r>
      <w:r w:rsidRPr="00FB22CC" w:rsidR="00703A50">
        <w:t xml:space="preserve">internationale </w:t>
      </w:r>
      <w:r w:rsidRPr="00AC5D01" w:rsidR="00703A50">
        <w:t>ngo’s</w:t>
      </w:r>
      <w:r w:rsidRPr="00AC5D01" w:rsidR="00703A50">
        <w:rPr>
          <w:i/>
          <w:iCs/>
        </w:rPr>
        <w:t xml:space="preserve"> International Center </w:t>
      </w:r>
      <w:proofErr w:type="spellStart"/>
      <w:r w:rsidRPr="00AC5D01" w:rsidR="00703A50">
        <w:rPr>
          <w:i/>
          <w:iCs/>
        </w:rPr>
        <w:t>for</w:t>
      </w:r>
      <w:proofErr w:type="spellEnd"/>
      <w:r w:rsidRPr="00AC5D01" w:rsidR="00703A50">
        <w:rPr>
          <w:i/>
          <w:iCs/>
        </w:rPr>
        <w:t xml:space="preserve"> </w:t>
      </w:r>
      <w:proofErr w:type="spellStart"/>
      <w:r w:rsidRPr="00AC5D01" w:rsidR="00703A50">
        <w:rPr>
          <w:i/>
          <w:iCs/>
        </w:rPr>
        <w:t>Transitional</w:t>
      </w:r>
      <w:proofErr w:type="spellEnd"/>
      <w:r w:rsidRPr="00AC5D01" w:rsidR="00703A50">
        <w:rPr>
          <w:i/>
          <w:iCs/>
        </w:rPr>
        <w:t xml:space="preserve"> </w:t>
      </w:r>
      <w:proofErr w:type="spellStart"/>
      <w:r w:rsidRPr="00AC5D01" w:rsidR="00703A50">
        <w:rPr>
          <w:i/>
          <w:iCs/>
        </w:rPr>
        <w:t>Justice</w:t>
      </w:r>
      <w:proofErr w:type="spellEnd"/>
      <w:r w:rsidRPr="00AC5D01" w:rsidR="00703A50">
        <w:rPr>
          <w:i/>
          <w:iCs/>
        </w:rPr>
        <w:t xml:space="preserve"> </w:t>
      </w:r>
      <w:r w:rsidRPr="00AC5D01" w:rsidR="00703A50">
        <w:t>(ICTJ)</w:t>
      </w:r>
      <w:r w:rsidRPr="00AC5D01" w:rsidR="00703A50">
        <w:rPr>
          <w:i/>
          <w:iCs/>
        </w:rPr>
        <w:t xml:space="preserve"> </w:t>
      </w:r>
      <w:r w:rsidRPr="00AC5D01" w:rsidR="00703A50">
        <w:t>en</w:t>
      </w:r>
      <w:r w:rsidRPr="00AC5D01" w:rsidR="00703A50">
        <w:rPr>
          <w:i/>
          <w:iCs/>
        </w:rPr>
        <w:t xml:space="preserve"> </w:t>
      </w:r>
      <w:proofErr w:type="spellStart"/>
      <w:r w:rsidRPr="00AC5D01" w:rsidR="00703A50">
        <w:rPr>
          <w:i/>
          <w:iCs/>
        </w:rPr>
        <w:t>Impunity</w:t>
      </w:r>
      <w:proofErr w:type="spellEnd"/>
      <w:r w:rsidRPr="00AC5D01" w:rsidR="00703A50">
        <w:rPr>
          <w:i/>
          <w:iCs/>
        </w:rPr>
        <w:t xml:space="preserve"> Watch. </w:t>
      </w:r>
      <w:r w:rsidR="007C1051">
        <w:t xml:space="preserve">Beide </w:t>
      </w:r>
      <w:r w:rsidR="00F71646">
        <w:t>n</w:t>
      </w:r>
      <w:r w:rsidR="007C1051">
        <w:t>go’s ondersteunen</w:t>
      </w:r>
      <w:r w:rsidRPr="00FB22CC" w:rsidR="007C1051">
        <w:t xml:space="preserve"> Syrische maatschappelijke organisaties bij het documenteren van mensenrechtenschendingen,</w:t>
      </w:r>
      <w:r w:rsidR="00AC0808">
        <w:t xml:space="preserve"> het bijdragen aan (</w:t>
      </w:r>
      <w:proofErr w:type="spellStart"/>
      <w:r w:rsidR="00AC0808">
        <w:t>inter</w:t>
      </w:r>
      <w:proofErr w:type="spellEnd"/>
      <w:r w:rsidR="00AC0808">
        <w:t xml:space="preserve">)nationale onderzoeken en </w:t>
      </w:r>
      <w:r w:rsidR="009F1314">
        <w:t xml:space="preserve">het bijstaan van gemeenschappen, slachtoffers en families van vermisten </w:t>
      </w:r>
      <w:r w:rsidR="00BA7EED">
        <w:t xml:space="preserve">en </w:t>
      </w:r>
      <w:r w:rsidR="007E4668">
        <w:t>mensenrechtenschendingen</w:t>
      </w:r>
      <w:r w:rsidR="009F1314">
        <w:t>. ICT</w:t>
      </w:r>
      <w:r w:rsidR="005D0FF9">
        <w:t>J</w:t>
      </w:r>
      <w:r w:rsidR="009F1314">
        <w:t xml:space="preserve"> en </w:t>
      </w:r>
      <w:proofErr w:type="spellStart"/>
      <w:r w:rsidRPr="00A57CF5" w:rsidR="009F1314">
        <w:rPr>
          <w:i/>
          <w:iCs/>
        </w:rPr>
        <w:t>Impunity</w:t>
      </w:r>
      <w:proofErr w:type="spellEnd"/>
      <w:r w:rsidRPr="00A57CF5" w:rsidR="009F1314">
        <w:rPr>
          <w:i/>
          <w:iCs/>
        </w:rPr>
        <w:t xml:space="preserve"> Watch</w:t>
      </w:r>
      <w:r w:rsidR="009F1314">
        <w:t xml:space="preserve"> bieden ook</w:t>
      </w:r>
      <w:r w:rsidRPr="00FB22CC" w:rsidR="007C1051">
        <w:t xml:space="preserve"> technisch</w:t>
      </w:r>
      <w:r w:rsidR="00F71646">
        <w:t>-</w:t>
      </w:r>
      <w:r w:rsidRPr="00FB22CC" w:rsidR="007C1051">
        <w:t xml:space="preserve"> en beleidsmatig advies aan de Nationale Syrische Commissie</w:t>
      </w:r>
      <w:r w:rsidR="007C1051">
        <w:t>s</w:t>
      </w:r>
      <w:r w:rsidRPr="00FB22CC" w:rsidR="007C1051">
        <w:t xml:space="preserve"> voor </w:t>
      </w:r>
      <w:proofErr w:type="spellStart"/>
      <w:r w:rsidRPr="00502809" w:rsidR="007C1051">
        <w:rPr>
          <w:i/>
          <w:iCs/>
        </w:rPr>
        <w:t>Transitional</w:t>
      </w:r>
      <w:proofErr w:type="spellEnd"/>
      <w:r w:rsidRPr="00502809" w:rsidR="007C1051">
        <w:rPr>
          <w:i/>
          <w:iCs/>
        </w:rPr>
        <w:t xml:space="preserve"> </w:t>
      </w:r>
      <w:proofErr w:type="spellStart"/>
      <w:r w:rsidRPr="00502809" w:rsidR="007C1051">
        <w:rPr>
          <w:i/>
          <w:iCs/>
        </w:rPr>
        <w:t>Justice</w:t>
      </w:r>
      <w:proofErr w:type="spellEnd"/>
      <w:r w:rsidRPr="00FB22CC" w:rsidR="007C1051">
        <w:t xml:space="preserve"> </w:t>
      </w:r>
      <w:r w:rsidR="007C1051">
        <w:t>en voor</w:t>
      </w:r>
      <w:r w:rsidRPr="00FB22CC" w:rsidR="007C1051">
        <w:t xml:space="preserve"> </w:t>
      </w:r>
      <w:r w:rsidRPr="00502809" w:rsidR="007C1051">
        <w:rPr>
          <w:i/>
          <w:iCs/>
        </w:rPr>
        <w:t>Missing Persons</w:t>
      </w:r>
      <w:r w:rsidR="009F1314">
        <w:t>.</w:t>
      </w:r>
    </w:p>
    <w:p w:rsidRPr="00FB22CC" w:rsidR="00A32A04" w:rsidP="00B2075F" w:rsidRDefault="00A32A04" w14:paraId="56B74CC3" w14:textId="77777777">
      <w:pPr>
        <w:spacing w:line="276" w:lineRule="auto"/>
      </w:pPr>
    </w:p>
    <w:p w:rsidR="00A7741D" w:rsidP="00B2075F" w:rsidRDefault="00275AE2" w14:paraId="458ED53E" w14:textId="6E835C4B">
      <w:pPr>
        <w:spacing w:line="276" w:lineRule="auto"/>
      </w:pPr>
      <w:r>
        <w:t xml:space="preserve">Op uitnodiging van het </w:t>
      </w:r>
      <w:r w:rsidR="00783CE4">
        <w:t>m</w:t>
      </w:r>
      <w:r>
        <w:t>inisterie van Buitenlandse Zaken, bezocht d</w:t>
      </w:r>
      <w:r w:rsidR="00A32A04">
        <w:t xml:space="preserve">e </w:t>
      </w:r>
      <w:r>
        <w:t xml:space="preserve">Syrische </w:t>
      </w:r>
      <w:r w:rsidRPr="00FB22CC" w:rsidR="00A32A04">
        <w:t xml:space="preserve">Nationale Syrische Commissie voor </w:t>
      </w:r>
      <w:proofErr w:type="spellStart"/>
      <w:r w:rsidRPr="00AC5D01" w:rsidR="00A32A04">
        <w:rPr>
          <w:i/>
          <w:iCs/>
        </w:rPr>
        <w:t>Transitional</w:t>
      </w:r>
      <w:proofErr w:type="spellEnd"/>
      <w:r w:rsidRPr="00AC5D01" w:rsidR="00A32A04">
        <w:rPr>
          <w:i/>
          <w:iCs/>
        </w:rPr>
        <w:t xml:space="preserve"> </w:t>
      </w:r>
      <w:proofErr w:type="spellStart"/>
      <w:r w:rsidRPr="00AC5D01" w:rsidR="00A32A04">
        <w:rPr>
          <w:i/>
          <w:iCs/>
        </w:rPr>
        <w:t>Justice</w:t>
      </w:r>
      <w:proofErr w:type="spellEnd"/>
      <w:r w:rsidRPr="00FB22CC" w:rsidR="00A32A04">
        <w:t xml:space="preserve"> </w:t>
      </w:r>
      <w:r w:rsidR="00A32A04">
        <w:t>in de week van 9 tot 1</w:t>
      </w:r>
      <w:r w:rsidR="00E54055">
        <w:t>4</w:t>
      </w:r>
      <w:r w:rsidR="00A32A04">
        <w:t xml:space="preserve"> februari 2026 Nederland</w:t>
      </w:r>
      <w:r w:rsidR="009F1314">
        <w:t xml:space="preserve">. </w:t>
      </w:r>
      <w:r>
        <w:t xml:space="preserve">Doel van het bezoek was om kennis uit te wisselen met Nederlandse en internationale partners, de Commissie te introduceren bij relevante instellingen en mogelijkheden voor samenwerking te verkennen. In dat kader vonden gesprekken plaats met </w:t>
      </w:r>
      <w:r w:rsidR="00A32A04">
        <w:t xml:space="preserve">Nederlandse ministeries, het Nederlands Forensisch Instituut, het Internationaal Gerechtshof, het Internationaal Strafhof, OPCW, </w:t>
      </w:r>
      <w:proofErr w:type="spellStart"/>
      <w:r w:rsidR="00A32A04">
        <w:t>Eurojust</w:t>
      </w:r>
      <w:proofErr w:type="spellEnd"/>
      <w:r w:rsidR="00AC0808">
        <w:t xml:space="preserve"> en</w:t>
      </w:r>
      <w:r w:rsidR="00A32A04">
        <w:t xml:space="preserve"> internationale ngo’s op het gebied van vredesopbouw en </w:t>
      </w:r>
      <w:proofErr w:type="spellStart"/>
      <w:r w:rsidRPr="00A66709" w:rsidR="00A32A04">
        <w:rPr>
          <w:i/>
          <w:iCs/>
        </w:rPr>
        <w:t>transitional</w:t>
      </w:r>
      <w:proofErr w:type="spellEnd"/>
      <w:r w:rsidRPr="00A66709" w:rsidR="00A32A04">
        <w:rPr>
          <w:i/>
          <w:iCs/>
        </w:rPr>
        <w:t xml:space="preserve"> </w:t>
      </w:r>
      <w:proofErr w:type="spellStart"/>
      <w:r w:rsidRPr="00A66709" w:rsidR="00A32A04">
        <w:rPr>
          <w:i/>
          <w:iCs/>
        </w:rPr>
        <w:t>justice</w:t>
      </w:r>
      <w:proofErr w:type="spellEnd"/>
      <w:r w:rsidR="00A32A04">
        <w:t>.</w:t>
      </w:r>
      <w:r w:rsidR="009F1314">
        <w:t xml:space="preserve"> </w:t>
      </w:r>
      <w:r w:rsidRPr="00637DBC" w:rsidR="00637DBC">
        <w:t>Door dit bezoek te faciliteren investeert Nederland in de institutionele en technische versterking van de Commissie, zodat zij haar mandaat op het gebied van waarheidsvinding, bewijsvergaring, verantwoording en herstel effectiever kan uitvoeren</w:t>
      </w:r>
      <w:r w:rsidR="00637DBC">
        <w:t>, in het belang van alle gemeenschappen in Syrië.</w:t>
      </w:r>
    </w:p>
    <w:p w:rsidR="00637DBC" w:rsidP="00B2075F" w:rsidRDefault="00637DBC" w14:paraId="7105D9D8" w14:textId="77777777">
      <w:pPr>
        <w:spacing w:line="276" w:lineRule="auto"/>
      </w:pPr>
    </w:p>
    <w:p w:rsidR="00783F00" w:rsidP="00B2075F" w:rsidRDefault="00AC0808" w14:paraId="43E4E99C" w14:textId="7B95045C">
      <w:pPr>
        <w:spacing w:line="276" w:lineRule="auto"/>
      </w:pPr>
      <w:r>
        <w:t>Het</w:t>
      </w:r>
      <w:r w:rsidR="00783F00">
        <w:t xml:space="preserve"> kabinet</w:t>
      </w:r>
      <w:r>
        <w:t xml:space="preserve"> zet</w:t>
      </w:r>
      <w:r w:rsidR="00783F00">
        <w:t xml:space="preserve"> samen met NUFFIC</w:t>
      </w:r>
      <w:r w:rsidR="00275AE2">
        <w:t>, de Nederlandse organisatie voor internationalisering in onderwijs,</w:t>
      </w:r>
      <w:r w:rsidR="00783F00">
        <w:t xml:space="preserve"> </w:t>
      </w:r>
      <w:r>
        <w:t xml:space="preserve">tevens </w:t>
      </w:r>
      <w:r w:rsidR="00783F00">
        <w:t xml:space="preserve">een trainingsprogramma op in </w:t>
      </w:r>
      <w:r w:rsidRPr="00783F00" w:rsidR="00783F00">
        <w:t xml:space="preserve">het kader van het MENA </w:t>
      </w:r>
      <w:proofErr w:type="spellStart"/>
      <w:r w:rsidRPr="00A94A0B" w:rsidR="00783F00">
        <w:rPr>
          <w:i/>
          <w:iCs/>
        </w:rPr>
        <w:t>Scholarship</w:t>
      </w:r>
      <w:proofErr w:type="spellEnd"/>
      <w:r w:rsidRPr="00A94A0B" w:rsidR="00783F00">
        <w:rPr>
          <w:i/>
          <w:iCs/>
        </w:rPr>
        <w:t xml:space="preserve"> </w:t>
      </w:r>
      <w:proofErr w:type="spellStart"/>
      <w:r w:rsidRPr="00A94A0B" w:rsidR="00783F00">
        <w:rPr>
          <w:i/>
          <w:iCs/>
        </w:rPr>
        <w:t>Programme</w:t>
      </w:r>
      <w:proofErr w:type="spellEnd"/>
      <w:r w:rsidR="00783F00">
        <w:t xml:space="preserve">, </w:t>
      </w:r>
      <w:r w:rsidRPr="00783F00" w:rsidR="00783F00">
        <w:t xml:space="preserve">gericht op het versterken van kennis en vaardigheden op het gebied van </w:t>
      </w:r>
      <w:proofErr w:type="spellStart"/>
      <w:r w:rsidRPr="00AC5D01" w:rsidR="00783F00">
        <w:rPr>
          <w:i/>
          <w:iCs/>
        </w:rPr>
        <w:t>transitional</w:t>
      </w:r>
      <w:proofErr w:type="spellEnd"/>
      <w:r w:rsidRPr="00AC5D01" w:rsidR="00783F00">
        <w:rPr>
          <w:i/>
          <w:iCs/>
        </w:rPr>
        <w:t xml:space="preserve"> </w:t>
      </w:r>
      <w:proofErr w:type="spellStart"/>
      <w:r w:rsidRPr="00AC5D01" w:rsidR="00783F00">
        <w:rPr>
          <w:i/>
          <w:iCs/>
        </w:rPr>
        <w:t>justice</w:t>
      </w:r>
      <w:proofErr w:type="spellEnd"/>
      <w:r w:rsidRPr="00783F00" w:rsidR="00783F00">
        <w:t xml:space="preserve"> in Syrië. Via </w:t>
      </w:r>
      <w:r w:rsidR="009A6019">
        <w:t xml:space="preserve">training </w:t>
      </w:r>
      <w:r w:rsidRPr="00783F00" w:rsidR="00783F00">
        <w:t>voor een diverse groep Syrische deelnemers</w:t>
      </w:r>
      <w:r w:rsidR="00783F00">
        <w:t xml:space="preserve"> - </w:t>
      </w:r>
      <w:r w:rsidRPr="00783F00" w:rsidR="00783F00">
        <w:t xml:space="preserve">afkomstig uit zowel overheidsinstellingen als maatschappelijke organisaties </w:t>
      </w:r>
      <w:r w:rsidR="00783F00">
        <w:t>-</w:t>
      </w:r>
      <w:r w:rsidRPr="00783F00" w:rsidR="00783F00">
        <w:t xml:space="preserve"> wordt ingezet op kennisuitwisseling</w:t>
      </w:r>
      <w:r w:rsidR="00783F00">
        <w:t xml:space="preserve"> </w:t>
      </w:r>
      <w:r w:rsidRPr="00783F00" w:rsidR="00783F00">
        <w:t>en capaciteitsopbouw</w:t>
      </w:r>
      <w:r w:rsidR="00783F00">
        <w:t>. Hiermee worden door Syriërs gedragen</w:t>
      </w:r>
      <w:r w:rsidR="00984FE3">
        <w:t xml:space="preserve"> </w:t>
      </w:r>
      <w:r w:rsidR="00783F00">
        <w:t xml:space="preserve">verzoeningsprocessen </w:t>
      </w:r>
      <w:r w:rsidR="00984FE3">
        <w:t xml:space="preserve">verder </w:t>
      </w:r>
      <w:r w:rsidR="00783F00">
        <w:t>ondersteund.</w:t>
      </w:r>
    </w:p>
    <w:p w:rsidR="00B31493" w:rsidP="00B2075F" w:rsidRDefault="00B31493" w14:paraId="48785515" w14:textId="29738320">
      <w:pPr>
        <w:spacing w:line="276" w:lineRule="auto"/>
      </w:pPr>
    </w:p>
    <w:p w:rsidRPr="00FB678E" w:rsidR="00B31493" w:rsidP="00B2075F" w:rsidRDefault="00B31493" w14:paraId="35AA002C" w14:textId="77777777">
      <w:pPr>
        <w:spacing w:line="276" w:lineRule="auto"/>
        <w:rPr>
          <w:b/>
          <w:bCs/>
        </w:rPr>
      </w:pPr>
      <w:r>
        <w:rPr>
          <w:b/>
          <w:bCs/>
        </w:rPr>
        <w:t>Accountability als onderdeel van brede inzet</w:t>
      </w:r>
    </w:p>
    <w:p w:rsidR="00B31493" w:rsidP="00B2075F" w:rsidRDefault="00B31493" w14:paraId="55D57738" w14:textId="173C0681">
      <w:pPr>
        <w:spacing w:line="276" w:lineRule="auto"/>
      </w:pPr>
      <w:r>
        <w:t xml:space="preserve">Nederland, de EU en de Syrische bevolking hebben belang bij een veilig en stabiel Syrië. </w:t>
      </w:r>
      <w:r w:rsidRPr="00B645BA">
        <w:t>Nieuwe geweldsescalaties kunnen leiden tot vluchtelingenbewegingen en regionale instabiliteit, wat gevolgen kan hebben voor onze veiligheid.</w:t>
      </w:r>
      <w:r>
        <w:t xml:space="preserve"> Stabiliteit is ook een voorwaarde voor wederopbouw en economische ontwikkeling, waarmee de duurzame terugkeer van Syrische vluchtelingen mogelijk gemaakt kan worden.</w:t>
      </w:r>
    </w:p>
    <w:p w:rsidR="00B31493" w:rsidP="00B2075F" w:rsidRDefault="00B31493" w14:paraId="78858771" w14:textId="77777777">
      <w:pPr>
        <w:spacing w:line="276" w:lineRule="auto"/>
      </w:pPr>
    </w:p>
    <w:p w:rsidR="00AC0808" w:rsidP="00A82618" w:rsidRDefault="00B31493" w14:paraId="710B5D71" w14:textId="389CFFC6">
      <w:pPr>
        <w:spacing w:line="276" w:lineRule="auto"/>
      </w:pPr>
      <w:r>
        <w:t xml:space="preserve">De Nederlandse inspanningen op accountability en mensenrechten dragen bij aan deze stabiliteit door straffeloosheid tegen te gaan, onafhankelijk toezicht en de </w:t>
      </w:r>
      <w:r w:rsidRPr="00505755">
        <w:t>bescherming van gemeenschappen en mensenrechten te ondersteunen.</w:t>
      </w:r>
      <w:r w:rsidRPr="00505755" w:rsidR="00AA2694">
        <w:t xml:space="preserve"> </w:t>
      </w:r>
      <w:r w:rsidRPr="00505755" w:rsidR="00D9353E">
        <w:t>Engagement</w:t>
      </w:r>
      <w:r w:rsidRPr="00505755" w:rsidR="00440CA4">
        <w:t xml:space="preserve"> met de Syrische overgangsregering is hierbij van belang om de </w:t>
      </w:r>
      <w:r w:rsidRPr="00505755" w:rsidR="00440CA4">
        <w:lastRenderedPageBreak/>
        <w:t>overgangsautoriteiten aan te spreken op hun verantwoordelijkheid en de Nederlandse inzet te bepalen</w:t>
      </w:r>
      <w:r w:rsidRPr="00505755" w:rsidR="00A82618">
        <w:t xml:space="preserve">, waarmee Nederland bijdraagt aan de bevordering van accountability en de bescherming van mensenrechten in Syrië. </w:t>
      </w:r>
      <w:r w:rsidRPr="00505755">
        <w:t>Het kabinet blijft zich daarom bilateraal en multilateraal inzetten voor een Syrië waarin de</w:t>
      </w:r>
      <w:r w:rsidRPr="00FE1ED5">
        <w:t xml:space="preserve"> rechten</w:t>
      </w:r>
      <w:r>
        <w:t xml:space="preserve"> en veiligheid</w:t>
      </w:r>
      <w:r w:rsidRPr="00FE1ED5">
        <w:t xml:space="preserve"> van alle burgers worden gerespecteerd</w:t>
      </w:r>
      <w:r>
        <w:t xml:space="preserve"> en geborgd.</w:t>
      </w:r>
    </w:p>
    <w:p w:rsidR="00B31493" w:rsidP="00B2075F" w:rsidRDefault="00B31493" w14:paraId="53820C0D"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A7741D" w:rsidTr="004C187A" w14:paraId="14944900" w14:textId="77777777">
        <w:tc>
          <w:tcPr>
            <w:tcW w:w="3620" w:type="dxa"/>
          </w:tcPr>
          <w:p w:rsidR="00A7741D" w:rsidP="00B2075F" w:rsidRDefault="00A7741D" w14:paraId="393FB74D" w14:textId="3C24A871">
            <w:pPr>
              <w:spacing w:line="276" w:lineRule="auto"/>
            </w:pPr>
            <w:r>
              <w:t xml:space="preserve">De </w:t>
            </w:r>
            <w:r w:rsidR="00B2075F">
              <w:t>m</w:t>
            </w:r>
            <w:r>
              <w:t>inister van Buitenlandse Zaken</w:t>
            </w:r>
            <w:r w:rsidR="00B2075F">
              <w:t>,</w:t>
            </w:r>
            <w:r>
              <w:br/>
            </w:r>
            <w:r>
              <w:br/>
            </w:r>
            <w:r>
              <w:br/>
            </w:r>
            <w:r>
              <w:br/>
            </w:r>
            <w:r>
              <w:br/>
            </w:r>
            <w:r w:rsidR="00E756A3">
              <w:t>T.B.W. Berendsen</w:t>
            </w:r>
          </w:p>
        </w:tc>
        <w:tc>
          <w:tcPr>
            <w:tcW w:w="3921" w:type="dxa"/>
          </w:tcPr>
          <w:p w:rsidR="00A7741D" w:rsidP="00B2075F" w:rsidRDefault="00A7741D" w14:paraId="5C67C8EE" w14:textId="77777777">
            <w:pPr>
              <w:spacing w:line="276" w:lineRule="auto"/>
            </w:pPr>
          </w:p>
        </w:tc>
      </w:tr>
    </w:tbl>
    <w:p w:rsidR="00DA220E" w:rsidP="00B2075F" w:rsidRDefault="00DA220E" w14:paraId="0D6E3FFC" w14:textId="0031A0C1">
      <w:pPr>
        <w:spacing w:line="276" w:lineRule="auto"/>
      </w:pPr>
    </w:p>
    <w:sectPr w:rsidR="00DA220E" w:rsidSect="006D0D30">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4F03" w14:textId="77777777" w:rsidR="0030125C" w:rsidRDefault="0030125C">
      <w:pPr>
        <w:spacing w:line="240" w:lineRule="auto"/>
      </w:pPr>
      <w:r>
        <w:separator/>
      </w:r>
    </w:p>
  </w:endnote>
  <w:endnote w:type="continuationSeparator" w:id="0">
    <w:p w14:paraId="6BA5EF6D" w14:textId="77777777" w:rsidR="0030125C" w:rsidRDefault="0030125C">
      <w:pPr>
        <w:spacing w:line="240" w:lineRule="auto"/>
      </w:pPr>
      <w:r>
        <w:continuationSeparator/>
      </w:r>
    </w:p>
  </w:endnote>
  <w:endnote w:type="continuationNotice" w:id="1">
    <w:p w14:paraId="246FB1C7" w14:textId="77777777" w:rsidR="00836F06" w:rsidRDefault="00836F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1A58" w14:textId="77777777" w:rsidR="00BB1B31" w:rsidRDefault="00BB1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02813"/>
      <w:docPartObj>
        <w:docPartGallery w:val="Page Numbers (Bottom of Page)"/>
        <w:docPartUnique/>
      </w:docPartObj>
    </w:sdtPr>
    <w:sdtEndPr/>
    <w:sdtContent>
      <w:p w14:paraId="754F4003" w14:textId="6B231367" w:rsidR="00B2075F" w:rsidRDefault="00B2075F">
        <w:pPr>
          <w:pStyle w:val="Footer"/>
          <w:jc w:val="center"/>
        </w:pPr>
        <w:r>
          <w:fldChar w:fldCharType="begin"/>
        </w:r>
        <w:r>
          <w:instrText>PAGE   \* MERGEFORMAT</w:instrText>
        </w:r>
        <w:r>
          <w:fldChar w:fldCharType="separate"/>
        </w:r>
        <w:r>
          <w:t>2</w:t>
        </w:r>
        <w:r>
          <w:fldChar w:fldCharType="end"/>
        </w:r>
      </w:p>
    </w:sdtContent>
  </w:sdt>
  <w:p w14:paraId="20DEE87C" w14:textId="77777777" w:rsidR="00B2075F" w:rsidRDefault="00B20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206671"/>
      <w:docPartObj>
        <w:docPartGallery w:val="Page Numbers (Bottom of Page)"/>
        <w:docPartUnique/>
      </w:docPartObj>
    </w:sdtPr>
    <w:sdtEndPr/>
    <w:sdtContent>
      <w:p w14:paraId="3AD88F1D" w14:textId="13573CB0" w:rsidR="00B2075F" w:rsidRDefault="00B2075F">
        <w:pPr>
          <w:pStyle w:val="Footer"/>
          <w:jc w:val="center"/>
        </w:pPr>
        <w:r>
          <w:fldChar w:fldCharType="begin"/>
        </w:r>
        <w:r>
          <w:instrText>PAGE   \* MERGEFORMAT</w:instrText>
        </w:r>
        <w:r>
          <w:fldChar w:fldCharType="separate"/>
        </w:r>
        <w:r>
          <w:t>2</w:t>
        </w:r>
        <w:r>
          <w:fldChar w:fldCharType="end"/>
        </w:r>
      </w:p>
    </w:sdtContent>
  </w:sdt>
  <w:p w14:paraId="260ED047" w14:textId="77777777" w:rsidR="00B2075F" w:rsidRDefault="00B20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3856" w14:textId="77777777" w:rsidR="0030125C" w:rsidRDefault="0030125C">
      <w:pPr>
        <w:spacing w:line="240" w:lineRule="auto"/>
      </w:pPr>
      <w:r>
        <w:separator/>
      </w:r>
    </w:p>
  </w:footnote>
  <w:footnote w:type="continuationSeparator" w:id="0">
    <w:p w14:paraId="2F95412B" w14:textId="77777777" w:rsidR="0030125C" w:rsidRDefault="0030125C">
      <w:pPr>
        <w:spacing w:line="240" w:lineRule="auto"/>
      </w:pPr>
      <w:r>
        <w:continuationSeparator/>
      </w:r>
    </w:p>
  </w:footnote>
  <w:footnote w:type="continuationNotice" w:id="1">
    <w:p w14:paraId="5A0E0CEF" w14:textId="77777777" w:rsidR="00836F06" w:rsidRDefault="00836F06">
      <w:pPr>
        <w:spacing w:line="240" w:lineRule="auto"/>
      </w:pPr>
    </w:p>
  </w:footnote>
  <w:footnote w:id="2">
    <w:p w14:paraId="7DE7D8EA" w14:textId="04A69AE2" w:rsidR="007913C5" w:rsidRPr="009374DC" w:rsidRDefault="007913C5" w:rsidP="007913C5">
      <w:pPr>
        <w:pStyle w:val="FootnoteText"/>
        <w:rPr>
          <w:sz w:val="16"/>
          <w:szCs w:val="16"/>
        </w:rPr>
      </w:pPr>
      <w:r w:rsidRPr="009374DC">
        <w:rPr>
          <w:rStyle w:val="FootnoteReference"/>
          <w:sz w:val="16"/>
          <w:szCs w:val="16"/>
        </w:rPr>
        <w:footnoteRef/>
      </w:r>
      <w:r w:rsidRPr="009374DC">
        <w:rPr>
          <w:sz w:val="16"/>
          <w:szCs w:val="16"/>
        </w:rPr>
        <w:t xml:space="preserve"> Motie 36 800-V nr. 79 - Dobbe </w:t>
      </w:r>
      <w:proofErr w:type="spellStart"/>
      <w:r w:rsidRPr="009374DC">
        <w:rPr>
          <w:sz w:val="16"/>
          <w:szCs w:val="16"/>
        </w:rPr>
        <w:t>cs</w:t>
      </w:r>
      <w:proofErr w:type="spellEnd"/>
      <w:r w:rsidRPr="009374DC">
        <w:rPr>
          <w:sz w:val="16"/>
          <w:szCs w:val="16"/>
        </w:rPr>
        <w:t xml:space="preserve">; Motie 36 800-V nr. 78 - Dobbe </w:t>
      </w:r>
      <w:proofErr w:type="spellStart"/>
      <w:r w:rsidRPr="009374DC">
        <w:rPr>
          <w:sz w:val="16"/>
          <w:szCs w:val="16"/>
        </w:rPr>
        <w:t>cs</w:t>
      </w:r>
      <w:proofErr w:type="spellEnd"/>
      <w:r w:rsidRPr="009374DC">
        <w:rPr>
          <w:sz w:val="16"/>
          <w:szCs w:val="16"/>
        </w:rPr>
        <w:t xml:space="preserve">; Motie 36 800-V nr. 69 - Van Baarle; en Motie 21 501-02, nr. 3073 - </w:t>
      </w:r>
      <w:proofErr w:type="spellStart"/>
      <w:r w:rsidRPr="009374DC">
        <w:rPr>
          <w:sz w:val="16"/>
          <w:szCs w:val="16"/>
        </w:rPr>
        <w:t>Piri</w:t>
      </w:r>
      <w:proofErr w:type="spellEnd"/>
      <w:r w:rsidRPr="009374DC">
        <w:rPr>
          <w:sz w:val="16"/>
          <w:szCs w:val="16"/>
        </w:rPr>
        <w:t>.</w:t>
      </w:r>
    </w:p>
  </w:footnote>
  <w:footnote w:id="3">
    <w:p w14:paraId="04B8FB81" w14:textId="13CD0E20" w:rsidR="006E4D14" w:rsidRPr="009374DC" w:rsidRDefault="006E4D14">
      <w:pPr>
        <w:pStyle w:val="FootnoteText"/>
        <w:rPr>
          <w:sz w:val="16"/>
          <w:szCs w:val="16"/>
        </w:rPr>
      </w:pPr>
      <w:r w:rsidRPr="009374DC">
        <w:rPr>
          <w:rStyle w:val="FootnoteReference"/>
          <w:sz w:val="16"/>
          <w:szCs w:val="16"/>
        </w:rPr>
        <w:footnoteRef/>
      </w:r>
      <w:r w:rsidRPr="009374DC">
        <w:rPr>
          <w:sz w:val="16"/>
          <w:szCs w:val="16"/>
        </w:rPr>
        <w:t xml:space="preserve"> Motie 21</w:t>
      </w:r>
      <w:r w:rsidR="00BB1B31">
        <w:rPr>
          <w:sz w:val="16"/>
          <w:szCs w:val="16"/>
        </w:rPr>
        <w:t xml:space="preserve"> </w:t>
      </w:r>
      <w:r w:rsidRPr="009374DC">
        <w:rPr>
          <w:sz w:val="16"/>
          <w:szCs w:val="16"/>
        </w:rPr>
        <w:t>501-02, nr. 3073.</w:t>
      </w:r>
    </w:p>
  </w:footnote>
  <w:footnote w:id="4">
    <w:p w14:paraId="72DB4D44" w14:textId="50113A47" w:rsidR="00F8770B" w:rsidRPr="009374DC" w:rsidRDefault="00F8770B">
      <w:pPr>
        <w:pStyle w:val="FootnoteText"/>
        <w:rPr>
          <w:sz w:val="16"/>
          <w:szCs w:val="16"/>
        </w:rPr>
      </w:pPr>
      <w:r w:rsidRPr="009374DC">
        <w:rPr>
          <w:rStyle w:val="FootnoteReference"/>
          <w:sz w:val="16"/>
          <w:szCs w:val="16"/>
        </w:rPr>
        <w:footnoteRef/>
      </w:r>
      <w:r w:rsidRPr="009374DC">
        <w:rPr>
          <w:sz w:val="16"/>
          <w:szCs w:val="16"/>
        </w:rPr>
        <w:t xml:space="preserve"> Aanvullende informatie over de inspanningen op dit terrein kunnen ook worden gevonden op de website van UN </w:t>
      </w:r>
      <w:proofErr w:type="spellStart"/>
      <w:r w:rsidRPr="009374DC">
        <w:rPr>
          <w:sz w:val="16"/>
          <w:szCs w:val="16"/>
        </w:rPr>
        <w:t>Women</w:t>
      </w:r>
      <w:proofErr w:type="spellEnd"/>
      <w:r w:rsidRPr="009374DC">
        <w:rPr>
          <w:sz w:val="16"/>
          <w:szCs w:val="16"/>
        </w:rPr>
        <w:t xml:space="preserve">: </w:t>
      </w:r>
      <w:hyperlink r:id="rId1" w:history="1">
        <w:r w:rsidRPr="009374DC">
          <w:rPr>
            <w:rStyle w:val="Hyperlink"/>
            <w:sz w:val="16"/>
            <w:szCs w:val="16"/>
          </w:rPr>
          <w:t>https://arabstates.unwomen.org/en/what-we-do/peace-and-security/syria-wps-programme</w:t>
        </w:r>
      </w:hyperlink>
      <w:r w:rsidRPr="009374DC">
        <w:rPr>
          <w:sz w:val="16"/>
          <w:szCs w:val="16"/>
        </w:rPr>
        <w:t xml:space="preserve"> </w:t>
      </w:r>
    </w:p>
  </w:footnote>
  <w:footnote w:id="5">
    <w:p w14:paraId="20199280" w14:textId="715240E6" w:rsidR="00646EEB" w:rsidRPr="009374DC" w:rsidRDefault="00646EEB">
      <w:pPr>
        <w:pStyle w:val="FootnoteText"/>
        <w:rPr>
          <w:sz w:val="16"/>
          <w:szCs w:val="16"/>
        </w:rPr>
      </w:pPr>
      <w:r w:rsidRPr="009374DC">
        <w:rPr>
          <w:rStyle w:val="FootnoteReference"/>
          <w:sz w:val="16"/>
          <w:szCs w:val="16"/>
        </w:rPr>
        <w:footnoteRef/>
      </w:r>
      <w:r w:rsidRPr="009374DC">
        <w:rPr>
          <w:sz w:val="16"/>
          <w:szCs w:val="16"/>
        </w:rPr>
        <w:t xml:space="preserve"> In lijn met de motie Dobbe (36</w:t>
      </w:r>
      <w:r w:rsidR="00BB1B31">
        <w:rPr>
          <w:sz w:val="16"/>
          <w:szCs w:val="16"/>
        </w:rPr>
        <w:t xml:space="preserve"> </w:t>
      </w:r>
      <w:r w:rsidRPr="009374DC">
        <w:rPr>
          <w:sz w:val="16"/>
          <w:szCs w:val="16"/>
        </w:rPr>
        <w:t>800 nr. 79).</w:t>
      </w:r>
    </w:p>
  </w:footnote>
  <w:footnote w:id="6">
    <w:p w14:paraId="5B50ABB5" w14:textId="7B90AED6" w:rsidR="00B163E5" w:rsidRPr="009374DC" w:rsidRDefault="00B163E5">
      <w:pPr>
        <w:pStyle w:val="FootnoteText"/>
        <w:rPr>
          <w:sz w:val="16"/>
          <w:szCs w:val="16"/>
        </w:rPr>
      </w:pPr>
      <w:r w:rsidRPr="009374DC">
        <w:rPr>
          <w:rStyle w:val="FootnoteReference"/>
          <w:sz w:val="16"/>
          <w:szCs w:val="16"/>
        </w:rPr>
        <w:footnoteRef/>
      </w:r>
      <w:r w:rsidRPr="009374DC">
        <w:rPr>
          <w:sz w:val="16"/>
          <w:szCs w:val="16"/>
        </w:rPr>
        <w:t xml:space="preserve"> In lijn met de motie Van Baarle (36</w:t>
      </w:r>
      <w:r w:rsidR="00BB1B31">
        <w:rPr>
          <w:sz w:val="16"/>
          <w:szCs w:val="16"/>
        </w:rPr>
        <w:t xml:space="preserve"> </w:t>
      </w:r>
      <w:r w:rsidRPr="009374DC">
        <w:rPr>
          <w:sz w:val="16"/>
          <w:szCs w:val="16"/>
        </w:rPr>
        <w:t xml:space="preserve">800-V, nr. 69). </w:t>
      </w:r>
    </w:p>
  </w:footnote>
  <w:footnote w:id="7">
    <w:p w14:paraId="1F581AE3" w14:textId="78904E89" w:rsidR="00646EEB" w:rsidRPr="009374DC" w:rsidRDefault="00646EEB">
      <w:pPr>
        <w:pStyle w:val="FootnoteText"/>
        <w:rPr>
          <w:sz w:val="16"/>
          <w:szCs w:val="16"/>
        </w:rPr>
      </w:pPr>
      <w:r w:rsidRPr="009374DC">
        <w:rPr>
          <w:rStyle w:val="FootnoteReference"/>
          <w:sz w:val="16"/>
          <w:szCs w:val="16"/>
        </w:rPr>
        <w:footnoteRef/>
      </w:r>
      <w:r w:rsidRPr="009374DC">
        <w:rPr>
          <w:sz w:val="16"/>
          <w:szCs w:val="16"/>
        </w:rPr>
        <w:t xml:space="preserve"> Zoals toe verzocht in de motie Dobbe c.s. 36</w:t>
      </w:r>
      <w:r w:rsidR="00BB1B31">
        <w:rPr>
          <w:sz w:val="16"/>
          <w:szCs w:val="16"/>
        </w:rPr>
        <w:t xml:space="preserve"> </w:t>
      </w:r>
      <w:r w:rsidRPr="009374DC">
        <w:rPr>
          <w:sz w:val="16"/>
          <w:szCs w:val="16"/>
        </w:rPr>
        <w:t>800 nr. 78, waarbij het kabinet ook is gevraagd om de Kamer over deze bijdrage te informeren.</w:t>
      </w:r>
    </w:p>
  </w:footnote>
  <w:footnote w:id="8">
    <w:p w14:paraId="115BD6FC" w14:textId="7C6D9A80" w:rsidR="00D974AD" w:rsidRPr="009374DC" w:rsidRDefault="00D974AD" w:rsidP="00D974AD">
      <w:pPr>
        <w:pStyle w:val="FootnoteText"/>
        <w:rPr>
          <w:sz w:val="16"/>
          <w:szCs w:val="16"/>
        </w:rPr>
      </w:pPr>
      <w:r w:rsidRPr="009374DC">
        <w:rPr>
          <w:rStyle w:val="FootnoteReference"/>
          <w:sz w:val="16"/>
          <w:szCs w:val="16"/>
        </w:rPr>
        <w:footnoteRef/>
      </w:r>
      <w:r w:rsidRPr="009374DC">
        <w:rPr>
          <w:sz w:val="16"/>
          <w:szCs w:val="16"/>
        </w:rPr>
        <w:t xml:space="preserve"> Kamerstuk 27</w:t>
      </w:r>
      <w:r w:rsidR="00BB1B31">
        <w:rPr>
          <w:sz w:val="16"/>
          <w:szCs w:val="16"/>
        </w:rPr>
        <w:t xml:space="preserve"> </w:t>
      </w:r>
      <w:r w:rsidRPr="009374DC">
        <w:rPr>
          <w:sz w:val="16"/>
          <w:szCs w:val="16"/>
        </w:rPr>
        <w:t>925 nr. 1016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6930" w14:textId="77777777" w:rsidR="00BB1B31" w:rsidRDefault="00BB1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57FF" w14:textId="22D96F47" w:rsidR="00DA220E" w:rsidRDefault="00B52ABD">
    <w:r>
      <w:rPr>
        <w:noProof/>
      </w:rPr>
      <mc:AlternateContent>
        <mc:Choice Requires="wps">
          <w:drawing>
            <wp:anchor distT="0" distB="0" distL="0" distR="0" simplePos="0" relativeHeight="251658240" behindDoc="0" locked="1" layoutInCell="1" allowOverlap="1" wp14:anchorId="7667239A" wp14:editId="2661CEAB">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77A2E4E5" w14:textId="77777777" w:rsidR="00DA220E" w:rsidRDefault="00B52ABD">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7667239A"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77A2E4E5" w14:textId="77777777" w:rsidR="00DA220E" w:rsidRDefault="00B52ABD">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1759B88" wp14:editId="0A8EC27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E043A3" w14:textId="77777777" w:rsidR="00B52ABD" w:rsidRDefault="00B52ABD"/>
                      </w:txbxContent>
                    </wps:txbx>
                    <wps:bodyPr vert="horz" wrap="square" lIns="0" tIns="0" rIns="0" bIns="0" anchor="t" anchorCtr="0"/>
                  </wps:wsp>
                </a:graphicData>
              </a:graphic>
            </wp:anchor>
          </w:drawing>
        </mc:Choice>
        <mc:Fallback>
          <w:pict>
            <v:shape w14:anchorId="01759B8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5E043A3" w14:textId="77777777" w:rsidR="00B52ABD" w:rsidRDefault="00B52AB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55B4" w14:textId="2C509033" w:rsidR="00DA220E" w:rsidRDefault="00B52ABD">
    <w:pPr>
      <w:spacing w:after="7131" w:line="14" w:lineRule="exact"/>
    </w:pPr>
    <w:r>
      <w:rPr>
        <w:noProof/>
      </w:rPr>
      <mc:AlternateContent>
        <mc:Choice Requires="wps">
          <w:drawing>
            <wp:anchor distT="0" distB="0" distL="0" distR="0" simplePos="0" relativeHeight="251658243" behindDoc="0" locked="1" layoutInCell="1" allowOverlap="1" wp14:anchorId="7B97B64A" wp14:editId="06393BF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7E69C58" w14:textId="77777777" w:rsidR="00B52ABD" w:rsidRDefault="00B52ABD"/>
                      </w:txbxContent>
                    </wps:txbx>
                    <wps:bodyPr vert="horz" wrap="square" lIns="0" tIns="0" rIns="0" bIns="0" anchor="t" anchorCtr="0"/>
                  </wps:wsp>
                </a:graphicData>
              </a:graphic>
            </wp:anchor>
          </w:drawing>
        </mc:Choice>
        <mc:Fallback>
          <w:pict>
            <v:shapetype w14:anchorId="7B97B64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7E69C58" w14:textId="77777777" w:rsidR="00B52ABD" w:rsidRDefault="00B52AB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CBD62F1" wp14:editId="6889A1F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3076C6" w14:textId="77777777" w:rsidR="00DA220E" w:rsidRDefault="00B52AB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CBD62F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3076C6" w14:textId="77777777" w:rsidR="00DA220E" w:rsidRDefault="00B52AB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316BE6C" wp14:editId="1A93F23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A220E" w14:paraId="5D92FA41" w14:textId="77777777">
                            <w:tc>
                              <w:tcPr>
                                <w:tcW w:w="678" w:type="dxa"/>
                              </w:tcPr>
                              <w:p w14:paraId="5839E3A2" w14:textId="77777777" w:rsidR="00DA220E" w:rsidRDefault="00B52ABD">
                                <w:r>
                                  <w:t>Datum</w:t>
                                </w:r>
                              </w:p>
                            </w:tc>
                            <w:tc>
                              <w:tcPr>
                                <w:tcW w:w="6851" w:type="dxa"/>
                              </w:tcPr>
                              <w:p w14:paraId="3FDEB358" w14:textId="69393BB1" w:rsidR="00DA220E" w:rsidRDefault="00BB1B31">
                                <w:r>
                                  <w:t xml:space="preserve">20 </w:t>
                                </w:r>
                                <w:r w:rsidR="00B52ABD">
                                  <w:t>maart 2026</w:t>
                                </w:r>
                              </w:p>
                            </w:tc>
                          </w:tr>
                          <w:tr w:rsidR="00DA220E" w14:paraId="5A4FDDCD" w14:textId="77777777">
                            <w:tc>
                              <w:tcPr>
                                <w:tcW w:w="678" w:type="dxa"/>
                              </w:tcPr>
                              <w:p w14:paraId="6A976DCC" w14:textId="77777777" w:rsidR="00DA220E" w:rsidRDefault="00B52ABD">
                                <w:r>
                                  <w:t>Betreft</w:t>
                                </w:r>
                              </w:p>
                              <w:p w14:paraId="4E5C1150" w14:textId="77777777" w:rsidR="00DA220E" w:rsidRDefault="00DA220E"/>
                            </w:tc>
                            <w:tc>
                              <w:tcPr>
                                <w:tcW w:w="6851" w:type="dxa"/>
                              </w:tcPr>
                              <w:p w14:paraId="3D10FA9C" w14:textId="4BDDD3B2" w:rsidR="00DA220E" w:rsidRDefault="002837BA">
                                <w:r>
                                  <w:t xml:space="preserve">De </w:t>
                                </w:r>
                                <w:r w:rsidR="00B52ABD">
                                  <w:t xml:space="preserve">Nederlandse </w:t>
                                </w:r>
                                <w:r w:rsidR="00C9360A">
                                  <w:t>inzet</w:t>
                                </w:r>
                                <w:r w:rsidR="00B52ABD">
                                  <w:t xml:space="preserve"> op </w:t>
                                </w:r>
                                <w:r w:rsidR="00E866E1">
                                  <w:t>het tegengaan van straffeloosheid</w:t>
                                </w:r>
                                <w:r w:rsidR="00C9360A">
                                  <w:t xml:space="preserve"> en de bescherming van mensenrechten</w:t>
                                </w:r>
                                <w:r w:rsidR="00E866E1">
                                  <w:t xml:space="preserve"> in </w:t>
                                </w:r>
                                <w:r w:rsidR="00B52ABD">
                                  <w:t>Syrië</w:t>
                                </w:r>
                              </w:p>
                              <w:p w14:paraId="4F6B16A0" w14:textId="77777777" w:rsidR="00DA220E" w:rsidRDefault="00DA220E"/>
                            </w:tc>
                          </w:tr>
                        </w:tbl>
                        <w:p w14:paraId="44FCEDF8" w14:textId="77777777" w:rsidR="00DA220E" w:rsidRDefault="00DA220E"/>
                        <w:p w14:paraId="36421D88" w14:textId="77777777" w:rsidR="00DA220E" w:rsidRDefault="00DA220E"/>
                      </w:txbxContent>
                    </wps:txbx>
                    <wps:bodyPr vert="horz" wrap="square" lIns="0" tIns="0" rIns="0" bIns="0" anchor="t" anchorCtr="0"/>
                  </wps:wsp>
                </a:graphicData>
              </a:graphic>
            </wp:anchor>
          </w:drawing>
        </mc:Choice>
        <mc:Fallback>
          <w:pict>
            <v:shape w14:anchorId="0316BE6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A220E" w14:paraId="5D92FA41" w14:textId="77777777">
                      <w:tc>
                        <w:tcPr>
                          <w:tcW w:w="678" w:type="dxa"/>
                        </w:tcPr>
                        <w:p w14:paraId="5839E3A2" w14:textId="77777777" w:rsidR="00DA220E" w:rsidRDefault="00B52ABD">
                          <w:r>
                            <w:t>Datum</w:t>
                          </w:r>
                        </w:p>
                      </w:tc>
                      <w:tc>
                        <w:tcPr>
                          <w:tcW w:w="6851" w:type="dxa"/>
                        </w:tcPr>
                        <w:p w14:paraId="3FDEB358" w14:textId="69393BB1" w:rsidR="00DA220E" w:rsidRDefault="00BB1B31">
                          <w:r>
                            <w:t xml:space="preserve">20 </w:t>
                          </w:r>
                          <w:r w:rsidR="00B52ABD">
                            <w:t>maart 2026</w:t>
                          </w:r>
                        </w:p>
                      </w:tc>
                    </w:tr>
                    <w:tr w:rsidR="00DA220E" w14:paraId="5A4FDDCD" w14:textId="77777777">
                      <w:tc>
                        <w:tcPr>
                          <w:tcW w:w="678" w:type="dxa"/>
                        </w:tcPr>
                        <w:p w14:paraId="6A976DCC" w14:textId="77777777" w:rsidR="00DA220E" w:rsidRDefault="00B52ABD">
                          <w:r>
                            <w:t>Betreft</w:t>
                          </w:r>
                        </w:p>
                        <w:p w14:paraId="4E5C1150" w14:textId="77777777" w:rsidR="00DA220E" w:rsidRDefault="00DA220E"/>
                      </w:tc>
                      <w:tc>
                        <w:tcPr>
                          <w:tcW w:w="6851" w:type="dxa"/>
                        </w:tcPr>
                        <w:p w14:paraId="3D10FA9C" w14:textId="4BDDD3B2" w:rsidR="00DA220E" w:rsidRDefault="002837BA">
                          <w:r>
                            <w:t xml:space="preserve">De </w:t>
                          </w:r>
                          <w:r w:rsidR="00B52ABD">
                            <w:t xml:space="preserve">Nederlandse </w:t>
                          </w:r>
                          <w:r w:rsidR="00C9360A">
                            <w:t>inzet</w:t>
                          </w:r>
                          <w:r w:rsidR="00B52ABD">
                            <w:t xml:space="preserve"> op </w:t>
                          </w:r>
                          <w:r w:rsidR="00E866E1">
                            <w:t>het tegengaan van straffeloosheid</w:t>
                          </w:r>
                          <w:r w:rsidR="00C9360A">
                            <w:t xml:space="preserve"> en de bescherming van mensenrechten</w:t>
                          </w:r>
                          <w:r w:rsidR="00E866E1">
                            <w:t xml:space="preserve"> in </w:t>
                          </w:r>
                          <w:r w:rsidR="00B52ABD">
                            <w:t>Syrië</w:t>
                          </w:r>
                        </w:p>
                        <w:p w14:paraId="4F6B16A0" w14:textId="77777777" w:rsidR="00DA220E" w:rsidRDefault="00DA220E"/>
                      </w:tc>
                    </w:tr>
                  </w:tbl>
                  <w:p w14:paraId="44FCEDF8" w14:textId="77777777" w:rsidR="00DA220E" w:rsidRDefault="00DA220E"/>
                  <w:p w14:paraId="36421D88" w14:textId="77777777" w:rsidR="00DA220E" w:rsidRDefault="00DA220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8C06F5E" wp14:editId="3C69186D">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337205E4" w14:textId="7D0A7C08" w:rsidR="00DA220E" w:rsidRDefault="00B52ABD" w:rsidP="00783CE4">
                          <w:pPr>
                            <w:pStyle w:val="Referentiegegevensbold"/>
                          </w:pPr>
                          <w:r>
                            <w:t>Ministerie van Buitenlandse Zaken</w:t>
                          </w:r>
                        </w:p>
                        <w:p w14:paraId="71A970A5" w14:textId="77777777" w:rsidR="0030125C" w:rsidRDefault="0030125C" w:rsidP="00BB1B31">
                          <w:pPr>
                            <w:pStyle w:val="Referentiegegevens"/>
                            <w:spacing w:line="360" w:lineRule="auto"/>
                          </w:pPr>
                          <w:r w:rsidRPr="0030125C">
                            <w:t xml:space="preserve">Rijnstraat 8 </w:t>
                          </w:r>
                        </w:p>
                        <w:p w14:paraId="762D49D8" w14:textId="77777777" w:rsidR="0030125C" w:rsidRPr="001C0426" w:rsidRDefault="0030125C" w:rsidP="00BB1B31">
                          <w:pPr>
                            <w:pStyle w:val="Referentiegegevens"/>
                            <w:spacing w:line="360" w:lineRule="auto"/>
                            <w:rPr>
                              <w:lang w:val="da-DK"/>
                            </w:rPr>
                          </w:pPr>
                          <w:r w:rsidRPr="001C0426">
                            <w:rPr>
                              <w:lang w:val="da-DK"/>
                            </w:rPr>
                            <w:t xml:space="preserve">2515 XP Den Haag </w:t>
                          </w:r>
                        </w:p>
                        <w:p w14:paraId="657C35A4" w14:textId="77777777" w:rsidR="0030125C" w:rsidRPr="001C0426" w:rsidRDefault="0030125C" w:rsidP="00BB1B31">
                          <w:pPr>
                            <w:pStyle w:val="Referentiegegevens"/>
                            <w:spacing w:line="360" w:lineRule="auto"/>
                            <w:rPr>
                              <w:lang w:val="da-DK"/>
                            </w:rPr>
                          </w:pPr>
                          <w:r w:rsidRPr="001C0426">
                            <w:rPr>
                              <w:lang w:val="da-DK"/>
                            </w:rPr>
                            <w:t xml:space="preserve">Postbus 20061 </w:t>
                          </w:r>
                        </w:p>
                        <w:p w14:paraId="3858D1C6" w14:textId="761387CD" w:rsidR="00DA220E" w:rsidRPr="001C0426" w:rsidRDefault="0030125C" w:rsidP="00BB1B31">
                          <w:pPr>
                            <w:pStyle w:val="Referentiegegevens"/>
                            <w:spacing w:line="360" w:lineRule="auto"/>
                            <w:rPr>
                              <w:lang w:val="da-DK"/>
                            </w:rPr>
                          </w:pPr>
                          <w:r w:rsidRPr="001C0426">
                            <w:rPr>
                              <w:lang w:val="da-DK"/>
                            </w:rPr>
                            <w:t>Nederland</w:t>
                          </w:r>
                        </w:p>
                        <w:p w14:paraId="49DD68F5" w14:textId="2331CEF3" w:rsidR="0030125C" w:rsidRPr="001C0426" w:rsidRDefault="0030125C" w:rsidP="00BB1B31">
                          <w:pPr>
                            <w:pStyle w:val="Referentiegegevens"/>
                            <w:spacing w:line="360" w:lineRule="auto"/>
                            <w:rPr>
                              <w:lang w:val="da-DK"/>
                            </w:rPr>
                          </w:pPr>
                          <w:r w:rsidRPr="00BB1B31">
                            <w:rPr>
                              <w:lang w:val="da-DK"/>
                            </w:rPr>
                            <w:t>www.minbuza.nl</w:t>
                          </w:r>
                        </w:p>
                        <w:p w14:paraId="5D32CBCB" w14:textId="77777777" w:rsidR="0030125C" w:rsidRPr="001C0426" w:rsidRDefault="0030125C" w:rsidP="0030125C">
                          <w:pPr>
                            <w:rPr>
                              <w:lang w:val="da-DK"/>
                            </w:rPr>
                          </w:pPr>
                        </w:p>
                        <w:p w14:paraId="44D28C10" w14:textId="3DEE5359" w:rsidR="0030125C" w:rsidRPr="002077DC" w:rsidRDefault="0030125C" w:rsidP="0030125C">
                          <w:pPr>
                            <w:rPr>
                              <w:b/>
                              <w:bCs/>
                              <w:sz w:val="13"/>
                              <w:szCs w:val="13"/>
                            </w:rPr>
                          </w:pPr>
                          <w:r w:rsidRPr="002077DC">
                            <w:rPr>
                              <w:b/>
                              <w:bCs/>
                              <w:sz w:val="13"/>
                              <w:szCs w:val="13"/>
                            </w:rPr>
                            <w:t>Onze referentie</w:t>
                          </w:r>
                        </w:p>
                        <w:p w14:paraId="10DA7DB6" w14:textId="1D5AB9EA" w:rsidR="00783CE4" w:rsidRPr="00783CE4" w:rsidRDefault="00783CE4" w:rsidP="00783CE4">
                          <w:pPr>
                            <w:rPr>
                              <w:sz w:val="13"/>
                              <w:szCs w:val="13"/>
                            </w:rPr>
                          </w:pPr>
                          <w:r w:rsidRPr="00783CE4">
                            <w:rPr>
                              <w:sz w:val="13"/>
                              <w:szCs w:val="13"/>
                            </w:rPr>
                            <w:t>BZ2</w:t>
                          </w:r>
                          <w:r>
                            <w:rPr>
                              <w:sz w:val="13"/>
                              <w:szCs w:val="13"/>
                            </w:rPr>
                            <w:t>62139</w:t>
                          </w:r>
                        </w:p>
                        <w:p w14:paraId="23B1D592" w14:textId="77777777" w:rsidR="00783CE4" w:rsidRPr="0030125C" w:rsidRDefault="00783CE4" w:rsidP="0030125C">
                          <w:pPr>
                            <w:rPr>
                              <w:b/>
                              <w:bCs/>
                              <w:sz w:val="13"/>
                              <w:szCs w:val="13"/>
                            </w:rPr>
                          </w:pPr>
                        </w:p>
                        <w:p w14:paraId="5135EB90" w14:textId="5799D8B9" w:rsidR="0030125C" w:rsidRDefault="00B52ABD" w:rsidP="00783CE4">
                          <w:pPr>
                            <w:pStyle w:val="Referentiegegevensbold"/>
                          </w:pPr>
                          <w:r>
                            <w:t>Bijlage(n)</w:t>
                          </w:r>
                        </w:p>
                        <w:p w14:paraId="02456405" w14:textId="3B1ABF33" w:rsidR="00783CE4" w:rsidRPr="00783CE4" w:rsidRDefault="00783CE4" w:rsidP="00783CE4">
                          <w:r>
                            <w:t>-</w:t>
                          </w:r>
                        </w:p>
                      </w:txbxContent>
                    </wps:txbx>
                    <wps:bodyPr vert="horz" wrap="square" lIns="0" tIns="0" rIns="0" bIns="0" anchor="t" anchorCtr="0"/>
                  </wps:wsp>
                </a:graphicData>
              </a:graphic>
              <wp14:sizeRelH relativeFrom="margin">
                <wp14:pctWidth>0</wp14:pctWidth>
              </wp14:sizeRelH>
            </wp:anchor>
          </w:drawing>
        </mc:Choice>
        <mc:Fallback>
          <w:pict>
            <v:shape w14:anchorId="38C06F5E"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337205E4" w14:textId="7D0A7C08" w:rsidR="00DA220E" w:rsidRDefault="00B52ABD" w:rsidP="00783CE4">
                    <w:pPr>
                      <w:pStyle w:val="Referentiegegevensbold"/>
                    </w:pPr>
                    <w:r>
                      <w:t>Ministerie van Buitenlandse Zaken</w:t>
                    </w:r>
                  </w:p>
                  <w:p w14:paraId="71A970A5" w14:textId="77777777" w:rsidR="0030125C" w:rsidRDefault="0030125C" w:rsidP="00BB1B31">
                    <w:pPr>
                      <w:pStyle w:val="Referentiegegevens"/>
                      <w:spacing w:line="360" w:lineRule="auto"/>
                    </w:pPr>
                    <w:r w:rsidRPr="0030125C">
                      <w:t xml:space="preserve">Rijnstraat 8 </w:t>
                    </w:r>
                  </w:p>
                  <w:p w14:paraId="762D49D8" w14:textId="77777777" w:rsidR="0030125C" w:rsidRPr="001C0426" w:rsidRDefault="0030125C" w:rsidP="00BB1B31">
                    <w:pPr>
                      <w:pStyle w:val="Referentiegegevens"/>
                      <w:spacing w:line="360" w:lineRule="auto"/>
                      <w:rPr>
                        <w:lang w:val="da-DK"/>
                      </w:rPr>
                    </w:pPr>
                    <w:r w:rsidRPr="001C0426">
                      <w:rPr>
                        <w:lang w:val="da-DK"/>
                      </w:rPr>
                      <w:t xml:space="preserve">2515 XP Den Haag </w:t>
                    </w:r>
                  </w:p>
                  <w:p w14:paraId="657C35A4" w14:textId="77777777" w:rsidR="0030125C" w:rsidRPr="001C0426" w:rsidRDefault="0030125C" w:rsidP="00BB1B31">
                    <w:pPr>
                      <w:pStyle w:val="Referentiegegevens"/>
                      <w:spacing w:line="360" w:lineRule="auto"/>
                      <w:rPr>
                        <w:lang w:val="da-DK"/>
                      </w:rPr>
                    </w:pPr>
                    <w:r w:rsidRPr="001C0426">
                      <w:rPr>
                        <w:lang w:val="da-DK"/>
                      </w:rPr>
                      <w:t xml:space="preserve">Postbus 20061 </w:t>
                    </w:r>
                  </w:p>
                  <w:p w14:paraId="3858D1C6" w14:textId="761387CD" w:rsidR="00DA220E" w:rsidRPr="001C0426" w:rsidRDefault="0030125C" w:rsidP="00BB1B31">
                    <w:pPr>
                      <w:pStyle w:val="Referentiegegevens"/>
                      <w:spacing w:line="360" w:lineRule="auto"/>
                      <w:rPr>
                        <w:lang w:val="da-DK"/>
                      </w:rPr>
                    </w:pPr>
                    <w:r w:rsidRPr="001C0426">
                      <w:rPr>
                        <w:lang w:val="da-DK"/>
                      </w:rPr>
                      <w:t>Nederland</w:t>
                    </w:r>
                  </w:p>
                  <w:p w14:paraId="49DD68F5" w14:textId="2331CEF3" w:rsidR="0030125C" w:rsidRPr="001C0426" w:rsidRDefault="0030125C" w:rsidP="00BB1B31">
                    <w:pPr>
                      <w:pStyle w:val="Referentiegegevens"/>
                      <w:spacing w:line="360" w:lineRule="auto"/>
                      <w:rPr>
                        <w:lang w:val="da-DK"/>
                      </w:rPr>
                    </w:pPr>
                    <w:r w:rsidRPr="00BB1B31">
                      <w:rPr>
                        <w:lang w:val="da-DK"/>
                      </w:rPr>
                      <w:t>www.minbuza.nl</w:t>
                    </w:r>
                  </w:p>
                  <w:p w14:paraId="5D32CBCB" w14:textId="77777777" w:rsidR="0030125C" w:rsidRPr="001C0426" w:rsidRDefault="0030125C" w:rsidP="0030125C">
                    <w:pPr>
                      <w:rPr>
                        <w:lang w:val="da-DK"/>
                      </w:rPr>
                    </w:pPr>
                  </w:p>
                  <w:p w14:paraId="44D28C10" w14:textId="3DEE5359" w:rsidR="0030125C" w:rsidRPr="002077DC" w:rsidRDefault="0030125C" w:rsidP="0030125C">
                    <w:pPr>
                      <w:rPr>
                        <w:b/>
                        <w:bCs/>
                        <w:sz w:val="13"/>
                        <w:szCs w:val="13"/>
                      </w:rPr>
                    </w:pPr>
                    <w:r w:rsidRPr="002077DC">
                      <w:rPr>
                        <w:b/>
                        <w:bCs/>
                        <w:sz w:val="13"/>
                        <w:szCs w:val="13"/>
                      </w:rPr>
                      <w:t>Onze referentie</w:t>
                    </w:r>
                  </w:p>
                  <w:p w14:paraId="10DA7DB6" w14:textId="1D5AB9EA" w:rsidR="00783CE4" w:rsidRPr="00783CE4" w:rsidRDefault="00783CE4" w:rsidP="00783CE4">
                    <w:pPr>
                      <w:rPr>
                        <w:sz w:val="13"/>
                        <w:szCs w:val="13"/>
                      </w:rPr>
                    </w:pPr>
                    <w:r w:rsidRPr="00783CE4">
                      <w:rPr>
                        <w:sz w:val="13"/>
                        <w:szCs w:val="13"/>
                      </w:rPr>
                      <w:t>BZ2</w:t>
                    </w:r>
                    <w:r>
                      <w:rPr>
                        <w:sz w:val="13"/>
                        <w:szCs w:val="13"/>
                      </w:rPr>
                      <w:t>62139</w:t>
                    </w:r>
                  </w:p>
                  <w:p w14:paraId="23B1D592" w14:textId="77777777" w:rsidR="00783CE4" w:rsidRPr="0030125C" w:rsidRDefault="00783CE4" w:rsidP="0030125C">
                    <w:pPr>
                      <w:rPr>
                        <w:b/>
                        <w:bCs/>
                        <w:sz w:val="13"/>
                        <w:szCs w:val="13"/>
                      </w:rPr>
                    </w:pPr>
                  </w:p>
                  <w:p w14:paraId="5135EB90" w14:textId="5799D8B9" w:rsidR="0030125C" w:rsidRDefault="00B52ABD" w:rsidP="00783CE4">
                    <w:pPr>
                      <w:pStyle w:val="Referentiegegevensbold"/>
                    </w:pPr>
                    <w:r>
                      <w:t>Bijlage(n)</w:t>
                    </w:r>
                  </w:p>
                  <w:p w14:paraId="02456405" w14:textId="3B1ABF33" w:rsidR="00783CE4" w:rsidRPr="00783CE4" w:rsidRDefault="00783CE4" w:rsidP="00783CE4">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8236CDD" wp14:editId="29B8D18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C5BF7B" w14:textId="77777777" w:rsidR="00B52ABD" w:rsidRDefault="00B52ABD"/>
                      </w:txbxContent>
                    </wps:txbx>
                    <wps:bodyPr vert="horz" wrap="square" lIns="0" tIns="0" rIns="0" bIns="0" anchor="t" anchorCtr="0"/>
                  </wps:wsp>
                </a:graphicData>
              </a:graphic>
            </wp:anchor>
          </w:drawing>
        </mc:Choice>
        <mc:Fallback>
          <w:pict>
            <v:shape w14:anchorId="58236CDD"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CC5BF7B" w14:textId="77777777" w:rsidR="00B52ABD" w:rsidRDefault="00B52AB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D4B73D9" wp14:editId="12A81EA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FE2AA7" w14:textId="77777777" w:rsidR="00DA220E" w:rsidRDefault="00B52ABD">
                          <w:pPr>
                            <w:spacing w:line="240" w:lineRule="auto"/>
                          </w:pPr>
                          <w:r>
                            <w:rPr>
                              <w:noProof/>
                            </w:rPr>
                            <w:drawing>
                              <wp:inline distT="0" distB="0" distL="0" distR="0" wp14:anchorId="1E42F901" wp14:editId="0A575FD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4B73D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FFE2AA7" w14:textId="77777777" w:rsidR="00DA220E" w:rsidRDefault="00B52ABD">
                    <w:pPr>
                      <w:spacing w:line="240" w:lineRule="auto"/>
                    </w:pPr>
                    <w:r>
                      <w:rPr>
                        <w:noProof/>
                      </w:rPr>
                      <w:drawing>
                        <wp:inline distT="0" distB="0" distL="0" distR="0" wp14:anchorId="1E42F901" wp14:editId="0A575FD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6ABD550" wp14:editId="19233B33">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F56CE8" w14:textId="77777777" w:rsidR="00DA220E" w:rsidRDefault="00B52ABD">
                          <w:pPr>
                            <w:spacing w:line="240" w:lineRule="auto"/>
                          </w:pPr>
                          <w:r>
                            <w:rPr>
                              <w:noProof/>
                            </w:rPr>
                            <w:drawing>
                              <wp:inline distT="0" distB="0" distL="0" distR="0" wp14:anchorId="5504E26B" wp14:editId="376F13D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ABD550"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2F56CE8" w14:textId="77777777" w:rsidR="00DA220E" w:rsidRDefault="00B52ABD">
                    <w:pPr>
                      <w:spacing w:line="240" w:lineRule="auto"/>
                    </w:pPr>
                    <w:r>
                      <w:rPr>
                        <w:noProof/>
                      </w:rPr>
                      <w:drawing>
                        <wp:inline distT="0" distB="0" distL="0" distR="0" wp14:anchorId="5504E26B" wp14:editId="376F13D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1DE006"/>
    <w:multiLevelType w:val="multilevel"/>
    <w:tmpl w:val="FD03BBF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C971D"/>
    <w:multiLevelType w:val="multilevel"/>
    <w:tmpl w:val="95851DD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60E6F5E"/>
    <w:multiLevelType w:val="multilevel"/>
    <w:tmpl w:val="B40CA1F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E294FC8"/>
    <w:multiLevelType w:val="hybridMultilevel"/>
    <w:tmpl w:val="B9268186"/>
    <w:lvl w:ilvl="0" w:tplc="6C0461C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AD0FA1"/>
    <w:multiLevelType w:val="multilevel"/>
    <w:tmpl w:val="1F288CD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64616F7"/>
    <w:multiLevelType w:val="hybridMultilevel"/>
    <w:tmpl w:val="C7B63AB4"/>
    <w:lvl w:ilvl="0" w:tplc="4FD4D200">
      <w:start w:val="2515"/>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7E729B"/>
    <w:multiLevelType w:val="multilevel"/>
    <w:tmpl w:val="E7CC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211E0"/>
    <w:multiLevelType w:val="hybridMultilevel"/>
    <w:tmpl w:val="D012C06A"/>
    <w:lvl w:ilvl="0" w:tplc="1DB6326E">
      <w:start w:val="1"/>
      <w:numFmt w:val="decimal"/>
      <w:lvlText w:val="%1)"/>
      <w:lvlJc w:val="left"/>
      <w:pPr>
        <w:ind w:left="1020" w:hanging="360"/>
      </w:pPr>
    </w:lvl>
    <w:lvl w:ilvl="1" w:tplc="2C04F052">
      <w:start w:val="1"/>
      <w:numFmt w:val="decimal"/>
      <w:lvlText w:val="%2)"/>
      <w:lvlJc w:val="left"/>
      <w:pPr>
        <w:ind w:left="1020" w:hanging="360"/>
      </w:pPr>
    </w:lvl>
    <w:lvl w:ilvl="2" w:tplc="28B0734E">
      <w:start w:val="1"/>
      <w:numFmt w:val="decimal"/>
      <w:lvlText w:val="%3)"/>
      <w:lvlJc w:val="left"/>
      <w:pPr>
        <w:ind w:left="1020" w:hanging="360"/>
      </w:pPr>
    </w:lvl>
    <w:lvl w:ilvl="3" w:tplc="E572E34E">
      <w:start w:val="1"/>
      <w:numFmt w:val="decimal"/>
      <w:lvlText w:val="%4)"/>
      <w:lvlJc w:val="left"/>
      <w:pPr>
        <w:ind w:left="1020" w:hanging="360"/>
      </w:pPr>
    </w:lvl>
    <w:lvl w:ilvl="4" w:tplc="E4D8AD5C">
      <w:start w:val="1"/>
      <w:numFmt w:val="decimal"/>
      <w:lvlText w:val="%5)"/>
      <w:lvlJc w:val="left"/>
      <w:pPr>
        <w:ind w:left="1020" w:hanging="360"/>
      </w:pPr>
    </w:lvl>
    <w:lvl w:ilvl="5" w:tplc="1ADE3814">
      <w:start w:val="1"/>
      <w:numFmt w:val="decimal"/>
      <w:lvlText w:val="%6)"/>
      <w:lvlJc w:val="left"/>
      <w:pPr>
        <w:ind w:left="1020" w:hanging="360"/>
      </w:pPr>
    </w:lvl>
    <w:lvl w:ilvl="6" w:tplc="B4F47B54">
      <w:start w:val="1"/>
      <w:numFmt w:val="decimal"/>
      <w:lvlText w:val="%7)"/>
      <w:lvlJc w:val="left"/>
      <w:pPr>
        <w:ind w:left="1020" w:hanging="360"/>
      </w:pPr>
    </w:lvl>
    <w:lvl w:ilvl="7" w:tplc="AFEA20AA">
      <w:start w:val="1"/>
      <w:numFmt w:val="decimal"/>
      <w:lvlText w:val="%8)"/>
      <w:lvlJc w:val="left"/>
      <w:pPr>
        <w:ind w:left="1020" w:hanging="360"/>
      </w:pPr>
    </w:lvl>
    <w:lvl w:ilvl="8" w:tplc="7360BDF6">
      <w:start w:val="1"/>
      <w:numFmt w:val="decimal"/>
      <w:lvlText w:val="%9)"/>
      <w:lvlJc w:val="left"/>
      <w:pPr>
        <w:ind w:left="1020" w:hanging="360"/>
      </w:pPr>
    </w:lvl>
  </w:abstractNum>
  <w:abstractNum w:abstractNumId="8" w15:restartNumberingAfterBreak="0">
    <w:nsid w:val="53A0080B"/>
    <w:multiLevelType w:val="multilevel"/>
    <w:tmpl w:val="2DA233D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6F851D90"/>
    <w:multiLevelType w:val="hybridMultilevel"/>
    <w:tmpl w:val="BCFEC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7454099">
    <w:abstractNumId w:val="1"/>
  </w:num>
  <w:num w:numId="2" w16cid:durableId="741224104">
    <w:abstractNumId w:val="4"/>
  </w:num>
  <w:num w:numId="3" w16cid:durableId="2134010319">
    <w:abstractNumId w:val="2"/>
  </w:num>
  <w:num w:numId="4" w16cid:durableId="1484347234">
    <w:abstractNumId w:val="8"/>
  </w:num>
  <w:num w:numId="5" w16cid:durableId="1950428083">
    <w:abstractNumId w:val="0"/>
  </w:num>
  <w:num w:numId="6" w16cid:durableId="699354014">
    <w:abstractNumId w:val="5"/>
  </w:num>
  <w:num w:numId="7" w16cid:durableId="156771855">
    <w:abstractNumId w:val="7"/>
  </w:num>
  <w:num w:numId="8" w16cid:durableId="2084142296">
    <w:abstractNumId w:val="6"/>
  </w:num>
  <w:num w:numId="9" w16cid:durableId="1606384128">
    <w:abstractNumId w:val="3"/>
  </w:num>
  <w:num w:numId="10" w16cid:durableId="1351033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5C"/>
    <w:rsid w:val="00002CD2"/>
    <w:rsid w:val="00012173"/>
    <w:rsid w:val="0002337E"/>
    <w:rsid w:val="00025F73"/>
    <w:rsid w:val="00027AD0"/>
    <w:rsid w:val="000312DD"/>
    <w:rsid w:val="000404D0"/>
    <w:rsid w:val="000428C2"/>
    <w:rsid w:val="00044A05"/>
    <w:rsid w:val="00046868"/>
    <w:rsid w:val="00052C35"/>
    <w:rsid w:val="00065CC5"/>
    <w:rsid w:val="00066B43"/>
    <w:rsid w:val="00072648"/>
    <w:rsid w:val="00072DED"/>
    <w:rsid w:val="000755C4"/>
    <w:rsid w:val="0007676D"/>
    <w:rsid w:val="00087D8C"/>
    <w:rsid w:val="000910EA"/>
    <w:rsid w:val="00093198"/>
    <w:rsid w:val="00096A54"/>
    <w:rsid w:val="000A5993"/>
    <w:rsid w:val="000B058F"/>
    <w:rsid w:val="000D2D88"/>
    <w:rsid w:val="000E0E90"/>
    <w:rsid w:val="000F2C00"/>
    <w:rsid w:val="000F3524"/>
    <w:rsid w:val="000F4491"/>
    <w:rsid w:val="000F5E54"/>
    <w:rsid w:val="000F6773"/>
    <w:rsid w:val="000F73CE"/>
    <w:rsid w:val="00101C6F"/>
    <w:rsid w:val="00104A8C"/>
    <w:rsid w:val="00107269"/>
    <w:rsid w:val="0011240D"/>
    <w:rsid w:val="00114733"/>
    <w:rsid w:val="00120BF6"/>
    <w:rsid w:val="0013382E"/>
    <w:rsid w:val="00135F83"/>
    <w:rsid w:val="00141336"/>
    <w:rsid w:val="00143EFA"/>
    <w:rsid w:val="00153D67"/>
    <w:rsid w:val="001541FD"/>
    <w:rsid w:val="00157E53"/>
    <w:rsid w:val="00164D6F"/>
    <w:rsid w:val="00191A77"/>
    <w:rsid w:val="001A061B"/>
    <w:rsid w:val="001B7FEF"/>
    <w:rsid w:val="001C0426"/>
    <w:rsid w:val="001C1C41"/>
    <w:rsid w:val="001C3123"/>
    <w:rsid w:val="001C67A7"/>
    <w:rsid w:val="001D37B7"/>
    <w:rsid w:val="001D4045"/>
    <w:rsid w:val="001D7627"/>
    <w:rsid w:val="001E5B98"/>
    <w:rsid w:val="001E60F7"/>
    <w:rsid w:val="001E7EEB"/>
    <w:rsid w:val="001F28FC"/>
    <w:rsid w:val="001F619E"/>
    <w:rsid w:val="001F6863"/>
    <w:rsid w:val="002077DC"/>
    <w:rsid w:val="00215256"/>
    <w:rsid w:val="00217823"/>
    <w:rsid w:val="00217ACF"/>
    <w:rsid w:val="00223389"/>
    <w:rsid w:val="00225F0A"/>
    <w:rsid w:val="00227315"/>
    <w:rsid w:val="00231EAF"/>
    <w:rsid w:val="002344CF"/>
    <w:rsid w:val="00236301"/>
    <w:rsid w:val="002408FD"/>
    <w:rsid w:val="002409DE"/>
    <w:rsid w:val="00250AD0"/>
    <w:rsid w:val="00250DE5"/>
    <w:rsid w:val="00251311"/>
    <w:rsid w:val="002519A2"/>
    <w:rsid w:val="00260154"/>
    <w:rsid w:val="00262E9D"/>
    <w:rsid w:val="00262FD1"/>
    <w:rsid w:val="00265D27"/>
    <w:rsid w:val="002704ED"/>
    <w:rsid w:val="00275AE2"/>
    <w:rsid w:val="002837BA"/>
    <w:rsid w:val="00284D32"/>
    <w:rsid w:val="00285189"/>
    <w:rsid w:val="002A0D3C"/>
    <w:rsid w:val="002A17C8"/>
    <w:rsid w:val="002A7D8F"/>
    <w:rsid w:val="002B4402"/>
    <w:rsid w:val="002B4FB5"/>
    <w:rsid w:val="002B600D"/>
    <w:rsid w:val="002C049C"/>
    <w:rsid w:val="002D75DE"/>
    <w:rsid w:val="002F18BA"/>
    <w:rsid w:val="002F68BB"/>
    <w:rsid w:val="0030125C"/>
    <w:rsid w:val="00305FA6"/>
    <w:rsid w:val="00323F80"/>
    <w:rsid w:val="0032700C"/>
    <w:rsid w:val="00332B29"/>
    <w:rsid w:val="00340898"/>
    <w:rsid w:val="003472AB"/>
    <w:rsid w:val="00347CC9"/>
    <w:rsid w:val="00353039"/>
    <w:rsid w:val="00355191"/>
    <w:rsid w:val="00355826"/>
    <w:rsid w:val="0035604F"/>
    <w:rsid w:val="0036431D"/>
    <w:rsid w:val="0036769E"/>
    <w:rsid w:val="00372828"/>
    <w:rsid w:val="003736E2"/>
    <w:rsid w:val="00376193"/>
    <w:rsid w:val="003906E7"/>
    <w:rsid w:val="00397375"/>
    <w:rsid w:val="003A7A77"/>
    <w:rsid w:val="003B0AFB"/>
    <w:rsid w:val="003B27BC"/>
    <w:rsid w:val="003B30FF"/>
    <w:rsid w:val="003B522E"/>
    <w:rsid w:val="003C547B"/>
    <w:rsid w:val="003D26F6"/>
    <w:rsid w:val="003E536D"/>
    <w:rsid w:val="00404CC0"/>
    <w:rsid w:val="00404DBF"/>
    <w:rsid w:val="00407C69"/>
    <w:rsid w:val="0041019C"/>
    <w:rsid w:val="004162AD"/>
    <w:rsid w:val="004232E0"/>
    <w:rsid w:val="00424255"/>
    <w:rsid w:val="00440CA4"/>
    <w:rsid w:val="00442AFE"/>
    <w:rsid w:val="00445015"/>
    <w:rsid w:val="0044575D"/>
    <w:rsid w:val="00445A5A"/>
    <w:rsid w:val="00446913"/>
    <w:rsid w:val="004551AB"/>
    <w:rsid w:val="004560F8"/>
    <w:rsid w:val="004565CE"/>
    <w:rsid w:val="0046230C"/>
    <w:rsid w:val="0046236B"/>
    <w:rsid w:val="00463494"/>
    <w:rsid w:val="00477AB3"/>
    <w:rsid w:val="004835E9"/>
    <w:rsid w:val="00492195"/>
    <w:rsid w:val="00492C33"/>
    <w:rsid w:val="00497D01"/>
    <w:rsid w:val="004B14AD"/>
    <w:rsid w:val="004B2E0C"/>
    <w:rsid w:val="004B3DA7"/>
    <w:rsid w:val="004B7ECD"/>
    <w:rsid w:val="004C381D"/>
    <w:rsid w:val="004E7816"/>
    <w:rsid w:val="004F4F7F"/>
    <w:rsid w:val="0050239F"/>
    <w:rsid w:val="00502809"/>
    <w:rsid w:val="0050570D"/>
    <w:rsid w:val="00505755"/>
    <w:rsid w:val="005062F4"/>
    <w:rsid w:val="00510EA7"/>
    <w:rsid w:val="00513C93"/>
    <w:rsid w:val="005166C8"/>
    <w:rsid w:val="00516798"/>
    <w:rsid w:val="00517947"/>
    <w:rsid w:val="00517EFD"/>
    <w:rsid w:val="00526AF0"/>
    <w:rsid w:val="00536FD2"/>
    <w:rsid w:val="00543A54"/>
    <w:rsid w:val="00544BCD"/>
    <w:rsid w:val="00546347"/>
    <w:rsid w:val="0054772D"/>
    <w:rsid w:val="00550751"/>
    <w:rsid w:val="00554B14"/>
    <w:rsid w:val="00555582"/>
    <w:rsid w:val="005579DD"/>
    <w:rsid w:val="00561FE5"/>
    <w:rsid w:val="00565117"/>
    <w:rsid w:val="005749DC"/>
    <w:rsid w:val="005806F7"/>
    <w:rsid w:val="00585EC8"/>
    <w:rsid w:val="00587F13"/>
    <w:rsid w:val="00593517"/>
    <w:rsid w:val="00593C65"/>
    <w:rsid w:val="00594A16"/>
    <w:rsid w:val="00594C40"/>
    <w:rsid w:val="005964D1"/>
    <w:rsid w:val="005A03A0"/>
    <w:rsid w:val="005A282F"/>
    <w:rsid w:val="005A545D"/>
    <w:rsid w:val="005B0460"/>
    <w:rsid w:val="005B16E4"/>
    <w:rsid w:val="005B4047"/>
    <w:rsid w:val="005B5F8A"/>
    <w:rsid w:val="005B6F05"/>
    <w:rsid w:val="005B70BB"/>
    <w:rsid w:val="005C2ECF"/>
    <w:rsid w:val="005C4483"/>
    <w:rsid w:val="005C4832"/>
    <w:rsid w:val="005C783E"/>
    <w:rsid w:val="005D05FC"/>
    <w:rsid w:val="005D0FF9"/>
    <w:rsid w:val="005D2C4A"/>
    <w:rsid w:val="005F5FA1"/>
    <w:rsid w:val="00602A20"/>
    <w:rsid w:val="0061237E"/>
    <w:rsid w:val="0061355C"/>
    <w:rsid w:val="00614B2E"/>
    <w:rsid w:val="0061731C"/>
    <w:rsid w:val="00625A37"/>
    <w:rsid w:val="00637DBC"/>
    <w:rsid w:val="00642A30"/>
    <w:rsid w:val="00646EEB"/>
    <w:rsid w:val="00654475"/>
    <w:rsid w:val="0065476F"/>
    <w:rsid w:val="006556E2"/>
    <w:rsid w:val="006630DB"/>
    <w:rsid w:val="00666885"/>
    <w:rsid w:val="006832D8"/>
    <w:rsid w:val="00684127"/>
    <w:rsid w:val="006857A0"/>
    <w:rsid w:val="0068601D"/>
    <w:rsid w:val="006904C1"/>
    <w:rsid w:val="00690CCA"/>
    <w:rsid w:val="006930E3"/>
    <w:rsid w:val="00694412"/>
    <w:rsid w:val="006A4E63"/>
    <w:rsid w:val="006B0B99"/>
    <w:rsid w:val="006B4410"/>
    <w:rsid w:val="006B4F35"/>
    <w:rsid w:val="006B64AB"/>
    <w:rsid w:val="006B69E1"/>
    <w:rsid w:val="006D0D30"/>
    <w:rsid w:val="006D55B6"/>
    <w:rsid w:val="006D66CE"/>
    <w:rsid w:val="006E4D14"/>
    <w:rsid w:val="006F64BB"/>
    <w:rsid w:val="00703A50"/>
    <w:rsid w:val="0070519D"/>
    <w:rsid w:val="007051CB"/>
    <w:rsid w:val="007163F5"/>
    <w:rsid w:val="00722299"/>
    <w:rsid w:val="007573E0"/>
    <w:rsid w:val="007659FF"/>
    <w:rsid w:val="00767FF2"/>
    <w:rsid w:val="00775B0E"/>
    <w:rsid w:val="00776486"/>
    <w:rsid w:val="00780693"/>
    <w:rsid w:val="00783CE4"/>
    <w:rsid w:val="00783F00"/>
    <w:rsid w:val="007858E1"/>
    <w:rsid w:val="007913C5"/>
    <w:rsid w:val="00791BA3"/>
    <w:rsid w:val="00795A0A"/>
    <w:rsid w:val="007A1197"/>
    <w:rsid w:val="007A2B40"/>
    <w:rsid w:val="007C1051"/>
    <w:rsid w:val="007C2815"/>
    <w:rsid w:val="007C3D66"/>
    <w:rsid w:val="007C4F70"/>
    <w:rsid w:val="007D0CAC"/>
    <w:rsid w:val="007E4185"/>
    <w:rsid w:val="007E4668"/>
    <w:rsid w:val="007E60D0"/>
    <w:rsid w:val="007F29F1"/>
    <w:rsid w:val="00802CBA"/>
    <w:rsid w:val="00806620"/>
    <w:rsid w:val="0081321A"/>
    <w:rsid w:val="00814F3B"/>
    <w:rsid w:val="00836F06"/>
    <w:rsid w:val="0085206C"/>
    <w:rsid w:val="00853698"/>
    <w:rsid w:val="00866C25"/>
    <w:rsid w:val="00875FA3"/>
    <w:rsid w:val="00886059"/>
    <w:rsid w:val="00894581"/>
    <w:rsid w:val="00896C30"/>
    <w:rsid w:val="008A19D2"/>
    <w:rsid w:val="008A6642"/>
    <w:rsid w:val="008B42DE"/>
    <w:rsid w:val="008D2304"/>
    <w:rsid w:val="008E3EF2"/>
    <w:rsid w:val="008E6103"/>
    <w:rsid w:val="008E7699"/>
    <w:rsid w:val="00900718"/>
    <w:rsid w:val="009077E3"/>
    <w:rsid w:val="0091359B"/>
    <w:rsid w:val="00917756"/>
    <w:rsid w:val="00924146"/>
    <w:rsid w:val="00931A40"/>
    <w:rsid w:val="009374DC"/>
    <w:rsid w:val="00940B32"/>
    <w:rsid w:val="0094198C"/>
    <w:rsid w:val="009535C2"/>
    <w:rsid w:val="009536DD"/>
    <w:rsid w:val="00954B06"/>
    <w:rsid w:val="00954B1B"/>
    <w:rsid w:val="009608A5"/>
    <w:rsid w:val="00961C74"/>
    <w:rsid w:val="009630E1"/>
    <w:rsid w:val="00977C00"/>
    <w:rsid w:val="00984FE3"/>
    <w:rsid w:val="009935B3"/>
    <w:rsid w:val="0099573C"/>
    <w:rsid w:val="00997690"/>
    <w:rsid w:val="009A6019"/>
    <w:rsid w:val="009B44A1"/>
    <w:rsid w:val="009C642E"/>
    <w:rsid w:val="009C664B"/>
    <w:rsid w:val="009C7E84"/>
    <w:rsid w:val="009D2904"/>
    <w:rsid w:val="009D4208"/>
    <w:rsid w:val="009F1314"/>
    <w:rsid w:val="009F7EE3"/>
    <w:rsid w:val="00A12E27"/>
    <w:rsid w:val="00A30589"/>
    <w:rsid w:val="00A31C2D"/>
    <w:rsid w:val="00A32A04"/>
    <w:rsid w:val="00A4067B"/>
    <w:rsid w:val="00A46ED1"/>
    <w:rsid w:val="00A5181E"/>
    <w:rsid w:val="00A579A9"/>
    <w:rsid w:val="00A57CF5"/>
    <w:rsid w:val="00A66709"/>
    <w:rsid w:val="00A70FFC"/>
    <w:rsid w:val="00A76135"/>
    <w:rsid w:val="00A7741D"/>
    <w:rsid w:val="00A82049"/>
    <w:rsid w:val="00A82618"/>
    <w:rsid w:val="00A94A0B"/>
    <w:rsid w:val="00A95065"/>
    <w:rsid w:val="00AA2694"/>
    <w:rsid w:val="00AC0808"/>
    <w:rsid w:val="00AC5D01"/>
    <w:rsid w:val="00AD2E4C"/>
    <w:rsid w:val="00AE2548"/>
    <w:rsid w:val="00AE5A02"/>
    <w:rsid w:val="00AF1D5E"/>
    <w:rsid w:val="00AF29AC"/>
    <w:rsid w:val="00AF3F94"/>
    <w:rsid w:val="00AF745B"/>
    <w:rsid w:val="00B00846"/>
    <w:rsid w:val="00B0312C"/>
    <w:rsid w:val="00B10D6C"/>
    <w:rsid w:val="00B10EEE"/>
    <w:rsid w:val="00B137A9"/>
    <w:rsid w:val="00B16036"/>
    <w:rsid w:val="00B163E5"/>
    <w:rsid w:val="00B169D4"/>
    <w:rsid w:val="00B2075F"/>
    <w:rsid w:val="00B20BEC"/>
    <w:rsid w:val="00B261E4"/>
    <w:rsid w:val="00B31493"/>
    <w:rsid w:val="00B3578C"/>
    <w:rsid w:val="00B4293C"/>
    <w:rsid w:val="00B504FA"/>
    <w:rsid w:val="00B52ABD"/>
    <w:rsid w:val="00B63146"/>
    <w:rsid w:val="00B678FF"/>
    <w:rsid w:val="00B73F10"/>
    <w:rsid w:val="00B77723"/>
    <w:rsid w:val="00B8137F"/>
    <w:rsid w:val="00B81D42"/>
    <w:rsid w:val="00B96744"/>
    <w:rsid w:val="00B975FA"/>
    <w:rsid w:val="00BA7EED"/>
    <w:rsid w:val="00BB1B31"/>
    <w:rsid w:val="00BB2D6D"/>
    <w:rsid w:val="00BB3E70"/>
    <w:rsid w:val="00BB4EC5"/>
    <w:rsid w:val="00BC0A7B"/>
    <w:rsid w:val="00BC3F98"/>
    <w:rsid w:val="00BC42FD"/>
    <w:rsid w:val="00BD4073"/>
    <w:rsid w:val="00BE1678"/>
    <w:rsid w:val="00BF715A"/>
    <w:rsid w:val="00C038F8"/>
    <w:rsid w:val="00C221B3"/>
    <w:rsid w:val="00C3006E"/>
    <w:rsid w:val="00C3200D"/>
    <w:rsid w:val="00C4521E"/>
    <w:rsid w:val="00C466B7"/>
    <w:rsid w:val="00C67225"/>
    <w:rsid w:val="00C717E3"/>
    <w:rsid w:val="00C71991"/>
    <w:rsid w:val="00C74DB9"/>
    <w:rsid w:val="00C770A3"/>
    <w:rsid w:val="00C854EE"/>
    <w:rsid w:val="00C8711D"/>
    <w:rsid w:val="00C9360A"/>
    <w:rsid w:val="00C971BD"/>
    <w:rsid w:val="00C97EFB"/>
    <w:rsid w:val="00CA477D"/>
    <w:rsid w:val="00CA4CE4"/>
    <w:rsid w:val="00CB03E6"/>
    <w:rsid w:val="00CB5ABE"/>
    <w:rsid w:val="00CB7C21"/>
    <w:rsid w:val="00CD1FE5"/>
    <w:rsid w:val="00CE0600"/>
    <w:rsid w:val="00CE2DA2"/>
    <w:rsid w:val="00CE3745"/>
    <w:rsid w:val="00CE4EC4"/>
    <w:rsid w:val="00CE7073"/>
    <w:rsid w:val="00CE71F1"/>
    <w:rsid w:val="00D11D8D"/>
    <w:rsid w:val="00D163B5"/>
    <w:rsid w:val="00D25A1B"/>
    <w:rsid w:val="00D2781A"/>
    <w:rsid w:val="00D30787"/>
    <w:rsid w:val="00D32B24"/>
    <w:rsid w:val="00D503FD"/>
    <w:rsid w:val="00D50447"/>
    <w:rsid w:val="00D839ED"/>
    <w:rsid w:val="00D9353E"/>
    <w:rsid w:val="00D974AD"/>
    <w:rsid w:val="00DA220E"/>
    <w:rsid w:val="00DA73AD"/>
    <w:rsid w:val="00DB3A79"/>
    <w:rsid w:val="00DB7183"/>
    <w:rsid w:val="00DB7E7F"/>
    <w:rsid w:val="00DC0E77"/>
    <w:rsid w:val="00DC48B4"/>
    <w:rsid w:val="00DD0C4E"/>
    <w:rsid w:val="00DD2913"/>
    <w:rsid w:val="00DD375C"/>
    <w:rsid w:val="00DE263E"/>
    <w:rsid w:val="00DE58CA"/>
    <w:rsid w:val="00DE798B"/>
    <w:rsid w:val="00DF6292"/>
    <w:rsid w:val="00DF6F84"/>
    <w:rsid w:val="00E03D0C"/>
    <w:rsid w:val="00E1311D"/>
    <w:rsid w:val="00E144CD"/>
    <w:rsid w:val="00E15158"/>
    <w:rsid w:val="00E15F1B"/>
    <w:rsid w:val="00E2182B"/>
    <w:rsid w:val="00E2352D"/>
    <w:rsid w:val="00E24212"/>
    <w:rsid w:val="00E25D49"/>
    <w:rsid w:val="00E45AE8"/>
    <w:rsid w:val="00E46CE8"/>
    <w:rsid w:val="00E47F3A"/>
    <w:rsid w:val="00E50E01"/>
    <w:rsid w:val="00E54055"/>
    <w:rsid w:val="00E6222D"/>
    <w:rsid w:val="00E65217"/>
    <w:rsid w:val="00E756A3"/>
    <w:rsid w:val="00E83097"/>
    <w:rsid w:val="00E831DF"/>
    <w:rsid w:val="00E866E1"/>
    <w:rsid w:val="00E86B7E"/>
    <w:rsid w:val="00E9413C"/>
    <w:rsid w:val="00EA26E3"/>
    <w:rsid w:val="00EA3413"/>
    <w:rsid w:val="00EB4CAB"/>
    <w:rsid w:val="00EB617D"/>
    <w:rsid w:val="00EB7808"/>
    <w:rsid w:val="00EC677E"/>
    <w:rsid w:val="00EE0750"/>
    <w:rsid w:val="00EE7352"/>
    <w:rsid w:val="00EF152F"/>
    <w:rsid w:val="00F0002A"/>
    <w:rsid w:val="00F171BB"/>
    <w:rsid w:val="00F302CE"/>
    <w:rsid w:val="00F34FB0"/>
    <w:rsid w:val="00F37326"/>
    <w:rsid w:val="00F44719"/>
    <w:rsid w:val="00F50C5D"/>
    <w:rsid w:val="00F66715"/>
    <w:rsid w:val="00F66F5E"/>
    <w:rsid w:val="00F708B1"/>
    <w:rsid w:val="00F70CBC"/>
    <w:rsid w:val="00F71646"/>
    <w:rsid w:val="00F7680C"/>
    <w:rsid w:val="00F84134"/>
    <w:rsid w:val="00F8770B"/>
    <w:rsid w:val="00FB04E6"/>
    <w:rsid w:val="00FB155E"/>
    <w:rsid w:val="00FB22CC"/>
    <w:rsid w:val="00FB7CC3"/>
    <w:rsid w:val="00FC0E3C"/>
    <w:rsid w:val="00FC3383"/>
    <w:rsid w:val="00FC6A5D"/>
    <w:rsid w:val="00FD2541"/>
    <w:rsid w:val="00FE1ED5"/>
    <w:rsid w:val="00FE5945"/>
    <w:rsid w:val="00FE6BBF"/>
    <w:rsid w:val="00FE70B0"/>
    <w:rsid w:val="00FF3908"/>
    <w:rsid w:val="00FF6CEB"/>
    <w:rsid w:val="1E898A59"/>
    <w:rsid w:val="210FA608"/>
    <w:rsid w:val="76AB6B1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15325FE"/>
  <w15:docId w15:val="{581750D4-8167-48AC-A074-6660CD24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0125C"/>
    <w:pPr>
      <w:tabs>
        <w:tab w:val="center" w:pos="4513"/>
        <w:tab w:val="right" w:pos="9026"/>
      </w:tabs>
      <w:spacing w:line="240" w:lineRule="auto"/>
    </w:pPr>
  </w:style>
  <w:style w:type="character" w:customStyle="1" w:styleId="HeaderChar">
    <w:name w:val="Header Char"/>
    <w:basedOn w:val="DefaultParagraphFont"/>
    <w:link w:val="Header"/>
    <w:uiPriority w:val="99"/>
    <w:rsid w:val="0030125C"/>
    <w:rPr>
      <w:rFonts w:ascii="Verdana" w:hAnsi="Verdana"/>
      <w:color w:val="000000"/>
      <w:sz w:val="18"/>
      <w:szCs w:val="18"/>
    </w:rPr>
  </w:style>
  <w:style w:type="paragraph" w:styleId="Footer">
    <w:name w:val="footer"/>
    <w:basedOn w:val="Normal"/>
    <w:link w:val="FooterChar"/>
    <w:uiPriority w:val="99"/>
    <w:unhideWhenUsed/>
    <w:rsid w:val="0030125C"/>
    <w:pPr>
      <w:tabs>
        <w:tab w:val="center" w:pos="4513"/>
        <w:tab w:val="right" w:pos="9026"/>
      </w:tabs>
      <w:spacing w:line="240" w:lineRule="auto"/>
    </w:pPr>
  </w:style>
  <w:style w:type="character" w:customStyle="1" w:styleId="FooterChar">
    <w:name w:val="Footer Char"/>
    <w:basedOn w:val="DefaultParagraphFont"/>
    <w:link w:val="Footer"/>
    <w:uiPriority w:val="99"/>
    <w:rsid w:val="0030125C"/>
    <w:rPr>
      <w:rFonts w:ascii="Verdana" w:hAnsi="Verdana"/>
      <w:color w:val="000000"/>
      <w:sz w:val="18"/>
      <w:szCs w:val="18"/>
    </w:rPr>
  </w:style>
  <w:style w:type="character" w:styleId="UnresolvedMention">
    <w:name w:val="Unresolved Mention"/>
    <w:basedOn w:val="DefaultParagraphFont"/>
    <w:uiPriority w:val="99"/>
    <w:semiHidden/>
    <w:unhideWhenUsed/>
    <w:rsid w:val="0030125C"/>
    <w:rPr>
      <w:color w:val="605E5C"/>
      <w:shd w:val="clear" w:color="auto" w:fill="E1DFDD"/>
    </w:rPr>
  </w:style>
  <w:style w:type="paragraph" w:styleId="FootnoteText">
    <w:name w:val="footnote text"/>
    <w:basedOn w:val="Normal"/>
    <w:link w:val="FootnoteTextChar"/>
    <w:uiPriority w:val="99"/>
    <w:semiHidden/>
    <w:unhideWhenUsed/>
    <w:rsid w:val="0030125C"/>
    <w:pPr>
      <w:spacing w:line="240" w:lineRule="auto"/>
    </w:pPr>
    <w:rPr>
      <w:sz w:val="20"/>
      <w:szCs w:val="20"/>
    </w:rPr>
  </w:style>
  <w:style w:type="character" w:customStyle="1" w:styleId="FootnoteTextChar">
    <w:name w:val="Footnote Text Char"/>
    <w:basedOn w:val="DefaultParagraphFont"/>
    <w:link w:val="FootnoteText"/>
    <w:uiPriority w:val="99"/>
    <w:semiHidden/>
    <w:rsid w:val="0030125C"/>
    <w:rPr>
      <w:rFonts w:ascii="Verdana" w:hAnsi="Verdana"/>
      <w:color w:val="000000"/>
    </w:rPr>
  </w:style>
  <w:style w:type="character" w:styleId="FootnoteReference">
    <w:name w:val="footnote reference"/>
    <w:basedOn w:val="DefaultParagraphFont"/>
    <w:uiPriority w:val="99"/>
    <w:semiHidden/>
    <w:unhideWhenUsed/>
    <w:rsid w:val="0030125C"/>
    <w:rPr>
      <w:vertAlign w:val="superscript"/>
    </w:rPr>
  </w:style>
  <w:style w:type="paragraph" w:styleId="ListParagraph">
    <w:name w:val="List Paragraph"/>
    <w:basedOn w:val="Normal"/>
    <w:uiPriority w:val="34"/>
    <w:semiHidden/>
    <w:rsid w:val="00E866E1"/>
    <w:pPr>
      <w:ind w:left="720"/>
      <w:contextualSpacing/>
    </w:pPr>
  </w:style>
  <w:style w:type="character" w:styleId="CommentReference">
    <w:name w:val="annotation reference"/>
    <w:basedOn w:val="DefaultParagraphFont"/>
    <w:uiPriority w:val="99"/>
    <w:semiHidden/>
    <w:unhideWhenUsed/>
    <w:rsid w:val="006904C1"/>
    <w:rPr>
      <w:sz w:val="16"/>
      <w:szCs w:val="16"/>
    </w:rPr>
  </w:style>
  <w:style w:type="paragraph" w:styleId="CommentText">
    <w:name w:val="annotation text"/>
    <w:basedOn w:val="Normal"/>
    <w:link w:val="CommentTextChar"/>
    <w:uiPriority w:val="99"/>
    <w:unhideWhenUsed/>
    <w:rsid w:val="006904C1"/>
    <w:pPr>
      <w:spacing w:line="240" w:lineRule="auto"/>
    </w:pPr>
    <w:rPr>
      <w:sz w:val="20"/>
      <w:szCs w:val="20"/>
    </w:rPr>
  </w:style>
  <w:style w:type="character" w:customStyle="1" w:styleId="CommentTextChar">
    <w:name w:val="Comment Text Char"/>
    <w:basedOn w:val="DefaultParagraphFont"/>
    <w:link w:val="CommentText"/>
    <w:uiPriority w:val="99"/>
    <w:rsid w:val="006904C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904C1"/>
    <w:rPr>
      <w:b/>
      <w:bCs/>
    </w:rPr>
  </w:style>
  <w:style w:type="character" w:customStyle="1" w:styleId="CommentSubjectChar">
    <w:name w:val="Comment Subject Char"/>
    <w:basedOn w:val="CommentTextChar"/>
    <w:link w:val="CommentSubject"/>
    <w:uiPriority w:val="99"/>
    <w:semiHidden/>
    <w:rsid w:val="006904C1"/>
    <w:rPr>
      <w:rFonts w:ascii="Verdana" w:hAnsi="Verdana"/>
      <w:b/>
      <w:bCs/>
      <w:color w:val="000000"/>
    </w:rPr>
  </w:style>
  <w:style w:type="paragraph" w:customStyle="1" w:styleId="Default">
    <w:name w:val="Default"/>
    <w:rsid w:val="00A7741D"/>
    <w:pPr>
      <w:autoSpaceDE w:val="0"/>
      <w:adjustRightInd w:val="0"/>
      <w:textAlignment w:val="auto"/>
    </w:pPr>
    <w:rPr>
      <w:rFonts w:ascii="Verdana" w:hAnsi="Verdana" w:cs="Verdana"/>
      <w:color w:val="000000"/>
      <w:sz w:val="24"/>
      <w:szCs w:val="24"/>
    </w:rPr>
  </w:style>
  <w:style w:type="paragraph" w:styleId="Revision">
    <w:name w:val="Revision"/>
    <w:hidden/>
    <w:uiPriority w:val="99"/>
    <w:semiHidden/>
    <w:rsid w:val="005C4483"/>
    <w:pPr>
      <w:autoSpaceDN/>
      <w:textAlignment w:val="auto"/>
    </w:pPr>
    <w:rPr>
      <w:rFonts w:ascii="Verdana" w:hAnsi="Verdana"/>
      <w:color w:val="000000"/>
      <w:sz w:val="18"/>
      <w:szCs w:val="18"/>
    </w:rPr>
  </w:style>
  <w:style w:type="paragraph" w:styleId="EndnoteText">
    <w:name w:val="endnote text"/>
    <w:basedOn w:val="Normal"/>
    <w:link w:val="EndnoteTextChar"/>
    <w:uiPriority w:val="99"/>
    <w:semiHidden/>
    <w:unhideWhenUsed/>
    <w:rsid w:val="00BC3F98"/>
    <w:pPr>
      <w:spacing w:line="240" w:lineRule="auto"/>
    </w:pPr>
    <w:rPr>
      <w:sz w:val="20"/>
      <w:szCs w:val="20"/>
    </w:rPr>
  </w:style>
  <w:style w:type="character" w:customStyle="1" w:styleId="EndnoteTextChar">
    <w:name w:val="Endnote Text Char"/>
    <w:basedOn w:val="DefaultParagraphFont"/>
    <w:link w:val="EndnoteText"/>
    <w:uiPriority w:val="99"/>
    <w:semiHidden/>
    <w:rsid w:val="00BC3F98"/>
    <w:rPr>
      <w:rFonts w:ascii="Verdana" w:hAnsi="Verdana"/>
      <w:color w:val="000000"/>
    </w:rPr>
  </w:style>
  <w:style w:type="character" w:styleId="EndnoteReference">
    <w:name w:val="endnote reference"/>
    <w:basedOn w:val="DefaultParagraphFont"/>
    <w:uiPriority w:val="99"/>
    <w:semiHidden/>
    <w:unhideWhenUsed/>
    <w:rsid w:val="00BC3F98"/>
    <w:rPr>
      <w:vertAlign w:val="superscript"/>
    </w:rPr>
  </w:style>
  <w:style w:type="character" w:styleId="FollowedHyperlink">
    <w:name w:val="FollowedHyperlink"/>
    <w:basedOn w:val="DefaultParagraphFont"/>
    <w:uiPriority w:val="99"/>
    <w:semiHidden/>
    <w:unhideWhenUsed/>
    <w:rsid w:val="000F2C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935">
      <w:bodyDiv w:val="1"/>
      <w:marLeft w:val="0"/>
      <w:marRight w:val="0"/>
      <w:marTop w:val="0"/>
      <w:marBottom w:val="0"/>
      <w:divBdr>
        <w:top w:val="none" w:sz="0" w:space="0" w:color="auto"/>
        <w:left w:val="none" w:sz="0" w:space="0" w:color="auto"/>
        <w:bottom w:val="none" w:sz="0" w:space="0" w:color="auto"/>
        <w:right w:val="none" w:sz="0" w:space="0" w:color="auto"/>
      </w:divBdr>
    </w:div>
    <w:div w:id="234554619">
      <w:bodyDiv w:val="1"/>
      <w:marLeft w:val="0"/>
      <w:marRight w:val="0"/>
      <w:marTop w:val="0"/>
      <w:marBottom w:val="0"/>
      <w:divBdr>
        <w:top w:val="none" w:sz="0" w:space="0" w:color="auto"/>
        <w:left w:val="none" w:sz="0" w:space="0" w:color="auto"/>
        <w:bottom w:val="none" w:sz="0" w:space="0" w:color="auto"/>
        <w:right w:val="none" w:sz="0" w:space="0" w:color="auto"/>
      </w:divBdr>
    </w:div>
    <w:div w:id="387724563">
      <w:bodyDiv w:val="1"/>
      <w:marLeft w:val="0"/>
      <w:marRight w:val="0"/>
      <w:marTop w:val="0"/>
      <w:marBottom w:val="0"/>
      <w:divBdr>
        <w:top w:val="none" w:sz="0" w:space="0" w:color="auto"/>
        <w:left w:val="none" w:sz="0" w:space="0" w:color="auto"/>
        <w:bottom w:val="none" w:sz="0" w:space="0" w:color="auto"/>
        <w:right w:val="none" w:sz="0" w:space="0" w:color="auto"/>
      </w:divBdr>
    </w:div>
    <w:div w:id="567153709">
      <w:bodyDiv w:val="1"/>
      <w:marLeft w:val="0"/>
      <w:marRight w:val="0"/>
      <w:marTop w:val="0"/>
      <w:marBottom w:val="0"/>
      <w:divBdr>
        <w:top w:val="none" w:sz="0" w:space="0" w:color="auto"/>
        <w:left w:val="none" w:sz="0" w:space="0" w:color="auto"/>
        <w:bottom w:val="none" w:sz="0" w:space="0" w:color="auto"/>
        <w:right w:val="none" w:sz="0" w:space="0" w:color="auto"/>
      </w:divBdr>
      <w:divsChild>
        <w:div w:id="1736387941">
          <w:marLeft w:val="0"/>
          <w:marRight w:val="0"/>
          <w:marTop w:val="0"/>
          <w:marBottom w:val="0"/>
          <w:divBdr>
            <w:top w:val="none" w:sz="0" w:space="0" w:color="auto"/>
            <w:left w:val="none" w:sz="0" w:space="0" w:color="auto"/>
            <w:bottom w:val="none" w:sz="0" w:space="0" w:color="auto"/>
            <w:right w:val="none" w:sz="0" w:space="0" w:color="auto"/>
          </w:divBdr>
          <w:divsChild>
            <w:div w:id="2041470712">
              <w:marLeft w:val="0"/>
              <w:marRight w:val="0"/>
              <w:marTop w:val="0"/>
              <w:marBottom w:val="0"/>
              <w:divBdr>
                <w:top w:val="none" w:sz="0" w:space="0" w:color="auto"/>
                <w:left w:val="none" w:sz="0" w:space="0" w:color="auto"/>
                <w:bottom w:val="none" w:sz="0" w:space="0" w:color="auto"/>
                <w:right w:val="none" w:sz="0" w:space="0" w:color="auto"/>
              </w:divBdr>
              <w:divsChild>
                <w:div w:id="1765875757">
                  <w:marLeft w:val="0"/>
                  <w:marRight w:val="0"/>
                  <w:marTop w:val="0"/>
                  <w:marBottom w:val="0"/>
                  <w:divBdr>
                    <w:top w:val="none" w:sz="0" w:space="0" w:color="auto"/>
                    <w:left w:val="none" w:sz="0" w:space="0" w:color="auto"/>
                    <w:bottom w:val="none" w:sz="0" w:space="0" w:color="auto"/>
                    <w:right w:val="none" w:sz="0" w:space="0" w:color="auto"/>
                  </w:divBdr>
                  <w:divsChild>
                    <w:div w:id="219437906">
                      <w:marLeft w:val="0"/>
                      <w:marRight w:val="0"/>
                      <w:marTop w:val="0"/>
                      <w:marBottom w:val="0"/>
                      <w:divBdr>
                        <w:top w:val="none" w:sz="0" w:space="0" w:color="auto"/>
                        <w:left w:val="none" w:sz="0" w:space="0" w:color="auto"/>
                        <w:bottom w:val="none" w:sz="0" w:space="0" w:color="auto"/>
                        <w:right w:val="none" w:sz="0" w:space="0" w:color="auto"/>
                      </w:divBdr>
                      <w:divsChild>
                        <w:div w:id="201982863">
                          <w:marLeft w:val="0"/>
                          <w:marRight w:val="0"/>
                          <w:marTop w:val="0"/>
                          <w:marBottom w:val="0"/>
                          <w:divBdr>
                            <w:top w:val="none" w:sz="0" w:space="0" w:color="auto"/>
                            <w:left w:val="none" w:sz="0" w:space="0" w:color="auto"/>
                            <w:bottom w:val="none" w:sz="0" w:space="0" w:color="auto"/>
                            <w:right w:val="none" w:sz="0" w:space="0" w:color="auto"/>
                          </w:divBdr>
                          <w:divsChild>
                            <w:div w:id="1903250491">
                              <w:marLeft w:val="0"/>
                              <w:marRight w:val="0"/>
                              <w:marTop w:val="0"/>
                              <w:marBottom w:val="0"/>
                              <w:divBdr>
                                <w:top w:val="none" w:sz="0" w:space="0" w:color="auto"/>
                                <w:left w:val="none" w:sz="0" w:space="0" w:color="auto"/>
                                <w:bottom w:val="none" w:sz="0" w:space="0" w:color="auto"/>
                                <w:right w:val="none" w:sz="0" w:space="0" w:color="auto"/>
                              </w:divBdr>
                              <w:divsChild>
                                <w:div w:id="1059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551283">
      <w:bodyDiv w:val="1"/>
      <w:marLeft w:val="0"/>
      <w:marRight w:val="0"/>
      <w:marTop w:val="0"/>
      <w:marBottom w:val="0"/>
      <w:divBdr>
        <w:top w:val="none" w:sz="0" w:space="0" w:color="auto"/>
        <w:left w:val="none" w:sz="0" w:space="0" w:color="auto"/>
        <w:bottom w:val="none" w:sz="0" w:space="0" w:color="auto"/>
        <w:right w:val="none" w:sz="0" w:space="0" w:color="auto"/>
      </w:divBdr>
    </w:div>
    <w:div w:id="785807302">
      <w:bodyDiv w:val="1"/>
      <w:marLeft w:val="0"/>
      <w:marRight w:val="0"/>
      <w:marTop w:val="0"/>
      <w:marBottom w:val="0"/>
      <w:divBdr>
        <w:top w:val="none" w:sz="0" w:space="0" w:color="auto"/>
        <w:left w:val="none" w:sz="0" w:space="0" w:color="auto"/>
        <w:bottom w:val="none" w:sz="0" w:space="0" w:color="auto"/>
        <w:right w:val="none" w:sz="0" w:space="0" w:color="auto"/>
      </w:divBdr>
    </w:div>
    <w:div w:id="1182210320">
      <w:bodyDiv w:val="1"/>
      <w:marLeft w:val="0"/>
      <w:marRight w:val="0"/>
      <w:marTop w:val="0"/>
      <w:marBottom w:val="0"/>
      <w:divBdr>
        <w:top w:val="none" w:sz="0" w:space="0" w:color="auto"/>
        <w:left w:val="none" w:sz="0" w:space="0" w:color="auto"/>
        <w:bottom w:val="none" w:sz="0" w:space="0" w:color="auto"/>
        <w:right w:val="none" w:sz="0" w:space="0" w:color="auto"/>
      </w:divBdr>
    </w:div>
    <w:div w:id="1236280240">
      <w:bodyDiv w:val="1"/>
      <w:marLeft w:val="0"/>
      <w:marRight w:val="0"/>
      <w:marTop w:val="0"/>
      <w:marBottom w:val="0"/>
      <w:divBdr>
        <w:top w:val="none" w:sz="0" w:space="0" w:color="auto"/>
        <w:left w:val="none" w:sz="0" w:space="0" w:color="auto"/>
        <w:bottom w:val="none" w:sz="0" w:space="0" w:color="auto"/>
        <w:right w:val="none" w:sz="0" w:space="0" w:color="auto"/>
      </w:divBdr>
    </w:div>
    <w:div w:id="1236550166">
      <w:bodyDiv w:val="1"/>
      <w:marLeft w:val="0"/>
      <w:marRight w:val="0"/>
      <w:marTop w:val="0"/>
      <w:marBottom w:val="0"/>
      <w:divBdr>
        <w:top w:val="none" w:sz="0" w:space="0" w:color="auto"/>
        <w:left w:val="none" w:sz="0" w:space="0" w:color="auto"/>
        <w:bottom w:val="none" w:sz="0" w:space="0" w:color="auto"/>
        <w:right w:val="none" w:sz="0" w:space="0" w:color="auto"/>
      </w:divBdr>
      <w:divsChild>
        <w:div w:id="2038701684">
          <w:marLeft w:val="0"/>
          <w:marRight w:val="0"/>
          <w:marTop w:val="0"/>
          <w:marBottom w:val="0"/>
          <w:divBdr>
            <w:top w:val="none" w:sz="0" w:space="0" w:color="auto"/>
            <w:left w:val="none" w:sz="0" w:space="0" w:color="auto"/>
            <w:bottom w:val="none" w:sz="0" w:space="0" w:color="auto"/>
            <w:right w:val="none" w:sz="0" w:space="0" w:color="auto"/>
          </w:divBdr>
          <w:divsChild>
            <w:div w:id="340666187">
              <w:marLeft w:val="0"/>
              <w:marRight w:val="0"/>
              <w:marTop w:val="0"/>
              <w:marBottom w:val="0"/>
              <w:divBdr>
                <w:top w:val="none" w:sz="0" w:space="0" w:color="auto"/>
                <w:left w:val="none" w:sz="0" w:space="0" w:color="auto"/>
                <w:bottom w:val="none" w:sz="0" w:space="0" w:color="auto"/>
                <w:right w:val="none" w:sz="0" w:space="0" w:color="auto"/>
              </w:divBdr>
              <w:divsChild>
                <w:div w:id="551229509">
                  <w:marLeft w:val="0"/>
                  <w:marRight w:val="0"/>
                  <w:marTop w:val="0"/>
                  <w:marBottom w:val="0"/>
                  <w:divBdr>
                    <w:top w:val="none" w:sz="0" w:space="0" w:color="auto"/>
                    <w:left w:val="none" w:sz="0" w:space="0" w:color="auto"/>
                    <w:bottom w:val="none" w:sz="0" w:space="0" w:color="auto"/>
                    <w:right w:val="none" w:sz="0" w:space="0" w:color="auto"/>
                  </w:divBdr>
                  <w:divsChild>
                    <w:div w:id="430705839">
                      <w:marLeft w:val="0"/>
                      <w:marRight w:val="0"/>
                      <w:marTop w:val="0"/>
                      <w:marBottom w:val="0"/>
                      <w:divBdr>
                        <w:top w:val="none" w:sz="0" w:space="0" w:color="auto"/>
                        <w:left w:val="none" w:sz="0" w:space="0" w:color="auto"/>
                        <w:bottom w:val="none" w:sz="0" w:space="0" w:color="auto"/>
                        <w:right w:val="none" w:sz="0" w:space="0" w:color="auto"/>
                      </w:divBdr>
                      <w:divsChild>
                        <w:div w:id="594943496">
                          <w:marLeft w:val="0"/>
                          <w:marRight w:val="0"/>
                          <w:marTop w:val="0"/>
                          <w:marBottom w:val="0"/>
                          <w:divBdr>
                            <w:top w:val="none" w:sz="0" w:space="0" w:color="auto"/>
                            <w:left w:val="none" w:sz="0" w:space="0" w:color="auto"/>
                            <w:bottom w:val="none" w:sz="0" w:space="0" w:color="auto"/>
                            <w:right w:val="none" w:sz="0" w:space="0" w:color="auto"/>
                          </w:divBdr>
                          <w:divsChild>
                            <w:div w:id="567501345">
                              <w:marLeft w:val="0"/>
                              <w:marRight w:val="0"/>
                              <w:marTop w:val="0"/>
                              <w:marBottom w:val="0"/>
                              <w:divBdr>
                                <w:top w:val="none" w:sz="0" w:space="0" w:color="auto"/>
                                <w:left w:val="none" w:sz="0" w:space="0" w:color="auto"/>
                                <w:bottom w:val="none" w:sz="0" w:space="0" w:color="auto"/>
                                <w:right w:val="none" w:sz="0" w:space="0" w:color="auto"/>
                              </w:divBdr>
                              <w:divsChild>
                                <w:div w:id="4840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546432">
      <w:bodyDiv w:val="1"/>
      <w:marLeft w:val="0"/>
      <w:marRight w:val="0"/>
      <w:marTop w:val="0"/>
      <w:marBottom w:val="0"/>
      <w:divBdr>
        <w:top w:val="none" w:sz="0" w:space="0" w:color="auto"/>
        <w:left w:val="none" w:sz="0" w:space="0" w:color="auto"/>
        <w:bottom w:val="none" w:sz="0" w:space="0" w:color="auto"/>
        <w:right w:val="none" w:sz="0" w:space="0" w:color="auto"/>
      </w:divBdr>
    </w:div>
    <w:div w:id="1307515404">
      <w:bodyDiv w:val="1"/>
      <w:marLeft w:val="0"/>
      <w:marRight w:val="0"/>
      <w:marTop w:val="0"/>
      <w:marBottom w:val="0"/>
      <w:divBdr>
        <w:top w:val="none" w:sz="0" w:space="0" w:color="auto"/>
        <w:left w:val="none" w:sz="0" w:space="0" w:color="auto"/>
        <w:bottom w:val="none" w:sz="0" w:space="0" w:color="auto"/>
        <w:right w:val="none" w:sz="0" w:space="0" w:color="auto"/>
      </w:divBdr>
    </w:div>
    <w:div w:id="1386443732">
      <w:bodyDiv w:val="1"/>
      <w:marLeft w:val="0"/>
      <w:marRight w:val="0"/>
      <w:marTop w:val="0"/>
      <w:marBottom w:val="0"/>
      <w:divBdr>
        <w:top w:val="none" w:sz="0" w:space="0" w:color="auto"/>
        <w:left w:val="none" w:sz="0" w:space="0" w:color="auto"/>
        <w:bottom w:val="none" w:sz="0" w:space="0" w:color="auto"/>
        <w:right w:val="none" w:sz="0" w:space="0" w:color="auto"/>
      </w:divBdr>
    </w:div>
    <w:div w:id="1852643494">
      <w:bodyDiv w:val="1"/>
      <w:marLeft w:val="0"/>
      <w:marRight w:val="0"/>
      <w:marTop w:val="0"/>
      <w:marBottom w:val="0"/>
      <w:divBdr>
        <w:top w:val="none" w:sz="0" w:space="0" w:color="auto"/>
        <w:left w:val="none" w:sz="0" w:space="0" w:color="auto"/>
        <w:bottom w:val="none" w:sz="0" w:space="0" w:color="auto"/>
        <w:right w:val="none" w:sz="0" w:space="0" w:color="auto"/>
      </w:divBdr>
    </w:div>
    <w:div w:id="1993177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rabstates.unwomen.org/en/what-we-do/peace-and-security/syria-wps-programm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ipers.sf\Downloads\Reguliere%20kamer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1621</ap:Words>
  <ap:Characters>8916</ap:Characters>
  <ap:DocSecurity>0</ap:DocSecurity>
  <ap:Lines>74</ap:Lines>
  <ap:Paragraphs>21</ap:Paragraphs>
  <ap:ScaleCrop>false</ap:ScaleCrop>
  <ap:HeadingPairs>
    <vt:vector baseType="variant" size="2">
      <vt:variant>
        <vt:lpstr>Title</vt:lpstr>
      </vt:variant>
      <vt:variant>
        <vt:i4>1</vt:i4>
      </vt:variant>
    </vt:vector>
  </ap:HeadingPairs>
  <ap:TitlesOfParts>
    <vt:vector baseType="lpstr" size="1">
      <vt:lpstr>Kamerbrief Nederlandse Inzet op Accountability</vt:lpstr>
    </vt:vector>
  </ap:TitlesOfParts>
  <ap:LinksUpToDate>false</ap:LinksUpToDate>
  <ap:CharactersWithSpaces>10516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2026-03-17T16:09:00.0000000Z</lastPrinted>
  <dcterms:created xsi:type="dcterms:W3CDTF">2026-03-20T11:36:00.0000000Z</dcterms:created>
  <dcterms:modified xsi:type="dcterms:W3CDTF">2026-03-20T11:36:00.0000000Z</dcterms:modified>
  <category/>
  <contentStatus>UNCLASSIFIED</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_Forum">
    <vt:lpwstr>2;#Not applicable|0049e722-bfb1-4a3f-9d08-af7366a9af40</vt:lpwstr>
  </property>
  <property fmtid="{D5CDD505-2E9C-101B-9397-08002B2CF9AE}" pid="4" name="BZ_Country">
    <vt:lpwstr>3;#Syria|070a6be5-27fb-468e-bfe9-cfc07b0e7eb8</vt:lpwstr>
  </property>
  <property fmtid="{D5CDD505-2E9C-101B-9397-08002B2CF9AE}" pid="5" name="BZ_Theme">
    <vt:lpwstr>1;#Organization and management general|68c629c2-f36d-451d-9132-f1684bfd165b</vt:lpwstr>
  </property>
  <property fmtid="{D5CDD505-2E9C-101B-9397-08002B2CF9AE}" pid="6" name="BZForumOrganisation">
    <vt:lpwstr>2;#Not applicable|0049e722-bfb1-4a3f-9d08-af7366a9af40</vt:lpwstr>
  </property>
  <property fmtid="{D5CDD505-2E9C-101B-9397-08002B2CF9AE}" pid="7" name="gc2efd3bfea04f7f8169be07009f5536">
    <vt:lpwstr/>
  </property>
  <property fmtid="{D5CDD505-2E9C-101B-9397-08002B2CF9AE}" pid="8" name="BZ_Classification">
    <vt:lpwstr>11;#NO MARKING|879e64ec-6597-483b-94db-f5f70afd7299</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ProcessLocation">
    <vt:lpwstr/>
  </property>
  <property fmtid="{D5CDD505-2E9C-101B-9397-08002B2CF9AE}" pid="14" name="BZDossierGovernmentOfficial">
    <vt:lpwstr/>
  </property>
  <property fmtid="{D5CDD505-2E9C-101B-9397-08002B2CF9AE}" pid="15" name="BZMarking">
    <vt:lpwstr>133;#PUBLIC (PU)|e96063e3-5f08-458f-80b0-ca297e53cd3c</vt:lpwstr>
  </property>
  <property fmtid="{D5CDD505-2E9C-101B-9397-08002B2CF9AE}" pid="16" name="f2fb2a8e39404f1ab554e4e4a49d2918">
    <vt:lpwstr/>
  </property>
  <property fmtid="{D5CDD505-2E9C-101B-9397-08002B2CF9AE}" pid="17" name="BZDossierPublishingWOOCategory">
    <vt:lpwstr/>
  </property>
  <property fmtid="{D5CDD505-2E9C-101B-9397-08002B2CF9AE}" pid="18" name="i42ef48d5fa942a0ad0d60e44f201751">
    <vt:lpwstr/>
  </property>
  <property fmtid="{D5CDD505-2E9C-101B-9397-08002B2CF9AE}" pid="19" name="BZClassification">
    <vt:lpwstr>4;#UNCLASSIFIED (U)|284e6a62-15ab-4017-be27-a1e965f4e940</vt:lpwstr>
  </property>
  <property fmtid="{D5CDD505-2E9C-101B-9397-08002B2CF9AE}" pid="20" name="f8e003236e1c4ac2ab9051d5d8789bbb">
    <vt:lpwstr/>
  </property>
  <property fmtid="{D5CDD505-2E9C-101B-9397-08002B2CF9AE}" pid="21" name="p29721a54a5c4bbe9786e930fc91e270">
    <vt:lpwstr/>
  </property>
  <property fmtid="{D5CDD505-2E9C-101B-9397-08002B2CF9AE}" pid="22" name="ed9282a3f18446ec8c17c7829edf82dd">
    <vt:lpwstr/>
  </property>
  <property fmtid="{D5CDD505-2E9C-101B-9397-08002B2CF9AE}" pid="23" name="e256f556a7b748329ab47889947c7d40">
    <vt:lpwstr/>
  </property>
  <property fmtid="{D5CDD505-2E9C-101B-9397-08002B2CF9AE}" pid="24" name="BZDossierProcessType">
    <vt:lpwstr/>
  </property>
  <property fmtid="{D5CDD505-2E9C-101B-9397-08002B2CF9AE}" pid="25" name="URL">
    <vt:lpwstr>https://247.plaza.buzaservices.nl/subject/PV-RK2026022026/BZ2626139/Kamerbrief%20Nederlandse%20Inzet%20op%20Accountability%20en%20Mensenrechten%20Syrië.docx, </vt:lpwstr>
  </property>
  <property fmtid="{D5CDD505-2E9C-101B-9397-08002B2CF9AE}" pid="26" name="BZDossierBudgetManager">
    <vt:lpwstr/>
  </property>
  <property fmtid="{D5CDD505-2E9C-101B-9397-08002B2CF9AE}" pid="27" name="nf4434b3fae540fe847866e45672fb3a">
    <vt:lpwstr>Organization and management general|68c629c2-f36d-451d-9132-f1684bfd165b</vt:lpwstr>
  </property>
  <property fmtid="{D5CDD505-2E9C-101B-9397-08002B2CF9AE}" pid="28" name="a45510494d1a450e9cee6905c7ad8168">
    <vt:lpwstr>Syria|070a6be5-27fb-468e-bfe9-cfc07b0e7eb8</vt:lpwstr>
  </property>
  <property fmtid="{D5CDD505-2E9C-101B-9397-08002B2CF9AE}" pid="29" name="ge4bd621e46a403e97baf402a410deb5">
    <vt:lpwstr>Not applicable|0049e722-bfb1-4a3f-9d08-af7366a9af40</vt:lpwstr>
  </property>
  <property fmtid="{D5CDD505-2E9C-101B-9397-08002B2CF9AE}" pid="30" name="ga509c7afcac4f5cb939db754ffece25">
    <vt:lpwstr>NO MARKING|879e64ec-6597-483b-94db-f5f70afd7299</vt:lpwstr>
  </property>
  <property fmtid="{D5CDD505-2E9C-101B-9397-08002B2CF9AE}" pid="31" name="_docset_NoMedatataSyncRequired">
    <vt:lpwstr>False</vt:lpwstr>
  </property>
  <property fmtid="{D5CDD505-2E9C-101B-9397-08002B2CF9AE}" pid="32" name="BZDossierTemplate">
    <vt:lpwstr>ReguliereKamerbrief</vt:lpwstr>
  </property>
  <property fmtid="{D5CDD505-2E9C-101B-9397-08002B2CF9AE}" pid="33" name="SharedWithUsers">
    <vt:lpwstr>349;#Flamand, JA</vt:lpwstr>
  </property>
  <property fmtid="{D5CDD505-2E9C-101B-9397-08002B2CF9AE}" pid="34" name="_dlc_DocIdItemGuid">
    <vt:lpwstr>6a5f0667-7bf8-45fc-8759-90511a0957f4</vt:lpwstr>
  </property>
</Properties>
</file>