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P="005E545A" w:rsidRDefault="005E545A" w14:paraId="0A690622" w14:textId="77777777">
      <w:bookmarkStart w:name="_GoBack" w:id="0"/>
      <w:bookmarkEnd w:id="0"/>
      <w:r>
        <w:t>Geachte voorzitter,</w:t>
      </w:r>
    </w:p>
    <w:p w:rsidR="005E545A" w:rsidP="005E545A" w:rsidRDefault="005E545A" w14:paraId="7A1CF301" w14:textId="77777777"/>
    <w:p w:rsidRPr="00603FAF" w:rsidR="005E545A" w:rsidP="005E545A" w:rsidRDefault="005E545A" w14:paraId="43A37775" w14:textId="65168544">
      <w:r w:rsidRPr="00603FAF">
        <w:t xml:space="preserve">Hierbij ontvangt </w:t>
      </w:r>
      <w:r>
        <w:t>u</w:t>
      </w:r>
      <w:r w:rsidRPr="00603FAF">
        <w:t>, mede namens de minister van Volkshuisvesting en Ruimtelijke Ordening (VRO), de minister van Klimaat en Groene Groei (KGG)</w:t>
      </w:r>
      <w:r>
        <w:t xml:space="preserve">, </w:t>
      </w:r>
      <w:r w:rsidRPr="0048386D">
        <w:t>de minister van Landbouw</w:t>
      </w:r>
      <w:r w:rsidR="006C7B10">
        <w:t>,</w:t>
      </w:r>
      <w:r w:rsidRPr="0048386D">
        <w:t xml:space="preserve"> Visserij, Voedselzekerheid</w:t>
      </w:r>
      <w:r w:rsidR="006C7B10">
        <w:t xml:space="preserve"> en Natuur</w:t>
      </w:r>
      <w:r w:rsidRPr="0048386D">
        <w:t xml:space="preserve"> (LVVN) en de staatssecretaris van LVVN</w:t>
      </w:r>
      <w:r w:rsidRPr="00603FAF">
        <w:t>, het door het kabinet vastgestelde Partieel Herziene Programma Noordzee 2022-2027.</w:t>
      </w:r>
    </w:p>
    <w:p w:rsidRPr="00603FAF" w:rsidR="005E545A" w:rsidP="005E545A" w:rsidRDefault="005E545A" w14:paraId="712A9459" w14:textId="77777777"/>
    <w:p w:rsidR="005E545A" w:rsidP="005E545A" w:rsidRDefault="005E545A" w14:paraId="098A1A2A" w14:textId="7D747115">
      <w:r w:rsidRPr="00603FAF">
        <w:t xml:space="preserve">Dit betreft een gedeeltelijk, tussentijds gewijzigd Programma Noordzee 2022-2027 (PNZ 2022-2027). Het ontwerp van dit Partieel Herziene Programma Noordzee </w:t>
      </w:r>
      <w:r>
        <w:t xml:space="preserve">is </w:t>
      </w:r>
      <w:r w:rsidRPr="00603FAF">
        <w:t xml:space="preserve">op 18 april </w:t>
      </w:r>
      <w:r>
        <w:t>2025</w:t>
      </w:r>
      <w:r w:rsidR="006C7B10">
        <w:t xml:space="preserve"> al</w:t>
      </w:r>
      <w:r w:rsidRPr="00603FAF">
        <w:t xml:space="preserve"> aan </w:t>
      </w:r>
      <w:r>
        <w:t>de</w:t>
      </w:r>
      <w:r w:rsidRPr="00603FAF">
        <w:t xml:space="preserve"> Kamer gezonden</w:t>
      </w:r>
      <w:r>
        <w:rPr>
          <w:rStyle w:val="FootnoteReference"/>
        </w:rPr>
        <w:footnoteReference w:id="1"/>
      </w:r>
      <w:r w:rsidRPr="00603FAF">
        <w:t xml:space="preserve">, </w:t>
      </w:r>
      <w:r w:rsidR="006C7B10">
        <w:t>en heeft</w:t>
      </w:r>
      <w:r w:rsidRPr="00603FAF">
        <w:t xml:space="preserve"> vanaf 13 mei </w:t>
      </w:r>
      <w:r>
        <w:t xml:space="preserve">2025 </w:t>
      </w:r>
      <w:r w:rsidRPr="00603FAF">
        <w:t>gedurende 6 weken ter inzage heeft gelegen</w:t>
      </w:r>
      <w:r w:rsidR="006C7B10">
        <w:t>. Ook is het</w:t>
      </w:r>
      <w:r w:rsidRPr="00603FAF">
        <w:t xml:space="preserve"> toegezonden aan buurlanden in het kader van het verdrag van Espoo. </w:t>
      </w:r>
    </w:p>
    <w:p w:rsidR="005E545A" w:rsidP="005E545A" w:rsidRDefault="005E545A" w14:paraId="121A6C3E" w14:textId="77777777"/>
    <w:p w:rsidR="005E545A" w:rsidP="005E545A" w:rsidRDefault="005E545A" w14:paraId="1AB735BB" w14:textId="772335AD">
      <w:r w:rsidRPr="00603FAF">
        <w:t xml:space="preserve">De ontvangen zienswijzen zijn verwerkt in de bijgevoegde </w:t>
      </w:r>
      <w:r>
        <w:t>Reactienota</w:t>
      </w:r>
      <w:r w:rsidRPr="00603FAF">
        <w:t>. Tevens is een advies ingewonnen van de Commissie voor de milieueffectrapportage. Op grond van de zienswijzen, het advies, ambtelijke correcties en politieke ontwikkelingen zijn beperkte wijzigingen in de tekst</w:t>
      </w:r>
      <w:r>
        <w:t xml:space="preserve"> </w:t>
      </w:r>
      <w:r w:rsidRPr="00603FAF">
        <w:t xml:space="preserve">aangebracht. Ook deze zijn in de </w:t>
      </w:r>
      <w:r>
        <w:t>Reactienota</w:t>
      </w:r>
      <w:r w:rsidRPr="00603FAF">
        <w:t xml:space="preserve"> opgenomen.</w:t>
      </w:r>
      <w:r>
        <w:t xml:space="preserve"> </w:t>
      </w:r>
      <w:r w:rsidRPr="00603FAF">
        <w:t xml:space="preserve">Hieronder licht ik </w:t>
      </w:r>
      <w:r>
        <w:t>het Partieel Herziene</w:t>
      </w:r>
      <w:r w:rsidRPr="00603FAF">
        <w:t xml:space="preserve"> Programma Noordzee inhoudelijk toe. </w:t>
      </w:r>
    </w:p>
    <w:p w:rsidRPr="00603FAF" w:rsidR="005E545A" w:rsidP="005E545A" w:rsidRDefault="005E545A" w14:paraId="4DD5831B" w14:textId="77777777"/>
    <w:p w:rsidRPr="00603FAF" w:rsidR="005E545A" w:rsidP="005E545A" w:rsidRDefault="005E545A" w14:paraId="1313820C" w14:textId="77777777">
      <w:pPr>
        <w:pStyle w:val="ListParagraph"/>
        <w:numPr>
          <w:ilvl w:val="0"/>
          <w:numId w:val="24"/>
        </w:numPr>
        <w:rPr>
          <w:b/>
          <w:bCs/>
        </w:rPr>
      </w:pPr>
      <w:r w:rsidRPr="00603FAF">
        <w:rPr>
          <w:b/>
          <w:bCs/>
        </w:rPr>
        <w:t>Ambitie van het Kabinet</w:t>
      </w:r>
    </w:p>
    <w:p w:rsidRPr="00603FAF" w:rsidR="005E545A" w:rsidP="005E545A" w:rsidRDefault="005E545A" w14:paraId="6E70C020" w14:textId="77777777"/>
    <w:p w:rsidR="006C7B10" w:rsidP="005E545A" w:rsidRDefault="005E545A" w14:paraId="4E4A76FB" w14:textId="61F4F9B0">
      <w:r>
        <w:t>In juli 2025 heeft het vorige kabinet een</w:t>
      </w:r>
      <w:r w:rsidRPr="00603FAF">
        <w:t xml:space="preserve"> ambitie</w:t>
      </w:r>
      <w:r>
        <w:t xml:space="preserve"> voor windenergie op zee vastgesteld van </w:t>
      </w:r>
      <w:r w:rsidRPr="00603FAF">
        <w:t>30-40 GW in 2040</w:t>
      </w:r>
      <w:r w:rsidRPr="00603FAF">
        <w:rPr>
          <w:rStyle w:val="FootnoteReference"/>
        </w:rPr>
        <w:footnoteReference w:id="2"/>
      </w:r>
      <w:r w:rsidRPr="00603FAF">
        <w:t xml:space="preserve">. </w:t>
      </w:r>
      <w:r>
        <w:t xml:space="preserve">In het </w:t>
      </w:r>
      <w:r w:rsidR="006C7B10">
        <w:t>c</w:t>
      </w:r>
      <w:r>
        <w:t xml:space="preserve">oalitieakkoord </w:t>
      </w:r>
      <w:r w:rsidR="006C7B10">
        <w:t>van het kabinet-Jetten is aangegeven dat we</w:t>
      </w:r>
      <w:r>
        <w:t xml:space="preserve"> willen investeren in 40 GW windenergie op zee. Om dit doel te halen</w:t>
      </w:r>
      <w:r w:rsidRPr="00603FAF">
        <w:t xml:space="preserve"> </w:t>
      </w:r>
      <w:r>
        <w:t xml:space="preserve">is het noodzakelijk </w:t>
      </w:r>
      <w:r w:rsidRPr="00603FAF">
        <w:t>nieuwe windenergiegebieden aan te wijzen via een wijziging van het PNZ 2022-2027</w:t>
      </w:r>
      <w:r w:rsidRPr="009A30CE">
        <w:t>. Dit doet het kabinet in dit</w:t>
      </w:r>
      <w:r>
        <w:t xml:space="preserve"> </w:t>
      </w:r>
      <w:r w:rsidRPr="009A30CE">
        <w:t>Partieel Herziene Programma Noordzee 2022-2027</w:t>
      </w:r>
      <w:r>
        <w:t xml:space="preserve"> met de aanwijzing van extra ruimte voor windenergiegebied Doordewind en met windenergiegebied 6/7</w:t>
      </w:r>
      <w:r w:rsidRPr="004158C1">
        <w:t xml:space="preserve">. Door </w:t>
      </w:r>
      <w:r>
        <w:t xml:space="preserve">het Partieel </w:t>
      </w:r>
      <w:r>
        <w:lastRenderedPageBreak/>
        <w:t>Herziene Programma Noordzee</w:t>
      </w:r>
      <w:r w:rsidRPr="004158C1">
        <w:t xml:space="preserve"> nu vast te stellen vermijdt het kabinet een vertraging van de uitrol van windenergie op zee van minimaal twee jaar die zou optreden wanneer nieuwe windenergiegebieden pas worden aangewezen bij het nieuwe programma Noordzee 2028</w:t>
      </w:r>
      <w:r w:rsidR="0026799D">
        <w:t>-</w:t>
      </w:r>
      <w:r w:rsidRPr="004158C1">
        <w:t xml:space="preserve">2033, waarvan de vaststelling </w:t>
      </w:r>
      <w:r w:rsidR="006C7B10">
        <w:t>niet eerder dan eind</w:t>
      </w:r>
      <w:r w:rsidRPr="004158C1">
        <w:t xml:space="preserve"> 2027 is voorzien. </w:t>
      </w:r>
    </w:p>
    <w:p w:rsidR="005E545A" w:rsidP="005E545A" w:rsidRDefault="005E545A" w14:paraId="76878D8C" w14:textId="3B76FA13">
      <w:r>
        <w:t xml:space="preserve">Voor het windkavel Doordewind II waar TenneT de ontwikkeling van de gelijkstroomverbinding al in opdracht heeft gekregen is de vaststelling van belang om maatschappelijke kosten te voorkomen. Daarnaast draagt de vaststelling bij aan de doelen voor de realisatie van </w:t>
      </w:r>
      <w:r w:rsidRPr="004158C1">
        <w:t>windenergie op zee.</w:t>
      </w:r>
      <w:r w:rsidRPr="0050084E">
        <w:t xml:space="preserve"> </w:t>
      </w:r>
      <w:r w:rsidRPr="00F712C6" w:rsidR="00F712C6">
        <w:t>Met de vaststelling van dit Partieel Herziene Programma Noordzee worden tegelijkertijd geen (financiële) verplichtingen aangegaan</w:t>
      </w:r>
      <w:r w:rsidR="00F712C6">
        <w:t>.</w:t>
      </w:r>
    </w:p>
    <w:p w:rsidRPr="00603FAF" w:rsidR="005E545A" w:rsidP="005E545A" w:rsidRDefault="005E545A" w14:paraId="494E32DD" w14:textId="77777777"/>
    <w:p w:rsidR="005E545A" w:rsidP="005E545A" w:rsidRDefault="00230DCB" w14:paraId="58021DA1" w14:textId="25FF34C2">
      <w:r w:rsidRPr="00230DCB">
        <w:t xml:space="preserve">Het bereiken van een duurzame, gezonde Noordzee die de voor Nederland noodzakelijke diensten kan leveren is een kabinetsbrede opgave. De integraliteit van de opgave wordt gereflecteerd door het Noordzeeakkoord, dat het rijk en bij de Noordzee betrokken stakeholders in 2020 sloten. Vanwege de grote ruimtelijke en ecologische samenhang van activiteiten op de Noordzee dienen nieuwe ontwikkelingen nadrukkelijk in samenhang uitgevoerd te worden. Om deze integrale opgave tot stand te brengen </w:t>
      </w:r>
      <w:r w:rsidRPr="008A0A72" w:rsidR="008A0A72">
        <w:t>heeft het kabinet in het coalitieakkoord middelen beschikbaar gesteld voor de integrale Noordzee investeringsopgave</w:t>
      </w:r>
      <w:r w:rsidRPr="00230DCB">
        <w:t xml:space="preserve">. </w:t>
      </w:r>
      <w:r w:rsidRPr="00603FAF" w:rsidR="005E545A">
        <w:t xml:space="preserve">De inpassingskosten voor windenergiegebied Doordewind </w:t>
      </w:r>
      <w:r w:rsidR="005E545A">
        <w:t xml:space="preserve">II </w:t>
      </w:r>
      <w:r w:rsidRPr="00603FAF" w:rsidR="005E545A">
        <w:t>zijn bij Voorjaarsnota 2025 gedekt binnen de begroting van</w:t>
      </w:r>
      <w:r w:rsidR="005E545A">
        <w:t xml:space="preserve"> het ministerie van</w:t>
      </w:r>
      <w:r w:rsidRPr="00603FAF" w:rsidR="005E545A">
        <w:t xml:space="preserve"> KGG</w:t>
      </w:r>
      <w:r w:rsidR="005E545A">
        <w:t xml:space="preserve">. Met de beschikbare </w:t>
      </w:r>
      <w:r w:rsidRPr="004158C1" w:rsidR="005E545A">
        <w:t xml:space="preserve">middelen in het coalitieakkoord voor de integrale Noordzee investeringsopgave is ook </w:t>
      </w:r>
      <w:r w:rsidRPr="00A4574D" w:rsidR="005E545A">
        <w:t>dekking</w:t>
      </w:r>
      <w:r w:rsidR="006C7B10">
        <w:t xml:space="preserve"> </w:t>
      </w:r>
      <w:r w:rsidR="0092658E">
        <w:t>gereserveerd</w:t>
      </w:r>
      <w:r w:rsidRPr="004158C1" w:rsidR="0092658E">
        <w:t xml:space="preserve"> </w:t>
      </w:r>
      <w:r w:rsidRPr="004158C1" w:rsidR="005E545A">
        <w:t>voor de inpassingskosten</w:t>
      </w:r>
      <w:r w:rsidR="005E545A">
        <w:t xml:space="preserve"> om tot 40 GW te komen. </w:t>
      </w:r>
    </w:p>
    <w:p w:rsidRPr="00540437" w:rsidR="005E545A" w:rsidP="005E545A" w:rsidRDefault="005E545A" w14:paraId="64377F0E" w14:textId="77777777">
      <w:pPr>
        <w:rPr>
          <w:b/>
          <w:bCs/>
        </w:rPr>
      </w:pPr>
    </w:p>
    <w:p w:rsidRPr="005A06AC" w:rsidR="005A06AC" w:rsidP="005A06AC" w:rsidRDefault="005E545A" w14:paraId="7CFE86DD" w14:textId="77777777">
      <w:r>
        <w:t>B</w:t>
      </w:r>
      <w:r w:rsidRPr="00603FAF">
        <w:t xml:space="preserve">ij de aanwijzing van windenergiegebieden </w:t>
      </w:r>
      <w:r>
        <w:t>in dit Partieel Herziene Programma Noordzee is</w:t>
      </w:r>
      <w:r w:rsidRPr="00603FAF">
        <w:t xml:space="preserve"> eerst naar ruimte voor de visserij gekeken. Ook </w:t>
      </w:r>
      <w:r>
        <w:t>is</w:t>
      </w:r>
      <w:r w:rsidRPr="00603FAF">
        <w:t xml:space="preserve"> een zorgvuldige balans gevonden met andere activiteiten op de Noordzee, waaronder - naast visserij - ook mijnbouw, scheepvaart en defensie, natuur, kustverdediging, zandwinning en maritiem erfgoed. Hierbij is waar relevant afgestemd met buurlanden en rekening gehouden met de Europese natuur- en milieuwetgeving.</w:t>
      </w:r>
      <w:r w:rsidR="00230DCB">
        <w:t xml:space="preserve"> </w:t>
      </w:r>
    </w:p>
    <w:p w:rsidRPr="005A06AC" w:rsidR="005A06AC" w:rsidP="005A06AC" w:rsidRDefault="005A06AC" w14:paraId="36A734C8" w14:textId="77777777">
      <w:r w:rsidRPr="005A06AC">
        <w:t xml:space="preserve">Een evenwichtige balans tussen al deze belangen, waarbij voldoende ruimte is voor het borgen van voedselwinning en herstel van de natuur, zal ook onder het huidige kabinet de basis vormen bij het uitwerken van nieuwe zoekgebieden. </w:t>
      </w:r>
    </w:p>
    <w:p w:rsidR="005E545A" w:rsidP="005E545A" w:rsidRDefault="005E545A" w14:paraId="135E1A10" w14:textId="77777777"/>
    <w:p w:rsidRPr="00603FAF" w:rsidR="005E545A" w:rsidP="006C7B10" w:rsidRDefault="005E545A" w14:paraId="422D5E3E" w14:textId="7E82506C">
      <w:r w:rsidRPr="00603FAF">
        <w:t>Met dit Partieel Herziene Programma Noordzee geef</w:t>
      </w:r>
      <w:r w:rsidR="006C7B10">
        <w:t>t het kabinet ook</w:t>
      </w:r>
      <w:r w:rsidRPr="00603FAF">
        <w:t xml:space="preserve"> invulling aan de motie van het lid Erkens c.s.</w:t>
      </w:r>
      <w:r w:rsidRPr="00603FAF">
        <w:rPr>
          <w:rStyle w:val="FootnoteReference"/>
        </w:rPr>
        <w:footnoteReference w:id="3"/>
      </w:r>
      <w:r w:rsidR="006C7B10">
        <w:t>, die oproept tot ‘</w:t>
      </w:r>
      <w:r w:rsidRPr="006C7B10" w:rsidR="006C7B10">
        <w:t>het inzichtelijk maken van hoe meer rekening gehouden wordt met de ruimte voor</w:t>
      </w:r>
      <w:r w:rsidR="006C7B10">
        <w:t xml:space="preserve"> </w:t>
      </w:r>
      <w:r w:rsidRPr="006C7B10" w:rsidR="006C7B10">
        <w:t>verschillende soorten visserij in balans met andere spelers op de Noordzee, waarbij</w:t>
      </w:r>
      <w:r w:rsidR="006C7B10">
        <w:t xml:space="preserve"> </w:t>
      </w:r>
      <w:r w:rsidRPr="006C7B10" w:rsidR="006C7B10">
        <w:t>de wind-op-zee</w:t>
      </w:r>
      <w:r w:rsidR="007D43B1">
        <w:t xml:space="preserve"> </w:t>
      </w:r>
      <w:r w:rsidRPr="006C7B10" w:rsidR="006C7B10">
        <w:t>ambities doorgang kunnen vinden</w:t>
      </w:r>
      <w:r w:rsidR="006C7B10">
        <w:t>’.</w:t>
      </w:r>
    </w:p>
    <w:p w:rsidRPr="00540437" w:rsidR="005E545A" w:rsidP="005E545A" w:rsidRDefault="005E545A" w14:paraId="6185541A" w14:textId="77777777">
      <w:pPr>
        <w:pStyle w:val="ListParagraph"/>
        <w:ind w:left="1068"/>
        <w:rPr>
          <w:b/>
          <w:bCs/>
        </w:rPr>
      </w:pPr>
    </w:p>
    <w:p w:rsidRPr="0025273F" w:rsidR="005E545A" w:rsidP="005E545A" w:rsidRDefault="005E545A" w14:paraId="52F852A5" w14:textId="77777777">
      <w:pPr>
        <w:pStyle w:val="ListParagraph"/>
        <w:numPr>
          <w:ilvl w:val="0"/>
          <w:numId w:val="24"/>
        </w:numPr>
        <w:rPr>
          <w:b/>
          <w:bCs/>
        </w:rPr>
      </w:pPr>
      <w:r w:rsidRPr="0025273F">
        <w:rPr>
          <w:b/>
          <w:bCs/>
        </w:rPr>
        <w:t xml:space="preserve">Opgave voor de </w:t>
      </w:r>
      <w:r>
        <w:rPr>
          <w:b/>
          <w:bCs/>
        </w:rPr>
        <w:t>p</w:t>
      </w:r>
      <w:r w:rsidRPr="0025273F">
        <w:rPr>
          <w:b/>
          <w:bCs/>
        </w:rPr>
        <w:t xml:space="preserve">artiële </w:t>
      </w:r>
      <w:r>
        <w:rPr>
          <w:b/>
          <w:bCs/>
        </w:rPr>
        <w:t>h</w:t>
      </w:r>
      <w:r w:rsidRPr="0025273F">
        <w:rPr>
          <w:b/>
          <w:bCs/>
        </w:rPr>
        <w:t>erziening van het Programma Noordzee 2022-2027</w:t>
      </w:r>
    </w:p>
    <w:p w:rsidR="005E545A" w:rsidP="005E545A" w:rsidRDefault="005E545A" w14:paraId="1B875EAF" w14:textId="77777777"/>
    <w:p w:rsidR="005E545A" w:rsidP="005E545A" w:rsidRDefault="005E545A" w14:paraId="334811C7" w14:textId="77777777">
      <w:r>
        <w:t>Het PNZ 2022-2027 is op 18 maart 2022 vastgesteld als zelfstandige bijlage van het Nationaal Waterprogramma 2022-2027 en vormt een verplicht programma onder de Omgevingswet. In het PNZ 2022-2027 werden windenergiegebieden aangewezen</w:t>
      </w:r>
      <w:r>
        <w:rPr>
          <w:rStyle w:val="FootnoteReference"/>
        </w:rPr>
        <w:footnoteReference w:id="4"/>
      </w:r>
      <w:r>
        <w:t xml:space="preserve"> voor realisatie van de huidige routekaart windenergie op zee voor 21 GW</w:t>
      </w:r>
      <w:r>
        <w:rPr>
          <w:rStyle w:val="FootnoteReference"/>
        </w:rPr>
        <w:footnoteReference w:id="5"/>
      </w:r>
      <w:r>
        <w:t>. Het PNZ 2022-2027 kondigde tevens een tussentijdse wijziging aan, de Partiële Herziening, met als doel:</w:t>
      </w:r>
    </w:p>
    <w:p w:rsidR="005E545A" w:rsidP="005E545A" w:rsidRDefault="005E545A" w14:paraId="6EDECD97" w14:textId="77777777"/>
    <w:p w:rsidR="005E545A" w:rsidP="005E545A" w:rsidRDefault="005E545A" w14:paraId="748212F0" w14:textId="77777777">
      <w:pPr>
        <w:pStyle w:val="ListParagraph"/>
        <w:numPr>
          <w:ilvl w:val="0"/>
          <w:numId w:val="25"/>
        </w:numPr>
      </w:pPr>
      <w:r>
        <w:t>Windenergiegebieden aan te wijzen voor de periode na 2031, om de beoogde ambitie voor windenergie op zee van 40 GW binnen bereik te brengen.</w:t>
      </w:r>
    </w:p>
    <w:p w:rsidR="005E545A" w:rsidP="005E545A" w:rsidRDefault="005E545A" w14:paraId="3D1D6F68" w14:textId="77777777">
      <w:pPr>
        <w:pStyle w:val="ListParagraph"/>
        <w:numPr>
          <w:ilvl w:val="0"/>
          <w:numId w:val="25"/>
        </w:numPr>
      </w:pPr>
      <w:r>
        <w:t>Aan te geven waar scheepvaartroutes (</w:t>
      </w:r>
      <w:r w:rsidRPr="115C6C3A">
        <w:rPr>
          <w:i/>
          <w:iCs/>
        </w:rPr>
        <w:t>clearways</w:t>
      </w:r>
      <w:r>
        <w:t>) ingesteld moeten worden ter borging van veilige scheepvaart om de windenergiegebieden heen.</w:t>
      </w:r>
    </w:p>
    <w:p w:rsidR="005E545A" w:rsidP="005E545A" w:rsidRDefault="005E545A" w14:paraId="2D47CA1D" w14:textId="77777777"/>
    <w:p w:rsidR="005E545A" w:rsidP="005E545A" w:rsidRDefault="005E545A" w14:paraId="36219280" w14:textId="77777777">
      <w:r>
        <w:t>In de Kamerbrief “Partiële Herziening van het Programma Noordzee 2022-2027”</w:t>
      </w:r>
      <w:r>
        <w:rPr>
          <w:rStyle w:val="FootnoteReference"/>
        </w:rPr>
        <w:footnoteReference w:id="6"/>
      </w:r>
      <w:r>
        <w:t xml:space="preserve"> is de opgave voor additionele windenergiegebieden voor de Partiële Herziening bepaald op tenminste 23-26 GW, en zijn de al genoemde onderwerpen uitgebreid met een aantal onderwerpen die én urgent waren én waarvan toevoeging niet tot vertraging van de gewenste vaststelling van de Partiële Herziening in 2025 zou leiden. Dat betrof:</w:t>
      </w:r>
    </w:p>
    <w:p w:rsidR="005E545A" w:rsidP="005E545A" w:rsidRDefault="005E545A" w14:paraId="40FE1BC8" w14:textId="77777777"/>
    <w:p w:rsidR="005E545A" w:rsidP="005E545A" w:rsidRDefault="005E545A" w14:paraId="6F7C94FB" w14:textId="77777777">
      <w:pPr>
        <w:pStyle w:val="ListParagraph"/>
        <w:numPr>
          <w:ilvl w:val="0"/>
          <w:numId w:val="26"/>
        </w:numPr>
      </w:pPr>
      <w:r>
        <w:t>Zandwinning (uitbreiding reserveringszone)</w:t>
      </w:r>
    </w:p>
    <w:p w:rsidR="005E545A" w:rsidP="005E545A" w:rsidRDefault="005E545A" w14:paraId="196C4C69" w14:textId="77777777">
      <w:pPr>
        <w:pStyle w:val="ListParagraph"/>
        <w:numPr>
          <w:ilvl w:val="0"/>
          <w:numId w:val="26"/>
        </w:numPr>
      </w:pPr>
      <w:r>
        <w:t>Ontwerpproces mijnbouw in relatie tot windenergie op zee</w:t>
      </w:r>
    </w:p>
    <w:p w:rsidR="005E545A" w:rsidP="005E545A" w:rsidRDefault="005E545A" w14:paraId="6ABC08EC" w14:textId="77777777">
      <w:pPr>
        <w:pStyle w:val="ListParagraph"/>
        <w:numPr>
          <w:ilvl w:val="0"/>
          <w:numId w:val="26"/>
        </w:numPr>
      </w:pPr>
      <w:r>
        <w:t>Medegebruik binnen windparken</w:t>
      </w:r>
    </w:p>
    <w:p w:rsidR="005E545A" w:rsidP="005E545A" w:rsidRDefault="005E545A" w14:paraId="4AAF2917" w14:textId="77777777">
      <w:pPr>
        <w:pStyle w:val="ListParagraph"/>
        <w:numPr>
          <w:ilvl w:val="0"/>
          <w:numId w:val="26"/>
        </w:numPr>
      </w:pPr>
      <w:r>
        <w:t>Verkennend programma Duurzame Blauwe Economie</w:t>
      </w:r>
    </w:p>
    <w:p w:rsidR="005E545A" w:rsidP="005E545A" w:rsidRDefault="005E545A" w14:paraId="3CC82BA6" w14:textId="77777777">
      <w:pPr>
        <w:pStyle w:val="ListParagraph"/>
        <w:numPr>
          <w:ilvl w:val="0"/>
          <w:numId w:val="26"/>
        </w:numPr>
      </w:pPr>
      <w:r>
        <w:t>Bescherming Zuidelijke Doggersbank onder de Kaderrichtlijn Marien (KRM) en grenscorrecties Centrale Oestergronden en Borkumse Stenen volgens afspraken uit het Noordzeeakkoord</w:t>
      </w:r>
    </w:p>
    <w:p w:rsidR="005E545A" w:rsidP="005E545A" w:rsidRDefault="005E545A" w14:paraId="663F6667" w14:textId="77777777">
      <w:pPr>
        <w:pStyle w:val="ListParagraph"/>
        <w:numPr>
          <w:ilvl w:val="0"/>
          <w:numId w:val="26"/>
        </w:numPr>
      </w:pPr>
      <w:r>
        <w:t>Programma Bescherming Noordzee-infrastructuur (PBNI)</w:t>
      </w:r>
    </w:p>
    <w:p w:rsidRPr="00420480" w:rsidR="005E545A" w:rsidP="005E545A" w:rsidRDefault="005E545A" w14:paraId="29487B39" w14:textId="77777777">
      <w:pPr>
        <w:pStyle w:val="ListParagraph"/>
        <w:numPr>
          <w:ilvl w:val="0"/>
          <w:numId w:val="26"/>
        </w:numPr>
        <w:rPr>
          <w:lang w:val="en-GB"/>
        </w:rPr>
      </w:pPr>
      <w:r w:rsidRPr="00420480">
        <w:rPr>
          <w:lang w:val="en-GB"/>
        </w:rPr>
        <w:t>Greater North Sea Basin Initiative (GNSBI)</w:t>
      </w:r>
    </w:p>
    <w:p w:rsidR="005E545A" w:rsidP="005E545A" w:rsidRDefault="005E545A" w14:paraId="5CAC1292" w14:textId="58134FAB">
      <w:pPr>
        <w:pStyle w:val="ListParagraph"/>
        <w:numPr>
          <w:ilvl w:val="0"/>
          <w:numId w:val="26"/>
        </w:numPr>
      </w:pPr>
      <w:r>
        <w:t>Afspraken kabels en leidingen in bufferzone scheepvaartroute</w:t>
      </w:r>
      <w:r w:rsidR="006C7B10">
        <w:t>.</w:t>
      </w:r>
    </w:p>
    <w:p w:rsidR="005E545A" w:rsidP="005E545A" w:rsidRDefault="005E545A" w14:paraId="50515536" w14:textId="77777777"/>
    <w:p w:rsidR="005E545A" w:rsidP="005E545A" w:rsidRDefault="005E545A" w14:paraId="5B3EE137" w14:textId="77777777">
      <w:r>
        <w:t>Kort na publicatie van die Kamerbrief zijn twee onderwerpen vanwege toegenomen urgentie toegevoegd:</w:t>
      </w:r>
    </w:p>
    <w:p w:rsidR="005E545A" w:rsidP="005E545A" w:rsidRDefault="005E545A" w14:paraId="1652EAB4" w14:textId="77777777">
      <w:pPr>
        <w:pStyle w:val="ListParagraph"/>
        <w:numPr>
          <w:ilvl w:val="0"/>
          <w:numId w:val="27"/>
        </w:numPr>
      </w:pPr>
      <w:r>
        <w:t>Solitaire windturbines</w:t>
      </w:r>
    </w:p>
    <w:p w:rsidR="005E545A" w:rsidP="005E545A" w:rsidRDefault="005E545A" w14:paraId="0602A834" w14:textId="77777777">
      <w:pPr>
        <w:pStyle w:val="ListParagraph"/>
        <w:numPr>
          <w:ilvl w:val="0"/>
          <w:numId w:val="27"/>
        </w:numPr>
      </w:pPr>
      <w:r>
        <w:t>Belang van ruimte voor visserij concreter beschrijven.</w:t>
      </w:r>
      <w:r>
        <w:rPr>
          <w:rStyle w:val="FootnoteReference"/>
        </w:rPr>
        <w:footnoteReference w:id="7"/>
      </w:r>
    </w:p>
    <w:p w:rsidR="005E545A" w:rsidP="005E545A" w:rsidRDefault="005E545A" w14:paraId="2EFB77D5" w14:textId="77777777"/>
    <w:p w:rsidR="005E545A" w:rsidP="005E545A" w:rsidRDefault="005E545A" w14:paraId="0030EEEA" w14:textId="77777777">
      <w:r>
        <w:t>Twee onderdelen van de opgave konden nog niet worden uitgewerkt:</w:t>
      </w:r>
    </w:p>
    <w:p w:rsidR="005E545A" w:rsidP="005E545A" w:rsidRDefault="005E545A" w14:paraId="704A33E3" w14:textId="77777777"/>
    <w:p w:rsidR="005E545A" w:rsidP="005E545A" w:rsidRDefault="005E545A" w14:paraId="69B58419" w14:textId="5E97CD69">
      <w:pPr>
        <w:pStyle w:val="ListParagraph"/>
        <w:numPr>
          <w:ilvl w:val="0"/>
          <w:numId w:val="28"/>
        </w:numPr>
      </w:pPr>
      <w:r>
        <w:t xml:space="preserve">De hiervoor aangehaalde Kamerbrief kondigde een nieuwe zoekgebiedenkaart aan met het oog op in het volgende </w:t>
      </w:r>
      <w:r w:rsidR="006C7B10">
        <w:t>Programma Noordzee (PNZ)</w:t>
      </w:r>
      <w:r>
        <w:t xml:space="preserve"> 2028-2033 mogelijk aan te wijzen extra ruimte voor windenergie. Het was niet mogelijk al een zoekgebiedenkaart op te stellen, omdat het proces daartoe niet tijdig afgerond kon worden. In de Notitie Reikwijdte en Detailniveau voor het PNZ 2028-2033 zal een nieuwe zoekgebiedenkaart worden opgenomen.</w:t>
      </w:r>
    </w:p>
    <w:p w:rsidR="005E545A" w:rsidP="005E545A" w:rsidRDefault="005E545A" w14:paraId="7399AC3D" w14:textId="58D04C58">
      <w:pPr>
        <w:pStyle w:val="ListParagraph"/>
        <w:numPr>
          <w:ilvl w:val="0"/>
          <w:numId w:val="28"/>
        </w:numPr>
      </w:pPr>
      <w:r>
        <w:t>Ook het in de Kamerbrief “Ruimtelijke samenhang windparken en mijnbouwactiviteiten op zee”</w:t>
      </w:r>
      <w:r>
        <w:rPr>
          <w:rStyle w:val="FootnoteReference"/>
        </w:rPr>
        <w:footnoteReference w:id="8"/>
      </w:r>
      <w:r>
        <w:t xml:space="preserve"> aangekondigde instrumentarium vergde nog verdere uitwerking</w:t>
      </w:r>
      <w:r w:rsidRPr="00A3642D">
        <w:t xml:space="preserve">. De minister van KGG </w:t>
      </w:r>
      <w:r>
        <w:t>zal</w:t>
      </w:r>
      <w:r w:rsidRPr="00A3642D">
        <w:t xml:space="preserve"> </w:t>
      </w:r>
      <w:r w:rsidR="006C7B10">
        <w:t>de</w:t>
      </w:r>
      <w:r>
        <w:t xml:space="preserve"> </w:t>
      </w:r>
      <w:r w:rsidRPr="00A3642D">
        <w:t xml:space="preserve">Kamer </w:t>
      </w:r>
      <w:r>
        <w:t>hierover binnenkort informeren.</w:t>
      </w:r>
    </w:p>
    <w:p w:rsidR="005E545A" w:rsidP="005E545A" w:rsidRDefault="005E545A" w14:paraId="69719559" w14:textId="77777777">
      <w:pPr>
        <w:pStyle w:val="ListParagraph"/>
      </w:pPr>
    </w:p>
    <w:p w:rsidR="005E545A" w:rsidP="005E545A" w:rsidRDefault="005E545A" w14:paraId="4E82F79C" w14:textId="1265D24A">
      <w:r>
        <w:t>Hieronder wordt toegelicht hoe de hierboven beschreven opgave, met uitzondering dus van de zoekgebiedenkaart en het ontwerpproces Mijnbouw in relatie tot windenergie op zee, is verwerkt in de tekst van dit Partieel Herziene Programma Noordzee.</w:t>
      </w:r>
    </w:p>
    <w:p w:rsidR="005E545A" w:rsidP="005E545A" w:rsidRDefault="005E545A" w14:paraId="76CF4BDA" w14:textId="77777777"/>
    <w:p w:rsidRPr="0025273F" w:rsidR="005E545A" w:rsidP="005E545A" w:rsidRDefault="005E545A" w14:paraId="099DEAA0" w14:textId="77777777">
      <w:pPr>
        <w:pStyle w:val="ListParagraph"/>
        <w:numPr>
          <w:ilvl w:val="0"/>
          <w:numId w:val="24"/>
        </w:numPr>
        <w:rPr>
          <w:b/>
          <w:bCs/>
        </w:rPr>
      </w:pPr>
      <w:r>
        <w:rPr>
          <w:b/>
          <w:bCs/>
        </w:rPr>
        <w:t>Uitwerking van de opgave voor h</w:t>
      </w:r>
      <w:r w:rsidRPr="00F26262">
        <w:rPr>
          <w:b/>
          <w:bCs/>
        </w:rPr>
        <w:t xml:space="preserve">et Partieel Herziene Programma Noordzee </w:t>
      </w:r>
    </w:p>
    <w:p w:rsidR="005E545A" w:rsidP="005E545A" w:rsidRDefault="005E545A" w14:paraId="0A3EBC7E" w14:textId="77777777"/>
    <w:p w:rsidR="005E545A" w:rsidP="005E545A" w:rsidRDefault="005E545A" w14:paraId="23D1E260" w14:textId="0866A36E">
      <w:r>
        <w:t xml:space="preserve">Het </w:t>
      </w:r>
      <w:r w:rsidR="006C7B10">
        <w:t>c</w:t>
      </w:r>
      <w:r>
        <w:t xml:space="preserve">oalitieakkoord benoemt de ambitie om 40 GW windenergie op zee te </w:t>
      </w:r>
      <w:r w:rsidRPr="00821C54">
        <w:t>realiseren. De aanwijzing van</w:t>
      </w:r>
      <w:r>
        <w:t xml:space="preserve"> windenergiegebieden in dit</w:t>
      </w:r>
      <w:r w:rsidRPr="556526F2">
        <w:t xml:space="preserve"> </w:t>
      </w:r>
      <w:r>
        <w:t xml:space="preserve">Partieel Herziene Programma Noordzee is essentieel om deze ambitie te verwezenlijken. </w:t>
      </w:r>
    </w:p>
    <w:p w:rsidR="005E545A" w:rsidP="005E545A" w:rsidRDefault="005E545A" w14:paraId="45E643FB" w14:textId="77777777">
      <w:r>
        <w:t>In alle stappen om te komen tot aanwijzing van de nieuwe windenergiegebieden Doordewind en gebied 6/7 (zie kaart in bijlage) in dit</w:t>
      </w:r>
      <w:r w:rsidRPr="556526F2">
        <w:t xml:space="preserve"> </w:t>
      </w:r>
      <w:r>
        <w:t>Partieel Herziene Programma Noordzee is de betekenis van die gebieden voor de visserij samen met de visserijsector in kaart gebracht, zowel via bilaterale gesprekken als via het Noordzeeoverleg. De informatie uit deze gesprekken is zwaar meegewogen.</w:t>
      </w:r>
    </w:p>
    <w:p w:rsidR="005E545A" w:rsidP="005E545A" w:rsidRDefault="005E545A" w14:paraId="2DCADC7C" w14:textId="77777777"/>
    <w:p w:rsidR="005E545A" w:rsidP="005E545A" w:rsidRDefault="005E545A" w14:paraId="5A7954E4" w14:textId="77777777">
      <w:pPr>
        <w:pStyle w:val="ListParagraph"/>
        <w:numPr>
          <w:ilvl w:val="0"/>
          <w:numId w:val="29"/>
        </w:numPr>
      </w:pPr>
      <w:r>
        <w:t>Bij de ligging van de zoekgebieden in het PNZ 2022-2027 was al rekening gehouden met de belangen van de visserij, en waren voor de visserij belangrijke, eerder aangewezen windenergiegebieden voor de Hollandse kust</w:t>
      </w:r>
      <w:r>
        <w:rPr>
          <w:rStyle w:val="FootnoteReference"/>
        </w:rPr>
        <w:footnoteReference w:id="9"/>
      </w:r>
      <w:r>
        <w:t xml:space="preserve"> afgevallen.</w:t>
      </w:r>
    </w:p>
    <w:p w:rsidR="005E545A" w:rsidP="005E545A" w:rsidRDefault="005E545A" w14:paraId="7BBA927B" w14:textId="77777777">
      <w:pPr>
        <w:pStyle w:val="ListParagraph"/>
        <w:numPr>
          <w:ilvl w:val="0"/>
          <w:numId w:val="29"/>
        </w:numPr>
      </w:pPr>
      <w:r>
        <w:t>De betekenis voor de tongvisserij van het gebied Lagelander is de voornaamste reden dit eerder aangewezen windenergiegebied nu te laten afvallen en ook niet meer mee te nemen als zoekgebied.</w:t>
      </w:r>
    </w:p>
    <w:p w:rsidR="005E545A" w:rsidP="005E545A" w:rsidRDefault="005E545A" w14:paraId="3F9268DA" w14:textId="77777777">
      <w:pPr>
        <w:pStyle w:val="ListParagraph"/>
        <w:numPr>
          <w:ilvl w:val="0"/>
          <w:numId w:val="29"/>
        </w:numPr>
      </w:pPr>
      <w:r>
        <w:t>In gebied 6/7 wordt een open zone ingericht ten bate van de langoustinevisserij.</w:t>
      </w:r>
    </w:p>
    <w:p w:rsidR="005E545A" w:rsidP="005E545A" w:rsidRDefault="005E545A" w14:paraId="6ECD49E3" w14:textId="77777777">
      <w:pPr>
        <w:pStyle w:val="ListParagraph"/>
        <w:numPr>
          <w:ilvl w:val="0"/>
          <w:numId w:val="29"/>
        </w:numPr>
      </w:pPr>
      <w:r>
        <w:t>Verder is het uitgangspunt om actieve visserij in gebied Doordewind mogelijk te maken</w:t>
      </w:r>
      <w:r w:rsidRPr="008A78E4">
        <w:t>, mits dit veilig, haalbaar en uitvoerbaar is,</w:t>
      </w:r>
      <w:r>
        <w:t xml:space="preserve"> met het oogmerk het belang van dit gebied voor de visserij zoveel mogelijk te ontzien.</w:t>
      </w:r>
    </w:p>
    <w:p w:rsidR="005E545A" w:rsidP="005E545A" w:rsidRDefault="005E545A" w14:paraId="5498695F" w14:textId="77777777">
      <w:pPr>
        <w:pStyle w:val="ListParagraph"/>
      </w:pPr>
    </w:p>
    <w:p w:rsidR="005E545A" w:rsidP="005E545A" w:rsidRDefault="005E545A" w14:paraId="760F4E88" w14:textId="77777777">
      <w:r>
        <w:t>Dit Partieel Herziene Programma Noordzee voorziet in een zorgvuldige balans met andere activiteiten op de Noordzee, waaronder naast visserij ook mijnbouw, scheepvaart en defensie, natuur, kustverdediging, zandwinning en maritiem erfgoed. Al deze belangen zijn gewogen en onderzocht in het planMER en de Passende Beoordeling. Hierin is bijvoorbeeld gekeken naar:</w:t>
      </w:r>
    </w:p>
    <w:p w:rsidR="005E545A" w:rsidP="005E545A" w:rsidRDefault="005E545A" w14:paraId="44449C43" w14:textId="77777777"/>
    <w:p w:rsidR="005E545A" w:rsidP="005E545A" w:rsidRDefault="005E545A" w14:paraId="172B7CB3" w14:textId="77777777">
      <w:pPr>
        <w:pStyle w:val="ListParagraph"/>
        <w:numPr>
          <w:ilvl w:val="0"/>
          <w:numId w:val="30"/>
        </w:numPr>
      </w:pPr>
      <w:r>
        <w:t>Benodigde ruimte voor visserij zodat gevolgen voor deze sector zoveel mogelijk worden voorkomen;</w:t>
      </w:r>
    </w:p>
    <w:p w:rsidR="005E545A" w:rsidP="005E545A" w:rsidRDefault="005E545A" w14:paraId="7A5BA801" w14:textId="77777777">
      <w:pPr>
        <w:pStyle w:val="ListParagraph"/>
        <w:numPr>
          <w:ilvl w:val="0"/>
          <w:numId w:val="30"/>
        </w:numPr>
      </w:pPr>
      <w:r>
        <w:t>De sociaaleconomische waarde die de beschouwde windenergiegebieden voor visserij representeren, met inschattingen van de betekenis voor de keten en regio’s;</w:t>
      </w:r>
    </w:p>
    <w:p w:rsidR="005E545A" w:rsidP="005E545A" w:rsidRDefault="005E545A" w14:paraId="29492B6C" w14:textId="77777777">
      <w:pPr>
        <w:pStyle w:val="ListParagraph"/>
        <w:numPr>
          <w:ilvl w:val="0"/>
          <w:numId w:val="30"/>
        </w:numPr>
      </w:pPr>
      <w:r>
        <w:t>Ecologische effecten en onzekerheden die in het vervolgtraject moeten worden opgelost;</w:t>
      </w:r>
    </w:p>
    <w:p w:rsidR="005E545A" w:rsidP="005E545A" w:rsidRDefault="005E545A" w14:paraId="771387DA" w14:textId="77777777">
      <w:pPr>
        <w:pStyle w:val="ListParagraph"/>
        <w:numPr>
          <w:ilvl w:val="0"/>
          <w:numId w:val="30"/>
        </w:numPr>
      </w:pPr>
      <w:r>
        <w:t>Gevolgen voor scheepvaartveiligheid en bereikbaarheid;</w:t>
      </w:r>
    </w:p>
    <w:p w:rsidR="005E545A" w:rsidP="005E545A" w:rsidRDefault="005E545A" w14:paraId="434FAA2F" w14:textId="77777777">
      <w:pPr>
        <w:pStyle w:val="ListParagraph"/>
        <w:numPr>
          <w:ilvl w:val="0"/>
          <w:numId w:val="30"/>
        </w:numPr>
      </w:pPr>
      <w:r>
        <w:t>Gevolgen voor helikopterbereikbaarheid van mogelijke toekomstige mijnbouwplatforms en mogelijke mitigerende maatregelen;</w:t>
      </w:r>
    </w:p>
    <w:p w:rsidR="005E545A" w:rsidP="006C7B10" w:rsidRDefault="005E545A" w14:paraId="6658A4C8" w14:textId="3602F7BE">
      <w:pPr>
        <w:pStyle w:val="ListParagraph"/>
        <w:numPr>
          <w:ilvl w:val="0"/>
          <w:numId w:val="30"/>
        </w:numPr>
      </w:pPr>
      <w:r>
        <w:t>Beschikbare ruimte voor windenergie en daarmee samenhangende hoeveelheden op te wekken energie.</w:t>
      </w:r>
    </w:p>
    <w:p w:rsidR="005E545A" w:rsidP="005E545A" w:rsidRDefault="005E545A" w14:paraId="71B66A8A" w14:textId="77777777">
      <w:pPr>
        <w:pStyle w:val="ListParagraph"/>
      </w:pPr>
    </w:p>
    <w:p w:rsidRPr="0025273F" w:rsidR="005E545A" w:rsidP="005E545A" w:rsidRDefault="005E545A" w14:paraId="7E2220D2" w14:textId="77777777">
      <w:pPr>
        <w:pStyle w:val="WitregelW1bodytekst"/>
        <w:numPr>
          <w:ilvl w:val="0"/>
          <w:numId w:val="24"/>
        </w:numPr>
        <w:rPr>
          <w:b/>
          <w:bCs/>
        </w:rPr>
      </w:pPr>
      <w:r w:rsidRPr="0025273F">
        <w:rPr>
          <w:b/>
          <w:bCs/>
        </w:rPr>
        <w:t>Aandachtspunten bij de aangewezen windenergiegebieden</w:t>
      </w:r>
    </w:p>
    <w:p w:rsidRPr="004C37BA" w:rsidR="005E545A" w:rsidP="005E545A" w:rsidRDefault="005E545A" w14:paraId="7E521FAE" w14:textId="77777777"/>
    <w:p w:rsidR="005E545A" w:rsidP="005E545A" w:rsidRDefault="005E545A" w14:paraId="2F965F1B" w14:textId="77777777">
      <w:pPr>
        <w:pStyle w:val="WitregelW1bodytekst"/>
      </w:pPr>
      <w:r>
        <w:t>Mede op basis van de hierboven opgenomen informatie wordt windenergiegebied Lagelander niet behouden als windenergiegebied en is dit gebied ook geen zoekgebied meer. Het gebied Doordewind en gebied 6/7 zijn als windenergiegebied behouden en/of aangewezen. Hiermee wordt extra ruimte aangewezen voor indicatief 21 GW aan windenergie.</w:t>
      </w:r>
    </w:p>
    <w:p w:rsidR="005E545A" w:rsidP="005E545A" w:rsidRDefault="005E545A" w14:paraId="36CB6341" w14:textId="77777777">
      <w:pPr>
        <w:pStyle w:val="WitregelW1bodytekst"/>
      </w:pPr>
    </w:p>
    <w:p w:rsidR="005E545A" w:rsidP="005E545A" w:rsidRDefault="005E545A" w14:paraId="33AB834A" w14:textId="67A099C9">
      <w:pPr>
        <w:pStyle w:val="WitregelW1bodytekst"/>
      </w:pPr>
      <w:bookmarkStart w:name="_Hlk222231685" w:id="1"/>
      <w:r>
        <w:t xml:space="preserve">De genoemde hoeveelheden windenergie (aantal GW) zijn in dit stadium indicatief, onder andere doordat er nog onzekerheden zijn aangaande de ecologische inpasbaarheid en vergunbaarheid van de windparken en omdat er in de aangewezen windenergiegebieden sprake is van (mogelijke toekomstige) mijnbouwactiviteiten. </w:t>
      </w:r>
      <w:bookmarkEnd w:id="1"/>
      <w:r>
        <w:t xml:space="preserve">Met het oog op de genoemde onzekerheden ben ik voornemens de aanwijzing van extra windenergiegebieden te onderzoeken in voorbereiding op </w:t>
      </w:r>
      <w:r w:rsidRPr="00821C54">
        <w:t xml:space="preserve">het volgende Programma Noordzee 2028-2033. </w:t>
      </w:r>
      <w:r w:rsidR="006C7B10">
        <w:t>De</w:t>
      </w:r>
      <w:r w:rsidRPr="00821C54">
        <w:t xml:space="preserve"> Kamer </w:t>
      </w:r>
      <w:r w:rsidR="006C7B10">
        <w:t xml:space="preserve">zal </w:t>
      </w:r>
      <w:r w:rsidRPr="00821C54">
        <w:t xml:space="preserve">hierover </w:t>
      </w:r>
      <w:r>
        <w:t>zo spoedig mogelijk</w:t>
      </w:r>
      <w:r w:rsidRPr="00821C54">
        <w:t xml:space="preserve"> </w:t>
      </w:r>
      <w:r w:rsidR="006C7B10">
        <w:t>nader worden geïnformeerd</w:t>
      </w:r>
      <w:r w:rsidRPr="00821C54">
        <w:t>.</w:t>
      </w:r>
    </w:p>
    <w:p w:rsidR="005E545A" w:rsidP="005E545A" w:rsidRDefault="005E545A" w14:paraId="55D87D15" w14:textId="77777777">
      <w:pPr>
        <w:pStyle w:val="WitregelW1bodytekst"/>
      </w:pPr>
    </w:p>
    <w:p w:rsidR="005E545A" w:rsidP="005E545A" w:rsidRDefault="005E545A" w14:paraId="6D43683E" w14:textId="77777777">
      <w:pPr>
        <w:pStyle w:val="WitregelW1bodytekst"/>
      </w:pPr>
      <w:r>
        <w:t xml:space="preserve">In gebied 6/7 wordt een open zone ingericht. Deze open zone is met name van belang voor langoustinevisserij en voor natuur, en biedt voldoende ruimte voor een </w:t>
      </w:r>
      <w:r w:rsidRPr="115C6C3A">
        <w:rPr>
          <w:i/>
          <w:iCs/>
        </w:rPr>
        <w:t>clearway</w:t>
      </w:r>
      <w:r>
        <w:t xml:space="preserve"> voor scheepvaart. </w:t>
      </w:r>
      <w:r w:rsidRPr="009A30CE">
        <w:t>Daarnaast draagt het ook bij aan de bereikbaarheid van mijnbouwplatforms.</w:t>
      </w:r>
      <w:r>
        <w:t xml:space="preserve"> Naar aanleiding van ecologisch onderzoek (specifiek naar de zeekoet) kan blijken dat de open zone nog aangepast moet worden. Voor dit proces beschrijft dit Partieel Herziene Programma Noordzee een gefaseerde aanpak, waarbij begonnen wordt met realisatie in gebied Doordewind en het </w:t>
      </w:r>
      <w:r w:rsidRPr="00D14924">
        <w:t>westelijke deel van gebied 6/7 met in totaal ruimte voor indicatief 13 GW aan opgesteld vermogen.</w:t>
      </w:r>
    </w:p>
    <w:p w:rsidR="005E545A" w:rsidP="005E545A" w:rsidRDefault="005E545A" w14:paraId="4E02F5A7" w14:textId="77777777">
      <w:pPr>
        <w:pStyle w:val="WitregelW1bodytekst"/>
      </w:pPr>
    </w:p>
    <w:p w:rsidRPr="00A4574D" w:rsidR="005E545A" w:rsidP="006C7B10" w:rsidRDefault="005E545A" w14:paraId="5321F535" w14:textId="173894D4">
      <w:pPr>
        <w:pStyle w:val="WitregelW1bodytekst"/>
      </w:pPr>
      <w:r>
        <w:t xml:space="preserve">Voor de windparken in gebied Doordewind is het uitgangspunt dat actieve visserij zal worden toegestaan, mits dit veilig, haalbaar en </w:t>
      </w:r>
      <w:r w:rsidRPr="009A30CE">
        <w:t>uitvoerbaar is. Met een maatwerkoplossing wordt gezorgd voor de bereikbaarheid van het bestaande mijnbouwplatform G14-A in Doordewind. Daarnaast wordt voor</w:t>
      </w:r>
      <w:r>
        <w:t xml:space="preserve"> de beschikbare ruimte voor medegebruik in windparken in gebied 6/7 ingezet op natuurherstel en natuurversterkende maatregelen. Daartoe wordt ingezet op een tijdige herziening van het beleid voor medegebruik in het PNZ 2028-2033.</w:t>
      </w:r>
    </w:p>
    <w:p w:rsidR="005E545A" w:rsidP="005E545A" w:rsidRDefault="005E545A" w14:paraId="58C8C473" w14:textId="77777777"/>
    <w:p w:rsidRPr="0025273F" w:rsidR="005E545A" w:rsidP="005E545A" w:rsidRDefault="005E545A" w14:paraId="29255395" w14:textId="77777777">
      <w:pPr>
        <w:pStyle w:val="ListParagraph"/>
        <w:numPr>
          <w:ilvl w:val="0"/>
          <w:numId w:val="24"/>
        </w:numPr>
        <w:rPr>
          <w:b/>
          <w:bCs/>
        </w:rPr>
      </w:pPr>
      <w:r w:rsidRPr="0025273F">
        <w:rPr>
          <w:b/>
          <w:bCs/>
        </w:rPr>
        <w:t>Participatie, Noordzeeoverleg en advisering</w:t>
      </w:r>
    </w:p>
    <w:p w:rsidR="005E545A" w:rsidP="005E545A" w:rsidRDefault="005E545A" w14:paraId="180452DF" w14:textId="77777777">
      <w:pPr>
        <w:pStyle w:val="ListParagraph"/>
        <w:ind w:left="1068"/>
      </w:pPr>
    </w:p>
    <w:p w:rsidR="005E545A" w:rsidP="005E545A" w:rsidRDefault="005E545A" w14:paraId="78EC0362" w14:textId="628C8291">
      <w:r>
        <w:t>Gedurende de uitwerking van dit Partieel Herziene Programma Noordzee zijn stakeholders intensief betrokken, bijvoorbeeld door besprekingen in het plenaire Noordzeeoverleg (NZO) en bilaterale gesprekken en informatiesessies met belanghebbenden, sectorvertegenwoordigers en NZO-leden. Op 23 oktober 2024 is de beslisinformatie</w:t>
      </w:r>
      <w:r w:rsidR="006C7B10">
        <w:t>,</w:t>
      </w:r>
      <w:r>
        <w:t xml:space="preserve"> zoals bijeengebracht door het Rijk ten bate van besluitvorming over de Partiële Herziening, besproken in het NZO. De consensus uit dit gesprek is samengevat in de brief van de NZO-voorzitter van 29 oktober 2024 </w:t>
      </w:r>
      <w:r w:rsidRPr="00D14924">
        <w:t xml:space="preserve">die </w:t>
      </w:r>
      <w:r>
        <w:t xml:space="preserve">de Kamer </w:t>
      </w:r>
      <w:r w:rsidRPr="00D14924">
        <w:t xml:space="preserve">eerder als bijlage </w:t>
      </w:r>
      <w:r>
        <w:t>van</w:t>
      </w:r>
      <w:r w:rsidRPr="00D14924">
        <w:t xml:space="preserve"> het ontwerp van dit Partieel Herziene Programma Noordzee</w:t>
      </w:r>
      <w:r w:rsidRPr="00713EFF">
        <w:t xml:space="preserve"> </w:t>
      </w:r>
      <w:r>
        <w:t>gestuurd is</w:t>
      </w:r>
      <w:r w:rsidR="005C2FD3">
        <w:rPr>
          <w:rStyle w:val="FootnoteReference"/>
        </w:rPr>
        <w:footnoteReference w:id="10"/>
      </w:r>
      <w:r w:rsidRPr="00D14924">
        <w:t>.</w:t>
      </w:r>
      <w:r>
        <w:t xml:space="preserve"> </w:t>
      </w:r>
    </w:p>
    <w:p w:rsidR="005E545A" w:rsidP="005E545A" w:rsidRDefault="005E545A" w14:paraId="114AC6A8" w14:textId="77777777">
      <w:pPr>
        <w:pStyle w:val="ListParagraph"/>
        <w:ind w:left="1068"/>
      </w:pPr>
    </w:p>
    <w:p w:rsidRPr="00D14924" w:rsidR="005E545A" w:rsidP="005E545A" w:rsidRDefault="005E545A" w14:paraId="7CB3DED7" w14:textId="77777777">
      <w:r>
        <w:t xml:space="preserve">In deze brief sprak de voorzitter namens de NZO-leden haar waardering uit voor de manier waarop de leden en hun belangen zijn meegenomen in de voorbereiding </w:t>
      </w:r>
      <w:r w:rsidRPr="00D14924">
        <w:t>van de Partiële Herziening. De bereikte consensus over de Partiële Herziening in het NZO sloot goed aan bij de uitwerking van dit Partieel Herziene Programma Noordzee.</w:t>
      </w:r>
    </w:p>
    <w:p w:rsidRPr="00D14924" w:rsidR="005E545A" w:rsidP="005E545A" w:rsidRDefault="005E545A" w14:paraId="1B78C6B5" w14:textId="77777777"/>
    <w:p w:rsidR="005E545A" w:rsidP="005E545A" w:rsidRDefault="005E545A" w14:paraId="5B282057" w14:textId="63DBC322">
      <w:r w:rsidRPr="00D14924">
        <w:t xml:space="preserve">Het ontwerp van dit Partieel Herziene Programma Noordzee, het </w:t>
      </w:r>
      <w:r>
        <w:t>p</w:t>
      </w:r>
      <w:r w:rsidRPr="00D14924">
        <w:t xml:space="preserve">lanMER en de Passende Beoordeling hebben gedurende een periode van zes weken vanaf medio mei </w:t>
      </w:r>
      <w:r>
        <w:t xml:space="preserve">2025 </w:t>
      </w:r>
      <w:r w:rsidRPr="00D14924">
        <w:t xml:space="preserve">voor het publiek en de bevoegde instanties van andere staten ter inzage gelegen, die daarmee in de gelegenheid werden gesteld zienswijzen naar voren te brengen. Ook zijn op grond van het Espoo-verdrag de Engelse en Duitse vertaling van het ontwerp en de relevante informatie in het </w:t>
      </w:r>
      <w:r>
        <w:t>p</w:t>
      </w:r>
      <w:r w:rsidRPr="00D14924">
        <w:t>lanMER toegezonden aan de omringende landen. De uitkomsten van de</w:t>
      </w:r>
      <w:r w:rsidR="005C2FD3">
        <w:t>,</w:t>
      </w:r>
      <w:r w:rsidRPr="00D14924">
        <w:t xml:space="preserve"> via deze inspraakprocedure verkregen zienswijzen zijn verwerkt in de </w:t>
      </w:r>
      <w:r>
        <w:t>Reactienota, die als bijlage bij deze brief is gevoegd</w:t>
      </w:r>
      <w:r w:rsidRPr="00D14924">
        <w:t xml:space="preserve">. In </w:t>
      </w:r>
      <w:r w:rsidR="005C2FD3">
        <w:t xml:space="preserve">enkele </w:t>
      </w:r>
      <w:r w:rsidRPr="00D14924">
        <w:t>geval</w:t>
      </w:r>
      <w:r w:rsidR="005C2FD3">
        <w:t>len</w:t>
      </w:r>
      <w:r w:rsidRPr="00D14924">
        <w:t xml:space="preserve"> heeft de inspraak geleidt tot inhoudelijke verbetering van de teksten. </w:t>
      </w:r>
      <w:r>
        <w:t>Ook</w:t>
      </w:r>
      <w:r w:rsidRPr="00D14924">
        <w:t xml:space="preserve"> heeft Rijkswaterstaat de uitvoerbaarheid van dit Partieel Herziene Programma Noordzee getoetst. Daar waar relevant zijn inzichten verwerkt in ambtshalve wijzigingen in de tekst.</w:t>
      </w:r>
    </w:p>
    <w:p w:rsidR="005E545A" w:rsidP="005E545A" w:rsidRDefault="005E545A" w14:paraId="2D6D9B46" w14:textId="77777777">
      <w:bookmarkStart w:name="_Hlk213686088" w:id="2"/>
    </w:p>
    <w:p w:rsidRPr="006B74B6" w:rsidR="005E545A" w:rsidP="005E545A" w:rsidRDefault="005E545A" w14:paraId="60EA94F5" w14:textId="77777777">
      <w:pPr>
        <w:pStyle w:val="ListParagraph"/>
        <w:numPr>
          <w:ilvl w:val="0"/>
          <w:numId w:val="24"/>
        </w:numPr>
        <w:rPr>
          <w:b/>
          <w:bCs/>
        </w:rPr>
      </w:pPr>
      <w:r w:rsidRPr="006B74B6">
        <w:rPr>
          <w:b/>
          <w:bCs/>
        </w:rPr>
        <w:t>Advies Commissie voor de milieueffectrapportage</w:t>
      </w:r>
    </w:p>
    <w:p w:rsidR="005E545A" w:rsidP="005E545A" w:rsidRDefault="005E545A" w14:paraId="2261749D" w14:textId="77777777"/>
    <w:p w:rsidR="005C2FD3" w:rsidP="005E545A" w:rsidRDefault="005E545A" w14:paraId="40B44FB1" w14:textId="77777777">
      <w:r>
        <w:t>H</w:t>
      </w:r>
      <w:r w:rsidRPr="00D14924">
        <w:t xml:space="preserve">et </w:t>
      </w:r>
      <w:r>
        <w:t>p</w:t>
      </w:r>
      <w:r w:rsidRPr="00D14924">
        <w:t xml:space="preserve">lanMER </w:t>
      </w:r>
      <w:r>
        <w:t xml:space="preserve">is </w:t>
      </w:r>
      <w:r w:rsidRPr="00D14924">
        <w:t xml:space="preserve">met verzoek om advies voorgelegd aan de </w:t>
      </w:r>
      <w:r>
        <w:t>C</w:t>
      </w:r>
      <w:r w:rsidRPr="00D14924">
        <w:t xml:space="preserve">ommissie </w:t>
      </w:r>
      <w:r>
        <w:t>voor de milieueffectrapportage (hierna: de Commissie mer)</w:t>
      </w:r>
      <w:r w:rsidRPr="00D14924">
        <w:t xml:space="preserve">. </w:t>
      </w:r>
      <w:r>
        <w:t>In het voorlopig toetsingsadvies</w:t>
      </w:r>
      <w:r w:rsidRPr="0042391D">
        <w:rPr>
          <w:rStyle w:val="FootnoteReference"/>
        </w:rPr>
        <w:footnoteReference w:id="11"/>
      </w:r>
      <w:r>
        <w:t xml:space="preserve"> van 22 juli 2025 adviseerde de Commissie mer</w:t>
      </w:r>
      <w:r w:rsidRPr="008F6D72">
        <w:t xml:space="preserve"> om milieu-informatie over zandwinning en scheepvaartveiligheid aan te vullen. Het Rijk </w:t>
      </w:r>
      <w:r>
        <w:t>heeft vervolgens</w:t>
      </w:r>
      <w:r w:rsidRPr="008F6D72">
        <w:t xml:space="preserve"> over beide onderwerpen een aanvulling op het </w:t>
      </w:r>
      <w:r>
        <w:t>p</w:t>
      </w:r>
      <w:r w:rsidRPr="008F6D72">
        <w:t>lanMER op</w:t>
      </w:r>
      <w:r>
        <w:t>gesteld</w:t>
      </w:r>
      <w:r w:rsidRPr="008F6D72">
        <w:t xml:space="preserve">. </w:t>
      </w:r>
    </w:p>
    <w:p w:rsidR="005C2FD3" w:rsidP="005E545A" w:rsidRDefault="005C2FD3" w14:paraId="2FF20D48" w14:textId="77777777"/>
    <w:p w:rsidR="005E545A" w:rsidP="005E545A" w:rsidRDefault="005E545A" w14:paraId="0FC37D4F" w14:textId="60622353">
      <w:r w:rsidRPr="008F6D72">
        <w:t xml:space="preserve">Het toetsingsadvies van de Commissie </w:t>
      </w:r>
      <w:r>
        <w:t xml:space="preserve">mer </w:t>
      </w:r>
      <w:r w:rsidRPr="008F6D72">
        <w:t xml:space="preserve">over het </w:t>
      </w:r>
      <w:r>
        <w:t>p</w:t>
      </w:r>
      <w:r w:rsidRPr="008F6D72">
        <w:t>lanMER en de aanvulling daarop is op 6 november 2025 gepubliceerd</w:t>
      </w:r>
      <w:r w:rsidRPr="0042391D">
        <w:rPr>
          <w:rStyle w:val="FootnoteReference"/>
        </w:rPr>
        <w:footnoteReference w:id="12"/>
      </w:r>
      <w:r w:rsidRPr="008F6D72">
        <w:t xml:space="preserve">. </w:t>
      </w:r>
      <w:r>
        <w:t>Daarin oordeelt de</w:t>
      </w:r>
      <w:r w:rsidRPr="008F6D72">
        <w:t xml:space="preserve"> Commissie</w:t>
      </w:r>
      <w:r>
        <w:t xml:space="preserve"> mer</w:t>
      </w:r>
      <w:r w:rsidRPr="008F6D72">
        <w:t xml:space="preserve"> </w:t>
      </w:r>
      <w:r>
        <w:t>dat alle belangrijke</w:t>
      </w:r>
      <w:r w:rsidRPr="008F6D72">
        <w:t xml:space="preserve"> milieu</w:t>
      </w:r>
      <w:r>
        <w:t>-</w:t>
      </w:r>
      <w:r w:rsidRPr="008F6D72">
        <w:t xml:space="preserve">informatie </w:t>
      </w:r>
      <w:r>
        <w:t>in beeld is</w:t>
      </w:r>
      <w:r w:rsidRPr="008F6D72">
        <w:t>. De Commissie</w:t>
      </w:r>
      <w:r>
        <w:t xml:space="preserve"> mer</w:t>
      </w:r>
      <w:r w:rsidRPr="008F6D72">
        <w:t xml:space="preserve"> benadrukt daarbij om bij de besluitvorming rekening te houden met de aanvullende informatie over de effecten van zandwinning op het ecosysteem. </w:t>
      </w:r>
      <w:r>
        <w:t>D</w:t>
      </w:r>
      <w:r w:rsidRPr="008F6D72">
        <w:t xml:space="preserve">eze effecten </w:t>
      </w:r>
      <w:r>
        <w:t xml:space="preserve">zijn </w:t>
      </w:r>
      <w:r w:rsidRPr="008F6D72">
        <w:t xml:space="preserve">namelijk groter dan eerder werd gepresenteerd. </w:t>
      </w:r>
      <w:r w:rsidRPr="001576D4">
        <w:t xml:space="preserve">Het </w:t>
      </w:r>
      <w:r>
        <w:t>K</w:t>
      </w:r>
      <w:r w:rsidRPr="001576D4">
        <w:t>abinet acht de uitbreiding van de reserveringszone een verantwoord besluit, omdat het om een ruimtelijke reservering gaat en er</w:t>
      </w:r>
      <w:r>
        <w:t xml:space="preserve"> pas</w:t>
      </w:r>
      <w:r w:rsidRPr="001576D4">
        <w:t xml:space="preserve"> in vervolgtrajecten </w:t>
      </w:r>
      <w:r>
        <w:t xml:space="preserve">in wordt gegaan </w:t>
      </w:r>
      <w:r w:rsidRPr="001576D4">
        <w:t xml:space="preserve">op de wijze van zandwinning en zandhoeveelheden. </w:t>
      </w:r>
      <w:r>
        <w:t xml:space="preserve">De aanbevelingen van de Commissie mer ten aanzien van vervolgtrajecten neemt het Kabinet ter harte. </w:t>
      </w:r>
      <w:r w:rsidRPr="00D14924">
        <w:t xml:space="preserve">Het advies van de </w:t>
      </w:r>
      <w:r>
        <w:t>C</w:t>
      </w:r>
      <w:r w:rsidRPr="00D14924">
        <w:t>ommissie</w:t>
      </w:r>
      <w:r>
        <w:t xml:space="preserve"> mer en de reactie van het Rijk zijn</w:t>
      </w:r>
      <w:r w:rsidRPr="00D14924">
        <w:t xml:space="preserve"> opgenomen in de </w:t>
      </w:r>
      <w:r>
        <w:t>Reactienota in de bijlage bij deze brief</w:t>
      </w:r>
      <w:r w:rsidRPr="00D14924">
        <w:t>.</w:t>
      </w:r>
      <w:r>
        <w:t xml:space="preserve"> </w:t>
      </w:r>
    </w:p>
    <w:bookmarkEnd w:id="2"/>
    <w:p w:rsidR="005E545A" w:rsidP="005E545A" w:rsidRDefault="005E545A" w14:paraId="10C979CC" w14:textId="77777777"/>
    <w:p w:rsidR="005E545A" w:rsidP="005E545A" w:rsidRDefault="005E545A" w14:paraId="1C522F80" w14:textId="77777777">
      <w:pPr>
        <w:pStyle w:val="ListParagraph"/>
        <w:numPr>
          <w:ilvl w:val="0"/>
          <w:numId w:val="24"/>
        </w:numPr>
        <w:rPr>
          <w:b/>
          <w:bCs/>
        </w:rPr>
      </w:pPr>
      <w:r w:rsidRPr="0025273F">
        <w:rPr>
          <w:b/>
          <w:bCs/>
        </w:rPr>
        <w:t>Leeswijzer bij dit Partieel Herziene Programma Noordzee 2022-2027</w:t>
      </w:r>
    </w:p>
    <w:p w:rsidRPr="0025273F" w:rsidR="005E545A" w:rsidP="005E545A" w:rsidRDefault="005E545A" w14:paraId="17F4F14F" w14:textId="77777777">
      <w:pPr>
        <w:pStyle w:val="ListParagraph"/>
        <w:ind w:left="1068"/>
        <w:rPr>
          <w:b/>
          <w:bCs/>
        </w:rPr>
      </w:pPr>
    </w:p>
    <w:p w:rsidR="005E545A" w:rsidP="005E545A" w:rsidRDefault="005E545A" w14:paraId="0F638A0A" w14:textId="24A03F9C">
      <w:r>
        <w:t>Zoals beschreven onder punt 3 hierboven is dit Partieel Herziene Programma Noordzee een gedeeltelijke wijziging van het PNZ 2022-2027. Daarom zijn de meeste teksten onveranderd ten opzichte van het PNZ 2022-2027 zoals vastgesteld in maart 2022. De opgenomen beleidswijzigingen zijn zoveel mogelijk als aaneengesloten tekst toegevoegd aan de al vastgestelde PNZ-tekst. De tabel licht toe waar deze teksten, per onderwerp, zijn terug te vinden.</w:t>
      </w:r>
    </w:p>
    <w:p w:rsidR="005E545A" w:rsidP="005E545A" w:rsidRDefault="005E545A" w14:paraId="78B34D17" w14:textId="77777777"/>
    <w:tbl>
      <w:tblPr>
        <w:tblStyle w:val="TableNormal1"/>
        <w:tblW w:w="76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383"/>
        <w:gridCol w:w="2272"/>
      </w:tblGrid>
      <w:tr w:rsidR="005E545A" w:rsidTr="00A3009C" w14:paraId="615D1F52" w14:textId="77777777">
        <w:trPr>
          <w:trHeight w:val="479"/>
        </w:trPr>
        <w:tc>
          <w:tcPr>
            <w:tcW w:w="5383" w:type="dxa"/>
          </w:tcPr>
          <w:p w:rsidRPr="003505F8" w:rsidR="005E545A" w:rsidP="00A3009C" w:rsidRDefault="005E545A" w14:paraId="11A152AF" w14:textId="77777777">
            <w:pPr>
              <w:pStyle w:val="TableParagraph"/>
              <w:spacing w:before="19" w:line="240" w:lineRule="auto"/>
              <w:rPr>
                <w:b/>
                <w:sz w:val="18"/>
                <w:szCs w:val="18"/>
              </w:rPr>
            </w:pPr>
            <w:r w:rsidRPr="00AD5E07">
              <w:rPr>
                <w:b/>
                <w:bCs/>
                <w:spacing w:val="-2"/>
                <w:sz w:val="18"/>
                <w:szCs w:val="18"/>
              </w:rPr>
              <w:t>Onderwerp</w:t>
            </w:r>
          </w:p>
        </w:tc>
        <w:tc>
          <w:tcPr>
            <w:tcW w:w="2272" w:type="dxa"/>
          </w:tcPr>
          <w:p w:rsidRPr="00310840" w:rsidR="005E545A" w:rsidP="00A3009C" w:rsidRDefault="005E545A" w14:paraId="74EDC9A1" w14:textId="77777777">
            <w:pPr>
              <w:pStyle w:val="TableParagraph"/>
              <w:rPr>
                <w:b/>
                <w:sz w:val="18"/>
                <w:szCs w:val="18"/>
                <w:lang w:val="nl-NL"/>
              </w:rPr>
            </w:pPr>
            <w:r w:rsidRPr="00310840">
              <w:rPr>
                <w:b/>
                <w:bCs/>
                <w:sz w:val="18"/>
                <w:szCs w:val="18"/>
                <w:lang w:val="nl-NL"/>
              </w:rPr>
              <w:t>Locatie</w:t>
            </w:r>
            <w:r w:rsidRPr="00310840">
              <w:rPr>
                <w:b/>
                <w:bCs/>
                <w:spacing w:val="-16"/>
                <w:sz w:val="18"/>
                <w:szCs w:val="18"/>
                <w:lang w:val="nl-NL"/>
              </w:rPr>
              <w:t xml:space="preserve"> </w:t>
            </w:r>
            <w:r w:rsidRPr="00310840">
              <w:rPr>
                <w:b/>
                <w:bCs/>
                <w:sz w:val="18"/>
                <w:szCs w:val="18"/>
                <w:lang w:val="nl-NL"/>
              </w:rPr>
              <w:t>in</w:t>
            </w:r>
            <w:r w:rsidRPr="00310840">
              <w:rPr>
                <w:b/>
                <w:bCs/>
                <w:spacing w:val="-15"/>
                <w:sz w:val="18"/>
                <w:szCs w:val="18"/>
                <w:lang w:val="nl-NL"/>
              </w:rPr>
              <w:t xml:space="preserve"> </w:t>
            </w:r>
            <w:r w:rsidRPr="00310840">
              <w:rPr>
                <w:b/>
                <w:bCs/>
                <w:sz w:val="18"/>
                <w:szCs w:val="18"/>
                <w:lang w:val="nl-NL"/>
              </w:rPr>
              <w:t>het Partieel Herziene PNZ 2022-2027</w:t>
            </w:r>
          </w:p>
        </w:tc>
      </w:tr>
      <w:tr w:rsidR="005E545A" w:rsidTr="00A3009C" w14:paraId="238A729B" w14:textId="77777777">
        <w:trPr>
          <w:trHeight w:val="1199"/>
        </w:trPr>
        <w:tc>
          <w:tcPr>
            <w:tcW w:w="5383" w:type="dxa"/>
          </w:tcPr>
          <w:p w:rsidRPr="00310840" w:rsidR="005E545A" w:rsidP="00A3009C" w:rsidRDefault="005E545A" w14:paraId="4C87741D" w14:textId="77777777">
            <w:pPr>
              <w:pStyle w:val="TableParagraph"/>
              <w:ind w:left="107" w:right="172"/>
              <w:rPr>
                <w:sz w:val="18"/>
                <w:szCs w:val="18"/>
                <w:lang w:val="nl-NL"/>
              </w:rPr>
            </w:pPr>
            <w:r w:rsidRPr="00310840">
              <w:rPr>
                <w:sz w:val="18"/>
                <w:szCs w:val="18"/>
                <w:lang w:val="nl-NL"/>
              </w:rPr>
              <w:t>Ruimtelijke ordening, waaronder de aanwijzing van windenergiegebieden voor totaal 21 GW aan windenergie,</w:t>
            </w:r>
            <w:r w:rsidRPr="00310840">
              <w:rPr>
                <w:spacing w:val="-9"/>
                <w:sz w:val="18"/>
                <w:szCs w:val="18"/>
                <w:lang w:val="nl-NL"/>
              </w:rPr>
              <w:t xml:space="preserve"> </w:t>
            </w:r>
            <w:r w:rsidRPr="00310840">
              <w:rPr>
                <w:sz w:val="18"/>
                <w:szCs w:val="18"/>
                <w:lang w:val="nl-NL"/>
              </w:rPr>
              <w:t>een</w:t>
            </w:r>
            <w:r w:rsidRPr="00310840">
              <w:rPr>
                <w:spacing w:val="-7"/>
                <w:sz w:val="18"/>
                <w:szCs w:val="18"/>
                <w:lang w:val="nl-NL"/>
              </w:rPr>
              <w:t xml:space="preserve"> </w:t>
            </w:r>
            <w:r w:rsidRPr="00310840">
              <w:rPr>
                <w:sz w:val="18"/>
                <w:szCs w:val="18"/>
                <w:lang w:val="nl-NL"/>
              </w:rPr>
              <w:t>beschrijving</w:t>
            </w:r>
            <w:r w:rsidRPr="00310840">
              <w:rPr>
                <w:spacing w:val="-8"/>
                <w:sz w:val="18"/>
                <w:szCs w:val="18"/>
                <w:lang w:val="nl-NL"/>
              </w:rPr>
              <w:t xml:space="preserve"> </w:t>
            </w:r>
            <w:r w:rsidRPr="00310840">
              <w:rPr>
                <w:sz w:val="18"/>
                <w:szCs w:val="18"/>
                <w:lang w:val="nl-NL"/>
              </w:rPr>
              <w:t>van</w:t>
            </w:r>
            <w:r w:rsidRPr="00310840">
              <w:rPr>
                <w:spacing w:val="-7"/>
                <w:sz w:val="18"/>
                <w:szCs w:val="18"/>
                <w:lang w:val="nl-NL"/>
              </w:rPr>
              <w:t xml:space="preserve"> </w:t>
            </w:r>
            <w:r w:rsidRPr="00310840">
              <w:rPr>
                <w:sz w:val="18"/>
                <w:szCs w:val="18"/>
                <w:lang w:val="nl-NL"/>
              </w:rPr>
              <w:t>aandachtspunten</w:t>
            </w:r>
            <w:r w:rsidRPr="00310840">
              <w:rPr>
                <w:spacing w:val="-7"/>
                <w:sz w:val="18"/>
                <w:szCs w:val="18"/>
                <w:lang w:val="nl-NL"/>
              </w:rPr>
              <w:t xml:space="preserve"> </w:t>
            </w:r>
            <w:r w:rsidRPr="00310840">
              <w:rPr>
                <w:sz w:val="18"/>
                <w:szCs w:val="18"/>
                <w:lang w:val="nl-NL"/>
              </w:rPr>
              <w:t xml:space="preserve">en een gefaseerde aanpak en de voorbereiding van omliggende </w:t>
            </w:r>
            <w:r w:rsidRPr="00310840">
              <w:rPr>
                <w:i/>
                <w:iCs/>
                <w:sz w:val="18"/>
                <w:szCs w:val="18"/>
                <w:lang w:val="nl-NL"/>
              </w:rPr>
              <w:t xml:space="preserve">clearways </w:t>
            </w:r>
            <w:r w:rsidRPr="00310840">
              <w:rPr>
                <w:sz w:val="18"/>
                <w:szCs w:val="18"/>
                <w:lang w:val="nl-NL"/>
              </w:rPr>
              <w:t>voor veilige scheepvaart.</w:t>
            </w:r>
          </w:p>
        </w:tc>
        <w:tc>
          <w:tcPr>
            <w:tcW w:w="2272" w:type="dxa"/>
          </w:tcPr>
          <w:p w:rsidRPr="003505F8" w:rsidR="005E545A" w:rsidP="00A3009C" w:rsidRDefault="005E545A" w14:paraId="037E68E3" w14:textId="77777777">
            <w:pPr>
              <w:pStyle w:val="TableParagraph"/>
              <w:spacing w:before="20" w:line="240" w:lineRule="auto"/>
              <w:rPr>
                <w:sz w:val="18"/>
                <w:szCs w:val="18"/>
              </w:rPr>
            </w:pPr>
            <w:r w:rsidRPr="00AD5E07">
              <w:rPr>
                <w:spacing w:val="-5"/>
                <w:sz w:val="18"/>
                <w:szCs w:val="18"/>
              </w:rPr>
              <w:t>H9a</w:t>
            </w:r>
          </w:p>
        </w:tc>
      </w:tr>
      <w:tr w:rsidR="005E545A" w:rsidTr="00A3009C" w14:paraId="30693F37" w14:textId="77777777">
        <w:trPr>
          <w:trHeight w:val="958"/>
        </w:trPr>
        <w:tc>
          <w:tcPr>
            <w:tcW w:w="5383" w:type="dxa"/>
          </w:tcPr>
          <w:p w:rsidRPr="00310840" w:rsidR="005E545A" w:rsidP="00A3009C" w:rsidRDefault="005E545A" w14:paraId="115B693F" w14:textId="77777777">
            <w:pPr>
              <w:pStyle w:val="TableParagraph"/>
              <w:ind w:left="107" w:right="172"/>
              <w:rPr>
                <w:sz w:val="18"/>
                <w:szCs w:val="18"/>
                <w:lang w:val="nl-NL"/>
              </w:rPr>
            </w:pPr>
            <w:r w:rsidRPr="00310840">
              <w:rPr>
                <w:sz w:val="18"/>
                <w:szCs w:val="18"/>
                <w:lang w:val="nl-NL"/>
              </w:rPr>
              <w:t>Uitbreiding</w:t>
            </w:r>
            <w:r w:rsidRPr="00310840">
              <w:rPr>
                <w:spacing w:val="-8"/>
                <w:sz w:val="18"/>
                <w:szCs w:val="18"/>
                <w:lang w:val="nl-NL"/>
              </w:rPr>
              <w:t xml:space="preserve"> </w:t>
            </w:r>
            <w:r w:rsidRPr="00310840">
              <w:rPr>
                <w:sz w:val="18"/>
                <w:szCs w:val="18"/>
                <w:lang w:val="nl-NL"/>
              </w:rPr>
              <w:t>reserveringszone</w:t>
            </w:r>
            <w:r w:rsidRPr="00310840">
              <w:rPr>
                <w:spacing w:val="-8"/>
                <w:sz w:val="18"/>
                <w:szCs w:val="18"/>
                <w:lang w:val="nl-NL"/>
              </w:rPr>
              <w:t xml:space="preserve"> </w:t>
            </w:r>
            <w:r w:rsidRPr="00310840">
              <w:rPr>
                <w:sz w:val="18"/>
                <w:szCs w:val="18"/>
                <w:lang w:val="nl-NL"/>
              </w:rPr>
              <w:t>voor</w:t>
            </w:r>
            <w:r w:rsidRPr="00310840">
              <w:rPr>
                <w:spacing w:val="-8"/>
                <w:sz w:val="18"/>
                <w:szCs w:val="18"/>
                <w:lang w:val="nl-NL"/>
              </w:rPr>
              <w:t xml:space="preserve"> </w:t>
            </w:r>
            <w:r w:rsidRPr="00310840">
              <w:rPr>
                <w:sz w:val="18"/>
                <w:szCs w:val="18"/>
                <w:lang w:val="nl-NL"/>
              </w:rPr>
              <w:t>zandwinning</w:t>
            </w:r>
            <w:r w:rsidRPr="00310840">
              <w:rPr>
                <w:spacing w:val="-8"/>
                <w:sz w:val="18"/>
                <w:szCs w:val="18"/>
                <w:lang w:val="nl-NL"/>
              </w:rPr>
              <w:t xml:space="preserve"> </w:t>
            </w:r>
            <w:r w:rsidRPr="00310840">
              <w:rPr>
                <w:sz w:val="18"/>
                <w:szCs w:val="18"/>
                <w:lang w:val="nl-NL"/>
              </w:rPr>
              <w:t>van</w:t>
            </w:r>
            <w:r w:rsidRPr="00310840">
              <w:rPr>
                <w:spacing w:val="-7"/>
                <w:sz w:val="18"/>
                <w:szCs w:val="18"/>
                <w:lang w:val="nl-NL"/>
              </w:rPr>
              <w:t xml:space="preserve"> </w:t>
            </w:r>
            <w:r w:rsidRPr="00310840">
              <w:rPr>
                <w:sz w:val="18"/>
                <w:szCs w:val="18"/>
                <w:lang w:val="nl-NL"/>
              </w:rPr>
              <w:t>12 naar 14 nautische mijl</w:t>
            </w:r>
            <w:r>
              <w:rPr>
                <w:rStyle w:val="FootnoteReference"/>
                <w:sz w:val="18"/>
                <w:szCs w:val="18"/>
              </w:rPr>
              <w:footnoteReference w:id="13"/>
            </w:r>
            <w:r w:rsidRPr="00310840">
              <w:rPr>
                <w:sz w:val="18"/>
                <w:szCs w:val="18"/>
                <w:lang w:val="nl-NL"/>
              </w:rPr>
              <w:t xml:space="preserve"> om te kunnen blijven voldoen aan de groeiende behoefte voor zandwinning voor kustbescherming en grondstoffen.</w:t>
            </w:r>
          </w:p>
        </w:tc>
        <w:tc>
          <w:tcPr>
            <w:tcW w:w="2272" w:type="dxa"/>
          </w:tcPr>
          <w:p w:rsidRPr="003505F8" w:rsidR="005E545A" w:rsidP="00A3009C" w:rsidRDefault="005E545A" w14:paraId="7AE14D8E" w14:textId="77777777">
            <w:pPr>
              <w:pStyle w:val="TableParagraph"/>
              <w:spacing w:before="19" w:line="240" w:lineRule="auto"/>
              <w:rPr>
                <w:sz w:val="18"/>
                <w:szCs w:val="18"/>
              </w:rPr>
            </w:pPr>
            <w:r w:rsidRPr="00AD5E07">
              <w:rPr>
                <w:sz w:val="18"/>
                <w:szCs w:val="18"/>
              </w:rPr>
              <w:t>H7.1,</w:t>
            </w:r>
            <w:r w:rsidRPr="00AD5E07">
              <w:rPr>
                <w:spacing w:val="-4"/>
                <w:sz w:val="18"/>
                <w:szCs w:val="18"/>
              </w:rPr>
              <w:t xml:space="preserve"> </w:t>
            </w:r>
            <w:r w:rsidRPr="00AD5E07">
              <w:rPr>
                <w:sz w:val="18"/>
                <w:szCs w:val="18"/>
              </w:rPr>
              <w:t>H10.4</w:t>
            </w:r>
            <w:r w:rsidRPr="00AD5E07">
              <w:rPr>
                <w:spacing w:val="-2"/>
                <w:sz w:val="18"/>
                <w:szCs w:val="18"/>
              </w:rPr>
              <w:t xml:space="preserve"> </w:t>
            </w:r>
            <w:r w:rsidRPr="00AD5E07">
              <w:rPr>
                <w:sz w:val="18"/>
                <w:szCs w:val="18"/>
              </w:rPr>
              <w:t>en</w:t>
            </w:r>
            <w:r w:rsidRPr="00AD5E07">
              <w:rPr>
                <w:spacing w:val="-1"/>
                <w:sz w:val="18"/>
                <w:szCs w:val="18"/>
              </w:rPr>
              <w:t xml:space="preserve"> </w:t>
            </w:r>
            <w:r w:rsidRPr="00AD5E07">
              <w:rPr>
                <w:spacing w:val="-4"/>
                <w:sz w:val="18"/>
                <w:szCs w:val="18"/>
              </w:rPr>
              <w:t>10.5</w:t>
            </w:r>
          </w:p>
        </w:tc>
      </w:tr>
      <w:tr w:rsidR="005E545A" w:rsidTr="00A3009C" w14:paraId="78A18F11" w14:textId="77777777">
        <w:trPr>
          <w:trHeight w:val="721"/>
        </w:trPr>
        <w:tc>
          <w:tcPr>
            <w:tcW w:w="5383" w:type="dxa"/>
          </w:tcPr>
          <w:p w:rsidRPr="00310840" w:rsidR="005E545A" w:rsidP="00A3009C" w:rsidRDefault="005E545A" w14:paraId="50AAF9EB" w14:textId="77777777">
            <w:pPr>
              <w:pStyle w:val="TableParagraph"/>
              <w:ind w:left="107"/>
              <w:rPr>
                <w:sz w:val="18"/>
                <w:szCs w:val="18"/>
                <w:lang w:val="nl-NL"/>
              </w:rPr>
            </w:pPr>
            <w:r w:rsidRPr="00310840">
              <w:rPr>
                <w:sz w:val="18"/>
                <w:szCs w:val="18"/>
                <w:lang w:val="nl-NL"/>
              </w:rPr>
              <w:t>Aanpassen</w:t>
            </w:r>
            <w:r w:rsidRPr="00310840">
              <w:rPr>
                <w:spacing w:val="-4"/>
                <w:sz w:val="18"/>
                <w:szCs w:val="18"/>
                <w:lang w:val="nl-NL"/>
              </w:rPr>
              <w:t xml:space="preserve"> </w:t>
            </w:r>
            <w:r w:rsidRPr="00310840">
              <w:rPr>
                <w:sz w:val="18"/>
                <w:szCs w:val="18"/>
                <w:lang w:val="nl-NL"/>
              </w:rPr>
              <w:t>van</w:t>
            </w:r>
            <w:r w:rsidRPr="00310840">
              <w:rPr>
                <w:spacing w:val="-4"/>
                <w:sz w:val="18"/>
                <w:szCs w:val="18"/>
                <w:lang w:val="nl-NL"/>
              </w:rPr>
              <w:t xml:space="preserve"> </w:t>
            </w:r>
            <w:r w:rsidRPr="00310840">
              <w:rPr>
                <w:sz w:val="18"/>
                <w:szCs w:val="18"/>
                <w:lang w:val="nl-NL"/>
              </w:rPr>
              <w:t>het</w:t>
            </w:r>
            <w:r w:rsidRPr="00310840">
              <w:rPr>
                <w:spacing w:val="-4"/>
                <w:sz w:val="18"/>
                <w:szCs w:val="18"/>
                <w:lang w:val="nl-NL"/>
              </w:rPr>
              <w:t xml:space="preserve"> </w:t>
            </w:r>
            <w:r w:rsidRPr="00310840">
              <w:rPr>
                <w:sz w:val="18"/>
                <w:szCs w:val="18"/>
                <w:lang w:val="nl-NL"/>
              </w:rPr>
              <w:t>proces</w:t>
            </w:r>
            <w:r w:rsidRPr="00310840">
              <w:rPr>
                <w:spacing w:val="-8"/>
                <w:sz w:val="18"/>
                <w:szCs w:val="18"/>
                <w:lang w:val="nl-NL"/>
              </w:rPr>
              <w:t xml:space="preserve"> </w:t>
            </w:r>
            <w:r w:rsidRPr="00310840">
              <w:rPr>
                <w:sz w:val="18"/>
                <w:szCs w:val="18"/>
                <w:lang w:val="nl-NL"/>
              </w:rPr>
              <w:t>voor</w:t>
            </w:r>
            <w:r w:rsidRPr="00310840">
              <w:rPr>
                <w:spacing w:val="-5"/>
                <w:sz w:val="18"/>
                <w:szCs w:val="18"/>
                <w:lang w:val="nl-NL"/>
              </w:rPr>
              <w:t xml:space="preserve"> </w:t>
            </w:r>
            <w:r w:rsidRPr="00310840">
              <w:rPr>
                <w:sz w:val="18"/>
                <w:szCs w:val="18"/>
                <w:lang w:val="nl-NL"/>
              </w:rPr>
              <w:t>de</w:t>
            </w:r>
            <w:r w:rsidRPr="00310840">
              <w:rPr>
                <w:spacing w:val="-5"/>
                <w:sz w:val="18"/>
                <w:szCs w:val="18"/>
                <w:lang w:val="nl-NL"/>
              </w:rPr>
              <w:t xml:space="preserve"> </w:t>
            </w:r>
            <w:r w:rsidRPr="00310840">
              <w:rPr>
                <w:sz w:val="18"/>
                <w:szCs w:val="18"/>
                <w:lang w:val="nl-NL"/>
              </w:rPr>
              <w:t>huidige</w:t>
            </w:r>
            <w:r w:rsidRPr="00310840">
              <w:rPr>
                <w:spacing w:val="-5"/>
                <w:sz w:val="18"/>
                <w:szCs w:val="18"/>
                <w:lang w:val="nl-NL"/>
              </w:rPr>
              <w:t xml:space="preserve"> </w:t>
            </w:r>
            <w:r w:rsidRPr="00310840">
              <w:rPr>
                <w:sz w:val="18"/>
                <w:szCs w:val="18"/>
                <w:lang w:val="nl-NL"/>
              </w:rPr>
              <w:t>vormen</w:t>
            </w:r>
            <w:r w:rsidRPr="00310840">
              <w:rPr>
                <w:spacing w:val="-4"/>
                <w:sz w:val="18"/>
                <w:szCs w:val="18"/>
                <w:lang w:val="nl-NL"/>
              </w:rPr>
              <w:t xml:space="preserve"> </w:t>
            </w:r>
            <w:r w:rsidRPr="00310840">
              <w:rPr>
                <w:sz w:val="18"/>
                <w:szCs w:val="18"/>
                <w:lang w:val="nl-NL"/>
              </w:rPr>
              <w:t>van medegebruik binnen windparken, om de kansen van slagen voor deze vormen te vergroten.</w:t>
            </w:r>
          </w:p>
        </w:tc>
        <w:tc>
          <w:tcPr>
            <w:tcW w:w="2272" w:type="dxa"/>
          </w:tcPr>
          <w:p w:rsidRPr="003505F8" w:rsidR="005E545A" w:rsidP="00A3009C" w:rsidRDefault="005E545A" w14:paraId="4A429D83" w14:textId="77777777">
            <w:pPr>
              <w:pStyle w:val="TableParagraph"/>
              <w:spacing w:before="19" w:line="240" w:lineRule="auto"/>
              <w:rPr>
                <w:sz w:val="18"/>
                <w:szCs w:val="18"/>
              </w:rPr>
            </w:pPr>
            <w:r w:rsidRPr="00AD5E07">
              <w:rPr>
                <w:spacing w:val="-5"/>
                <w:sz w:val="18"/>
                <w:szCs w:val="18"/>
              </w:rPr>
              <w:t>H10</w:t>
            </w:r>
          </w:p>
        </w:tc>
      </w:tr>
      <w:tr w:rsidR="005E545A" w:rsidTr="00A3009C" w14:paraId="03C93E8C" w14:textId="77777777">
        <w:trPr>
          <w:trHeight w:val="570"/>
        </w:trPr>
        <w:tc>
          <w:tcPr>
            <w:tcW w:w="5383" w:type="dxa"/>
          </w:tcPr>
          <w:p w:rsidRPr="00310840" w:rsidR="005E545A" w:rsidP="00A3009C" w:rsidRDefault="005E545A" w14:paraId="68FA6F44" w14:textId="77777777">
            <w:pPr>
              <w:pStyle w:val="TableParagraph"/>
              <w:ind w:left="107"/>
              <w:rPr>
                <w:sz w:val="18"/>
                <w:szCs w:val="18"/>
                <w:lang w:val="nl-NL"/>
              </w:rPr>
            </w:pPr>
            <w:r w:rsidRPr="00310840">
              <w:rPr>
                <w:sz w:val="18"/>
                <w:szCs w:val="18"/>
                <w:lang w:val="nl-NL"/>
              </w:rPr>
              <w:t>Actualisering</w:t>
            </w:r>
            <w:r w:rsidRPr="00310840">
              <w:rPr>
                <w:spacing w:val="-10"/>
                <w:sz w:val="18"/>
                <w:szCs w:val="18"/>
                <w:lang w:val="nl-NL"/>
              </w:rPr>
              <w:t xml:space="preserve"> </w:t>
            </w:r>
            <w:r w:rsidRPr="00310840">
              <w:rPr>
                <w:sz w:val="18"/>
                <w:szCs w:val="18"/>
                <w:lang w:val="nl-NL"/>
              </w:rPr>
              <w:t>ontwikkelingen</w:t>
            </w:r>
            <w:r w:rsidRPr="00310840">
              <w:rPr>
                <w:spacing w:val="-9"/>
                <w:sz w:val="18"/>
                <w:szCs w:val="18"/>
                <w:lang w:val="nl-NL"/>
              </w:rPr>
              <w:t xml:space="preserve"> </w:t>
            </w:r>
            <w:r w:rsidRPr="00310840">
              <w:rPr>
                <w:sz w:val="18"/>
                <w:szCs w:val="18"/>
                <w:lang w:val="nl-NL"/>
              </w:rPr>
              <w:t>rondom</w:t>
            </w:r>
            <w:r w:rsidRPr="00310840">
              <w:rPr>
                <w:spacing w:val="-10"/>
                <w:sz w:val="18"/>
                <w:szCs w:val="18"/>
                <w:lang w:val="nl-NL"/>
              </w:rPr>
              <w:t xml:space="preserve"> </w:t>
            </w:r>
            <w:r w:rsidRPr="00310840">
              <w:rPr>
                <w:sz w:val="18"/>
                <w:szCs w:val="18"/>
                <w:lang w:val="nl-NL"/>
              </w:rPr>
              <w:t>het</w:t>
            </w:r>
            <w:r w:rsidRPr="00310840">
              <w:rPr>
                <w:spacing w:val="-9"/>
                <w:sz w:val="18"/>
                <w:szCs w:val="18"/>
                <w:lang w:val="nl-NL"/>
              </w:rPr>
              <w:t xml:space="preserve"> </w:t>
            </w:r>
            <w:r w:rsidRPr="00310840">
              <w:rPr>
                <w:sz w:val="18"/>
                <w:szCs w:val="18"/>
                <w:lang w:val="nl-NL"/>
              </w:rPr>
              <w:t>Verkennend Programma Duurzame Blauwe Economie.</w:t>
            </w:r>
          </w:p>
        </w:tc>
        <w:tc>
          <w:tcPr>
            <w:tcW w:w="2272" w:type="dxa"/>
          </w:tcPr>
          <w:p w:rsidRPr="003505F8" w:rsidR="005E545A" w:rsidP="00A3009C" w:rsidRDefault="005E545A" w14:paraId="6A8B79B7" w14:textId="77777777">
            <w:pPr>
              <w:pStyle w:val="TableParagraph"/>
              <w:spacing w:before="19" w:line="240" w:lineRule="auto"/>
              <w:rPr>
                <w:spacing w:val="-5"/>
                <w:sz w:val="18"/>
                <w:szCs w:val="18"/>
              </w:rPr>
            </w:pPr>
            <w:r w:rsidRPr="00AD5E07">
              <w:rPr>
                <w:spacing w:val="-5"/>
                <w:sz w:val="18"/>
                <w:szCs w:val="18"/>
              </w:rPr>
              <w:t>H8</w:t>
            </w:r>
          </w:p>
        </w:tc>
      </w:tr>
      <w:tr w:rsidR="005E545A" w:rsidTr="00A3009C" w14:paraId="69DAECEB" w14:textId="77777777">
        <w:trPr>
          <w:trHeight w:val="570"/>
        </w:trPr>
        <w:tc>
          <w:tcPr>
            <w:tcW w:w="5383" w:type="dxa"/>
          </w:tcPr>
          <w:p w:rsidRPr="00310840" w:rsidR="005E545A" w:rsidP="00A3009C" w:rsidRDefault="005E545A" w14:paraId="5A7124E6" w14:textId="77777777">
            <w:pPr>
              <w:pStyle w:val="TableParagraph"/>
              <w:ind w:left="107"/>
              <w:rPr>
                <w:sz w:val="18"/>
                <w:szCs w:val="18"/>
                <w:lang w:val="nl-NL"/>
              </w:rPr>
            </w:pPr>
            <w:r w:rsidRPr="00310840">
              <w:rPr>
                <w:sz w:val="18"/>
                <w:szCs w:val="18"/>
                <w:lang w:val="nl-NL"/>
              </w:rPr>
              <w:t>Bescherming</w:t>
            </w:r>
            <w:r w:rsidRPr="00310840">
              <w:rPr>
                <w:spacing w:val="-6"/>
                <w:sz w:val="18"/>
                <w:szCs w:val="18"/>
                <w:lang w:val="nl-NL"/>
              </w:rPr>
              <w:t xml:space="preserve"> </w:t>
            </w:r>
            <w:r w:rsidRPr="00310840">
              <w:rPr>
                <w:sz w:val="18"/>
                <w:szCs w:val="18"/>
                <w:lang w:val="nl-NL"/>
              </w:rPr>
              <w:t>Zuidelijke</w:t>
            </w:r>
            <w:r w:rsidRPr="00310840">
              <w:rPr>
                <w:spacing w:val="-6"/>
                <w:sz w:val="18"/>
                <w:szCs w:val="18"/>
                <w:lang w:val="nl-NL"/>
              </w:rPr>
              <w:t xml:space="preserve"> </w:t>
            </w:r>
            <w:r w:rsidRPr="00310840">
              <w:rPr>
                <w:sz w:val="18"/>
                <w:szCs w:val="18"/>
                <w:lang w:val="nl-NL"/>
              </w:rPr>
              <w:t>Doggersbank</w:t>
            </w:r>
            <w:r w:rsidRPr="00310840">
              <w:rPr>
                <w:spacing w:val="-7"/>
                <w:sz w:val="18"/>
                <w:szCs w:val="18"/>
                <w:lang w:val="nl-NL"/>
              </w:rPr>
              <w:t xml:space="preserve"> </w:t>
            </w:r>
            <w:r w:rsidRPr="00310840">
              <w:rPr>
                <w:sz w:val="18"/>
                <w:szCs w:val="18"/>
                <w:lang w:val="nl-NL"/>
              </w:rPr>
              <w:t>onder</w:t>
            </w:r>
            <w:r w:rsidRPr="00310840">
              <w:rPr>
                <w:spacing w:val="-6"/>
                <w:sz w:val="18"/>
                <w:szCs w:val="18"/>
                <w:lang w:val="nl-NL"/>
              </w:rPr>
              <w:t xml:space="preserve"> </w:t>
            </w:r>
            <w:r w:rsidRPr="00310840">
              <w:rPr>
                <w:sz w:val="18"/>
                <w:szCs w:val="18"/>
                <w:lang w:val="nl-NL"/>
              </w:rPr>
              <w:t>de</w:t>
            </w:r>
            <w:r w:rsidRPr="00310840">
              <w:rPr>
                <w:spacing w:val="-6"/>
                <w:sz w:val="18"/>
                <w:szCs w:val="18"/>
                <w:lang w:val="nl-NL"/>
              </w:rPr>
              <w:t xml:space="preserve"> </w:t>
            </w:r>
            <w:r w:rsidRPr="00310840">
              <w:rPr>
                <w:sz w:val="18"/>
                <w:szCs w:val="18"/>
                <w:lang w:val="nl-NL"/>
              </w:rPr>
              <w:t>KRM</w:t>
            </w:r>
            <w:r w:rsidRPr="00310840">
              <w:rPr>
                <w:spacing w:val="-7"/>
                <w:sz w:val="18"/>
                <w:szCs w:val="18"/>
                <w:lang w:val="nl-NL"/>
              </w:rPr>
              <w:t xml:space="preserve"> </w:t>
            </w:r>
            <w:r w:rsidRPr="00310840">
              <w:rPr>
                <w:sz w:val="18"/>
                <w:szCs w:val="18"/>
                <w:lang w:val="nl-NL"/>
              </w:rPr>
              <w:t>en grenscorrecties Centrale Oestergronden en Borkumse Stenen volgens afspraken uit het Noordzeeakkoord.</w:t>
            </w:r>
            <w:r>
              <w:rPr>
                <w:rStyle w:val="FootnoteReference"/>
                <w:sz w:val="18"/>
                <w:szCs w:val="18"/>
              </w:rPr>
              <w:footnoteReference w:id="14"/>
            </w:r>
          </w:p>
        </w:tc>
        <w:tc>
          <w:tcPr>
            <w:tcW w:w="2272" w:type="dxa"/>
          </w:tcPr>
          <w:p w:rsidRPr="00AD5E07" w:rsidR="005E545A" w:rsidP="00A3009C" w:rsidRDefault="005E545A" w14:paraId="41A1738E" w14:textId="77777777">
            <w:pPr>
              <w:pStyle w:val="TableParagraph"/>
              <w:spacing w:before="19" w:line="240" w:lineRule="auto"/>
              <w:rPr>
                <w:spacing w:val="-5"/>
                <w:sz w:val="18"/>
                <w:szCs w:val="18"/>
              </w:rPr>
            </w:pPr>
            <w:r w:rsidRPr="00AD5E07">
              <w:rPr>
                <w:sz w:val="18"/>
                <w:szCs w:val="18"/>
              </w:rPr>
              <w:t>H9a.2,</w:t>
            </w:r>
            <w:r w:rsidRPr="00AD5E07">
              <w:rPr>
                <w:spacing w:val="-4"/>
                <w:sz w:val="18"/>
                <w:szCs w:val="18"/>
              </w:rPr>
              <w:t xml:space="preserve"> </w:t>
            </w:r>
            <w:r w:rsidRPr="00AD5E07">
              <w:rPr>
                <w:sz w:val="18"/>
                <w:szCs w:val="18"/>
              </w:rPr>
              <w:t>H3</w:t>
            </w:r>
            <w:r w:rsidRPr="00AD5E07">
              <w:rPr>
                <w:spacing w:val="1"/>
                <w:sz w:val="18"/>
                <w:szCs w:val="18"/>
              </w:rPr>
              <w:t xml:space="preserve"> </w:t>
            </w:r>
            <w:r w:rsidRPr="00AD5E07">
              <w:rPr>
                <w:sz w:val="18"/>
                <w:szCs w:val="18"/>
              </w:rPr>
              <w:t>Bijlage</w:t>
            </w:r>
            <w:r w:rsidRPr="00AD5E07">
              <w:rPr>
                <w:spacing w:val="-2"/>
                <w:sz w:val="18"/>
                <w:szCs w:val="18"/>
              </w:rPr>
              <w:t xml:space="preserve"> </w:t>
            </w:r>
            <w:r w:rsidRPr="00AD5E07">
              <w:rPr>
                <w:spacing w:val="-10"/>
                <w:sz w:val="18"/>
                <w:szCs w:val="18"/>
              </w:rPr>
              <w:t>1</w:t>
            </w:r>
          </w:p>
        </w:tc>
      </w:tr>
      <w:tr w:rsidR="005E545A" w:rsidTr="00A3009C" w14:paraId="60C2B9E5" w14:textId="77777777">
        <w:trPr>
          <w:trHeight w:val="570"/>
        </w:trPr>
        <w:tc>
          <w:tcPr>
            <w:tcW w:w="5383" w:type="dxa"/>
          </w:tcPr>
          <w:p w:rsidRPr="00310840" w:rsidR="005E545A" w:rsidP="00A3009C" w:rsidRDefault="005E545A" w14:paraId="0EBFE783" w14:textId="77777777">
            <w:pPr>
              <w:pStyle w:val="TableParagraph"/>
              <w:ind w:left="107"/>
              <w:rPr>
                <w:sz w:val="18"/>
                <w:szCs w:val="18"/>
                <w:lang w:val="nl-NL"/>
              </w:rPr>
            </w:pPr>
            <w:r w:rsidRPr="00310840">
              <w:rPr>
                <w:sz w:val="18"/>
                <w:szCs w:val="18"/>
                <w:lang w:val="nl-NL"/>
              </w:rPr>
              <w:t>Omschrijven</w:t>
            </w:r>
            <w:r w:rsidRPr="00310840">
              <w:rPr>
                <w:spacing w:val="-9"/>
                <w:sz w:val="18"/>
                <w:szCs w:val="18"/>
                <w:lang w:val="nl-NL"/>
              </w:rPr>
              <w:t xml:space="preserve"> </w:t>
            </w:r>
            <w:r w:rsidRPr="00310840">
              <w:rPr>
                <w:sz w:val="18"/>
                <w:szCs w:val="18"/>
                <w:lang w:val="nl-NL"/>
              </w:rPr>
              <w:t>van</w:t>
            </w:r>
            <w:r w:rsidRPr="00310840">
              <w:rPr>
                <w:spacing w:val="-9"/>
                <w:sz w:val="18"/>
                <w:szCs w:val="18"/>
                <w:lang w:val="nl-NL"/>
              </w:rPr>
              <w:t xml:space="preserve"> </w:t>
            </w:r>
            <w:r w:rsidRPr="00310840">
              <w:rPr>
                <w:sz w:val="18"/>
                <w:szCs w:val="18"/>
                <w:lang w:val="nl-NL"/>
              </w:rPr>
              <w:t>het</w:t>
            </w:r>
            <w:r w:rsidRPr="00310840">
              <w:rPr>
                <w:spacing w:val="-9"/>
                <w:sz w:val="18"/>
                <w:szCs w:val="18"/>
                <w:lang w:val="nl-NL"/>
              </w:rPr>
              <w:t xml:space="preserve"> </w:t>
            </w:r>
            <w:r w:rsidRPr="00310840">
              <w:rPr>
                <w:sz w:val="18"/>
                <w:szCs w:val="18"/>
                <w:lang w:val="nl-NL"/>
              </w:rPr>
              <w:t>interdepartementale</w:t>
            </w:r>
            <w:r w:rsidRPr="00310840">
              <w:rPr>
                <w:spacing w:val="-10"/>
                <w:sz w:val="18"/>
                <w:szCs w:val="18"/>
                <w:lang w:val="nl-NL"/>
              </w:rPr>
              <w:t xml:space="preserve"> </w:t>
            </w:r>
            <w:r w:rsidRPr="00310840">
              <w:rPr>
                <w:sz w:val="18"/>
                <w:szCs w:val="18"/>
                <w:lang w:val="nl-NL"/>
              </w:rPr>
              <w:t>Programma Bescherming</w:t>
            </w:r>
            <w:r w:rsidRPr="00310840">
              <w:rPr>
                <w:spacing w:val="-4"/>
                <w:sz w:val="18"/>
                <w:szCs w:val="18"/>
                <w:lang w:val="nl-NL"/>
              </w:rPr>
              <w:t xml:space="preserve"> </w:t>
            </w:r>
            <w:r w:rsidRPr="00310840">
              <w:rPr>
                <w:sz w:val="18"/>
                <w:szCs w:val="18"/>
                <w:lang w:val="nl-NL"/>
              </w:rPr>
              <w:t>Noordzee-infrastructuur</w:t>
            </w:r>
            <w:r w:rsidRPr="00310840">
              <w:rPr>
                <w:spacing w:val="-4"/>
                <w:sz w:val="18"/>
                <w:szCs w:val="18"/>
                <w:lang w:val="nl-NL"/>
              </w:rPr>
              <w:t xml:space="preserve"> </w:t>
            </w:r>
            <w:r w:rsidRPr="00310840">
              <w:rPr>
                <w:sz w:val="18"/>
                <w:szCs w:val="18"/>
                <w:lang w:val="nl-NL"/>
              </w:rPr>
              <w:t>(PBNI),</w:t>
            </w:r>
            <w:r w:rsidRPr="00310840">
              <w:rPr>
                <w:spacing w:val="-5"/>
                <w:sz w:val="18"/>
                <w:szCs w:val="18"/>
                <w:lang w:val="nl-NL"/>
              </w:rPr>
              <w:t xml:space="preserve"> </w:t>
            </w:r>
            <w:r w:rsidRPr="00310840">
              <w:rPr>
                <w:sz w:val="18"/>
                <w:szCs w:val="18"/>
                <w:lang w:val="nl-NL"/>
              </w:rPr>
              <w:t>in</w:t>
            </w:r>
            <w:r w:rsidRPr="00310840">
              <w:rPr>
                <w:spacing w:val="-3"/>
                <w:sz w:val="18"/>
                <w:szCs w:val="18"/>
                <w:lang w:val="nl-NL"/>
              </w:rPr>
              <w:t xml:space="preserve"> </w:t>
            </w:r>
            <w:r w:rsidRPr="00310840">
              <w:rPr>
                <w:sz w:val="18"/>
                <w:szCs w:val="18"/>
                <w:lang w:val="nl-NL"/>
              </w:rPr>
              <w:t>2022 opgericht om de strategie ter bescherming van Noordzee infrastructuur te borgen.</w:t>
            </w:r>
          </w:p>
        </w:tc>
        <w:tc>
          <w:tcPr>
            <w:tcW w:w="2272" w:type="dxa"/>
          </w:tcPr>
          <w:p w:rsidRPr="00AD5E07" w:rsidR="005E545A" w:rsidP="00A3009C" w:rsidRDefault="005E545A" w14:paraId="732154E5" w14:textId="77777777">
            <w:pPr>
              <w:pStyle w:val="TableParagraph"/>
              <w:spacing w:before="19" w:line="240" w:lineRule="auto"/>
              <w:rPr>
                <w:sz w:val="18"/>
                <w:szCs w:val="18"/>
              </w:rPr>
            </w:pPr>
            <w:r w:rsidRPr="00AD5E07">
              <w:rPr>
                <w:spacing w:val="-4"/>
                <w:sz w:val="18"/>
                <w:szCs w:val="18"/>
              </w:rPr>
              <w:t>H7.3</w:t>
            </w:r>
          </w:p>
        </w:tc>
      </w:tr>
      <w:tr w:rsidR="005E545A" w:rsidTr="00A3009C" w14:paraId="548A5428" w14:textId="77777777">
        <w:trPr>
          <w:trHeight w:val="570"/>
        </w:trPr>
        <w:tc>
          <w:tcPr>
            <w:tcW w:w="5383" w:type="dxa"/>
          </w:tcPr>
          <w:p w:rsidRPr="00310840" w:rsidR="005E545A" w:rsidP="00A3009C" w:rsidRDefault="005E545A" w14:paraId="296264D4" w14:textId="77777777">
            <w:pPr>
              <w:pStyle w:val="TableParagraph"/>
              <w:ind w:left="107"/>
              <w:rPr>
                <w:sz w:val="18"/>
                <w:szCs w:val="18"/>
                <w:lang w:val="nl-NL"/>
              </w:rPr>
            </w:pPr>
            <w:r w:rsidRPr="00310840">
              <w:rPr>
                <w:sz w:val="18"/>
                <w:szCs w:val="18"/>
                <w:lang w:val="nl-NL"/>
              </w:rPr>
              <w:t>Omschrijven</w:t>
            </w:r>
            <w:r w:rsidRPr="00310840">
              <w:rPr>
                <w:spacing w:val="-5"/>
                <w:sz w:val="18"/>
                <w:szCs w:val="18"/>
                <w:lang w:val="nl-NL"/>
              </w:rPr>
              <w:t xml:space="preserve"> </w:t>
            </w:r>
            <w:r w:rsidRPr="00310840">
              <w:rPr>
                <w:sz w:val="18"/>
                <w:szCs w:val="18"/>
                <w:lang w:val="nl-NL"/>
              </w:rPr>
              <w:t>van</w:t>
            </w:r>
            <w:r w:rsidRPr="00310840">
              <w:rPr>
                <w:spacing w:val="-6"/>
                <w:sz w:val="18"/>
                <w:szCs w:val="18"/>
                <w:lang w:val="nl-NL"/>
              </w:rPr>
              <w:t xml:space="preserve"> </w:t>
            </w:r>
            <w:r w:rsidRPr="00310840">
              <w:rPr>
                <w:sz w:val="18"/>
                <w:szCs w:val="18"/>
                <w:lang w:val="nl-NL"/>
              </w:rPr>
              <w:t>het</w:t>
            </w:r>
            <w:r w:rsidRPr="00310840">
              <w:rPr>
                <w:spacing w:val="-5"/>
                <w:sz w:val="18"/>
                <w:szCs w:val="18"/>
                <w:lang w:val="nl-NL"/>
              </w:rPr>
              <w:t xml:space="preserve"> </w:t>
            </w:r>
            <w:r w:rsidRPr="00310840">
              <w:rPr>
                <w:i/>
                <w:iCs/>
                <w:sz w:val="18"/>
                <w:szCs w:val="18"/>
                <w:lang w:val="nl-NL"/>
              </w:rPr>
              <w:t>Greater</w:t>
            </w:r>
            <w:r w:rsidRPr="00310840">
              <w:rPr>
                <w:i/>
                <w:iCs/>
                <w:spacing w:val="-6"/>
                <w:sz w:val="18"/>
                <w:szCs w:val="18"/>
                <w:lang w:val="nl-NL"/>
              </w:rPr>
              <w:t xml:space="preserve"> </w:t>
            </w:r>
            <w:r w:rsidRPr="00310840">
              <w:rPr>
                <w:i/>
                <w:iCs/>
                <w:sz w:val="18"/>
                <w:szCs w:val="18"/>
                <w:lang w:val="nl-NL"/>
              </w:rPr>
              <w:t>North</w:t>
            </w:r>
            <w:r w:rsidRPr="00310840">
              <w:rPr>
                <w:i/>
                <w:iCs/>
                <w:spacing w:val="-5"/>
                <w:sz w:val="18"/>
                <w:szCs w:val="18"/>
                <w:lang w:val="nl-NL"/>
              </w:rPr>
              <w:t xml:space="preserve"> </w:t>
            </w:r>
            <w:r w:rsidRPr="00310840">
              <w:rPr>
                <w:i/>
                <w:iCs/>
                <w:sz w:val="18"/>
                <w:szCs w:val="18"/>
                <w:lang w:val="nl-NL"/>
              </w:rPr>
              <w:t>Sea</w:t>
            </w:r>
            <w:r w:rsidRPr="00310840">
              <w:rPr>
                <w:i/>
                <w:iCs/>
                <w:spacing w:val="-6"/>
                <w:sz w:val="18"/>
                <w:szCs w:val="18"/>
                <w:lang w:val="nl-NL"/>
              </w:rPr>
              <w:t xml:space="preserve"> </w:t>
            </w:r>
            <w:r w:rsidRPr="00310840">
              <w:rPr>
                <w:i/>
                <w:iCs/>
                <w:sz w:val="18"/>
                <w:szCs w:val="18"/>
                <w:lang w:val="nl-NL"/>
              </w:rPr>
              <w:t>Basin</w:t>
            </w:r>
            <w:r w:rsidRPr="00310840">
              <w:rPr>
                <w:i/>
                <w:iCs/>
                <w:spacing w:val="-5"/>
                <w:sz w:val="18"/>
                <w:szCs w:val="18"/>
                <w:lang w:val="nl-NL"/>
              </w:rPr>
              <w:t xml:space="preserve"> </w:t>
            </w:r>
            <w:r w:rsidRPr="00310840">
              <w:rPr>
                <w:i/>
                <w:iCs/>
                <w:sz w:val="18"/>
                <w:szCs w:val="18"/>
                <w:lang w:val="nl-NL"/>
              </w:rPr>
              <w:t>Initiative</w:t>
            </w:r>
            <w:r w:rsidRPr="00310840">
              <w:rPr>
                <w:sz w:val="18"/>
                <w:szCs w:val="18"/>
                <w:lang w:val="nl-NL"/>
              </w:rPr>
              <w:t>, in 2023 opgestart om internationale samenwerking tussen de Noordzeelanden te versterken.</w:t>
            </w:r>
          </w:p>
        </w:tc>
        <w:tc>
          <w:tcPr>
            <w:tcW w:w="2272" w:type="dxa"/>
          </w:tcPr>
          <w:p w:rsidRPr="00AD5E07" w:rsidR="005E545A" w:rsidP="00A3009C" w:rsidRDefault="005E545A" w14:paraId="3EC2DC4D" w14:textId="77777777">
            <w:pPr>
              <w:pStyle w:val="TableParagraph"/>
              <w:spacing w:before="19" w:line="240" w:lineRule="auto"/>
              <w:rPr>
                <w:sz w:val="18"/>
                <w:szCs w:val="18"/>
              </w:rPr>
            </w:pPr>
            <w:r w:rsidRPr="00AD5E07">
              <w:rPr>
                <w:sz w:val="18"/>
                <w:szCs w:val="18"/>
              </w:rPr>
              <w:t>H1.7,</w:t>
            </w:r>
            <w:r w:rsidRPr="00AD5E07">
              <w:rPr>
                <w:spacing w:val="-6"/>
                <w:sz w:val="18"/>
                <w:szCs w:val="18"/>
              </w:rPr>
              <w:t xml:space="preserve"> </w:t>
            </w:r>
            <w:r w:rsidRPr="00AD5E07">
              <w:rPr>
                <w:spacing w:val="-4"/>
                <w:sz w:val="18"/>
                <w:szCs w:val="18"/>
              </w:rPr>
              <w:t>H9.6</w:t>
            </w:r>
          </w:p>
        </w:tc>
      </w:tr>
      <w:tr w:rsidR="005E545A" w:rsidTr="00A3009C" w14:paraId="52F5766C" w14:textId="77777777">
        <w:trPr>
          <w:trHeight w:val="570"/>
        </w:trPr>
        <w:tc>
          <w:tcPr>
            <w:tcW w:w="5383" w:type="dxa"/>
          </w:tcPr>
          <w:p w:rsidRPr="00310840" w:rsidR="005E545A" w:rsidP="00A3009C" w:rsidRDefault="005E545A" w14:paraId="59CB68BB" w14:textId="77777777">
            <w:pPr>
              <w:pStyle w:val="TableParagraph"/>
              <w:ind w:left="107"/>
              <w:rPr>
                <w:sz w:val="18"/>
                <w:szCs w:val="18"/>
                <w:lang w:val="nl-NL"/>
              </w:rPr>
            </w:pPr>
            <w:r w:rsidRPr="00310840">
              <w:rPr>
                <w:sz w:val="18"/>
                <w:szCs w:val="18"/>
                <w:lang w:val="nl-NL"/>
              </w:rPr>
              <w:t>Afwegingskader om kabels en leidingen veilig en optimaal</w:t>
            </w:r>
            <w:r w:rsidRPr="00310840">
              <w:rPr>
                <w:spacing w:val="-6"/>
                <w:sz w:val="18"/>
                <w:szCs w:val="18"/>
                <w:lang w:val="nl-NL"/>
              </w:rPr>
              <w:t xml:space="preserve"> </w:t>
            </w:r>
            <w:r w:rsidRPr="00310840">
              <w:rPr>
                <w:sz w:val="18"/>
                <w:szCs w:val="18"/>
                <w:lang w:val="nl-NL"/>
              </w:rPr>
              <w:t>te</w:t>
            </w:r>
            <w:r w:rsidRPr="00310840">
              <w:rPr>
                <w:spacing w:val="-7"/>
                <w:sz w:val="18"/>
                <w:szCs w:val="18"/>
                <w:lang w:val="nl-NL"/>
              </w:rPr>
              <w:t xml:space="preserve"> </w:t>
            </w:r>
            <w:r w:rsidRPr="00310840">
              <w:rPr>
                <w:sz w:val="18"/>
                <w:szCs w:val="18"/>
                <w:lang w:val="nl-NL"/>
              </w:rPr>
              <w:t>plaatsen</w:t>
            </w:r>
            <w:r w:rsidRPr="00310840">
              <w:rPr>
                <w:spacing w:val="-6"/>
                <w:sz w:val="18"/>
                <w:szCs w:val="18"/>
                <w:lang w:val="nl-NL"/>
              </w:rPr>
              <w:t xml:space="preserve"> </w:t>
            </w:r>
            <w:r w:rsidRPr="00310840">
              <w:rPr>
                <w:sz w:val="18"/>
                <w:szCs w:val="18"/>
                <w:lang w:val="nl-NL"/>
              </w:rPr>
              <w:t>in</w:t>
            </w:r>
            <w:r w:rsidRPr="00310840">
              <w:rPr>
                <w:spacing w:val="-6"/>
                <w:sz w:val="18"/>
                <w:szCs w:val="18"/>
                <w:lang w:val="nl-NL"/>
              </w:rPr>
              <w:t xml:space="preserve"> </w:t>
            </w:r>
            <w:r w:rsidRPr="00310840">
              <w:rPr>
                <w:sz w:val="18"/>
                <w:szCs w:val="18"/>
                <w:lang w:val="nl-NL"/>
              </w:rPr>
              <w:t>en</w:t>
            </w:r>
            <w:r w:rsidRPr="00310840">
              <w:rPr>
                <w:spacing w:val="-8"/>
                <w:sz w:val="18"/>
                <w:szCs w:val="18"/>
                <w:lang w:val="nl-NL"/>
              </w:rPr>
              <w:t xml:space="preserve"> </w:t>
            </w:r>
            <w:r w:rsidRPr="00310840">
              <w:rPr>
                <w:sz w:val="18"/>
                <w:szCs w:val="18"/>
                <w:lang w:val="nl-NL"/>
              </w:rPr>
              <w:t>rond</w:t>
            </w:r>
            <w:r w:rsidRPr="00310840">
              <w:rPr>
                <w:spacing w:val="-7"/>
                <w:sz w:val="18"/>
                <w:szCs w:val="18"/>
                <w:lang w:val="nl-NL"/>
              </w:rPr>
              <w:t xml:space="preserve"> </w:t>
            </w:r>
            <w:r w:rsidRPr="00310840">
              <w:rPr>
                <w:sz w:val="18"/>
                <w:szCs w:val="18"/>
                <w:lang w:val="nl-NL"/>
              </w:rPr>
              <w:t>scheepvaartroutes.</w:t>
            </w:r>
          </w:p>
        </w:tc>
        <w:tc>
          <w:tcPr>
            <w:tcW w:w="2272" w:type="dxa"/>
          </w:tcPr>
          <w:p w:rsidRPr="00AD5E07" w:rsidR="005E545A" w:rsidP="00A3009C" w:rsidRDefault="005E545A" w14:paraId="6B7DC4D8" w14:textId="77777777">
            <w:pPr>
              <w:pStyle w:val="TableParagraph"/>
              <w:spacing w:before="19" w:line="240" w:lineRule="auto"/>
              <w:rPr>
                <w:sz w:val="18"/>
                <w:szCs w:val="18"/>
              </w:rPr>
            </w:pPr>
            <w:r w:rsidRPr="00AD5E07">
              <w:rPr>
                <w:sz w:val="18"/>
                <w:szCs w:val="18"/>
              </w:rPr>
              <w:t>H9a.2,</w:t>
            </w:r>
            <w:r w:rsidRPr="00AD5E07">
              <w:rPr>
                <w:spacing w:val="-5"/>
                <w:sz w:val="18"/>
                <w:szCs w:val="18"/>
              </w:rPr>
              <w:t xml:space="preserve"> </w:t>
            </w:r>
            <w:r w:rsidRPr="00AD5E07">
              <w:rPr>
                <w:spacing w:val="-2"/>
                <w:sz w:val="18"/>
                <w:szCs w:val="18"/>
              </w:rPr>
              <w:t>H10.7</w:t>
            </w:r>
          </w:p>
        </w:tc>
      </w:tr>
      <w:tr w:rsidR="005E545A" w:rsidTr="00A3009C" w14:paraId="447E304C" w14:textId="77777777">
        <w:trPr>
          <w:trHeight w:val="570"/>
        </w:trPr>
        <w:tc>
          <w:tcPr>
            <w:tcW w:w="5383" w:type="dxa"/>
          </w:tcPr>
          <w:p w:rsidRPr="00310840" w:rsidR="005E545A" w:rsidP="00A3009C" w:rsidRDefault="005E545A" w14:paraId="2DCCF310" w14:textId="77777777">
            <w:pPr>
              <w:pStyle w:val="TableParagraph"/>
              <w:ind w:left="107"/>
              <w:rPr>
                <w:sz w:val="18"/>
                <w:szCs w:val="18"/>
                <w:lang w:val="nl-NL"/>
              </w:rPr>
            </w:pPr>
            <w:r w:rsidRPr="00310840">
              <w:rPr>
                <w:sz w:val="18"/>
                <w:szCs w:val="18"/>
                <w:lang w:val="nl-NL"/>
              </w:rPr>
              <w:t>Onder voorwaarden mogelijk maken plaatsing solitaire windturbines</w:t>
            </w:r>
            <w:r w:rsidRPr="00310840">
              <w:rPr>
                <w:spacing w:val="-10"/>
                <w:sz w:val="18"/>
                <w:szCs w:val="18"/>
                <w:lang w:val="nl-NL"/>
              </w:rPr>
              <w:t xml:space="preserve"> </w:t>
            </w:r>
            <w:r w:rsidRPr="00310840">
              <w:rPr>
                <w:sz w:val="18"/>
                <w:szCs w:val="18"/>
                <w:lang w:val="nl-NL"/>
              </w:rPr>
              <w:t>ter</w:t>
            </w:r>
            <w:r w:rsidRPr="00310840">
              <w:rPr>
                <w:spacing w:val="-10"/>
                <w:sz w:val="18"/>
                <w:szCs w:val="18"/>
                <w:lang w:val="nl-NL"/>
              </w:rPr>
              <w:t xml:space="preserve"> </w:t>
            </w:r>
            <w:r w:rsidRPr="00310840">
              <w:rPr>
                <w:sz w:val="18"/>
                <w:szCs w:val="18"/>
                <w:lang w:val="nl-NL"/>
              </w:rPr>
              <w:t>verduurzaming</w:t>
            </w:r>
            <w:r w:rsidRPr="00310840">
              <w:rPr>
                <w:spacing w:val="-10"/>
                <w:sz w:val="18"/>
                <w:szCs w:val="18"/>
                <w:lang w:val="nl-NL"/>
              </w:rPr>
              <w:t xml:space="preserve"> </w:t>
            </w:r>
            <w:r w:rsidRPr="00310840">
              <w:rPr>
                <w:sz w:val="18"/>
                <w:szCs w:val="18"/>
                <w:lang w:val="nl-NL"/>
              </w:rPr>
              <w:t>van</w:t>
            </w:r>
            <w:r w:rsidRPr="00310840">
              <w:rPr>
                <w:spacing w:val="-9"/>
                <w:sz w:val="18"/>
                <w:szCs w:val="18"/>
                <w:lang w:val="nl-NL"/>
              </w:rPr>
              <w:t xml:space="preserve"> </w:t>
            </w:r>
            <w:r w:rsidRPr="00310840">
              <w:rPr>
                <w:sz w:val="18"/>
                <w:szCs w:val="18"/>
                <w:lang w:val="nl-NL"/>
              </w:rPr>
              <w:t>mijnbouwplatforms</w:t>
            </w:r>
          </w:p>
        </w:tc>
        <w:tc>
          <w:tcPr>
            <w:tcW w:w="2272" w:type="dxa"/>
          </w:tcPr>
          <w:p w:rsidRPr="00AD5E07" w:rsidR="005E545A" w:rsidP="00A3009C" w:rsidRDefault="005E545A" w14:paraId="2A9580E2" w14:textId="77777777">
            <w:pPr>
              <w:pStyle w:val="TableParagraph"/>
              <w:spacing w:before="19" w:line="240" w:lineRule="auto"/>
              <w:rPr>
                <w:sz w:val="18"/>
                <w:szCs w:val="18"/>
              </w:rPr>
            </w:pPr>
            <w:r w:rsidRPr="00AD5E07">
              <w:rPr>
                <w:spacing w:val="-2"/>
                <w:sz w:val="18"/>
                <w:szCs w:val="18"/>
              </w:rPr>
              <w:t>H10.5.3</w:t>
            </w:r>
          </w:p>
        </w:tc>
      </w:tr>
      <w:tr w:rsidR="005E545A" w:rsidTr="00A3009C" w14:paraId="5F93A6A0" w14:textId="77777777">
        <w:trPr>
          <w:trHeight w:val="570"/>
        </w:trPr>
        <w:tc>
          <w:tcPr>
            <w:tcW w:w="5383" w:type="dxa"/>
          </w:tcPr>
          <w:p w:rsidRPr="00310840" w:rsidR="005E545A" w:rsidP="00A3009C" w:rsidRDefault="005E545A" w14:paraId="380FB76A" w14:textId="77777777">
            <w:pPr>
              <w:pStyle w:val="TableParagraph"/>
              <w:ind w:left="107"/>
              <w:rPr>
                <w:sz w:val="18"/>
                <w:szCs w:val="18"/>
                <w:lang w:val="nl-NL"/>
              </w:rPr>
            </w:pPr>
            <w:r w:rsidRPr="00310840">
              <w:rPr>
                <w:sz w:val="18"/>
                <w:szCs w:val="18"/>
                <w:lang w:val="nl-NL"/>
              </w:rPr>
              <w:t>Belang</w:t>
            </w:r>
            <w:r w:rsidRPr="00310840">
              <w:rPr>
                <w:spacing w:val="-6"/>
                <w:sz w:val="18"/>
                <w:szCs w:val="18"/>
                <w:lang w:val="nl-NL"/>
              </w:rPr>
              <w:t xml:space="preserve"> </w:t>
            </w:r>
            <w:r w:rsidRPr="00310840">
              <w:rPr>
                <w:sz w:val="18"/>
                <w:szCs w:val="18"/>
                <w:lang w:val="nl-NL"/>
              </w:rPr>
              <w:t>van</w:t>
            </w:r>
            <w:r w:rsidRPr="00310840">
              <w:rPr>
                <w:spacing w:val="-6"/>
                <w:sz w:val="18"/>
                <w:szCs w:val="18"/>
                <w:lang w:val="nl-NL"/>
              </w:rPr>
              <w:t xml:space="preserve"> </w:t>
            </w:r>
            <w:r w:rsidRPr="00310840">
              <w:rPr>
                <w:sz w:val="18"/>
                <w:szCs w:val="18"/>
                <w:lang w:val="nl-NL"/>
              </w:rPr>
              <w:t>visserij</w:t>
            </w:r>
            <w:r w:rsidRPr="00310840">
              <w:rPr>
                <w:spacing w:val="-6"/>
                <w:sz w:val="18"/>
                <w:szCs w:val="18"/>
                <w:lang w:val="nl-NL"/>
              </w:rPr>
              <w:t xml:space="preserve"> </w:t>
            </w:r>
            <w:r w:rsidRPr="00310840">
              <w:rPr>
                <w:sz w:val="18"/>
                <w:szCs w:val="18"/>
                <w:lang w:val="nl-NL"/>
              </w:rPr>
              <w:t>in</w:t>
            </w:r>
            <w:r w:rsidRPr="00310840">
              <w:rPr>
                <w:spacing w:val="-6"/>
                <w:sz w:val="18"/>
                <w:szCs w:val="18"/>
                <w:lang w:val="nl-NL"/>
              </w:rPr>
              <w:t xml:space="preserve"> </w:t>
            </w:r>
            <w:r w:rsidRPr="00310840">
              <w:rPr>
                <w:sz w:val="18"/>
                <w:szCs w:val="18"/>
                <w:lang w:val="nl-NL"/>
              </w:rPr>
              <w:t>ruimtelijke</w:t>
            </w:r>
            <w:r w:rsidRPr="00310840">
              <w:rPr>
                <w:spacing w:val="-6"/>
                <w:sz w:val="18"/>
                <w:szCs w:val="18"/>
                <w:lang w:val="nl-NL"/>
              </w:rPr>
              <w:t xml:space="preserve"> </w:t>
            </w:r>
            <w:r w:rsidRPr="00310840">
              <w:rPr>
                <w:sz w:val="18"/>
                <w:szCs w:val="18"/>
                <w:lang w:val="nl-NL"/>
              </w:rPr>
              <w:t>afwegingen</w:t>
            </w:r>
            <w:r w:rsidRPr="00310840">
              <w:rPr>
                <w:spacing w:val="-6"/>
                <w:sz w:val="18"/>
                <w:szCs w:val="18"/>
                <w:lang w:val="nl-NL"/>
              </w:rPr>
              <w:t xml:space="preserve"> </w:t>
            </w:r>
            <w:r w:rsidRPr="00310840">
              <w:rPr>
                <w:sz w:val="18"/>
                <w:szCs w:val="18"/>
                <w:lang w:val="nl-NL"/>
              </w:rPr>
              <w:t xml:space="preserve">concreter </w:t>
            </w:r>
            <w:r w:rsidRPr="00310840">
              <w:rPr>
                <w:spacing w:val="-2"/>
                <w:sz w:val="18"/>
                <w:szCs w:val="18"/>
                <w:lang w:val="nl-NL"/>
              </w:rPr>
              <w:t>beschrijven.</w:t>
            </w:r>
          </w:p>
        </w:tc>
        <w:tc>
          <w:tcPr>
            <w:tcW w:w="2272" w:type="dxa"/>
          </w:tcPr>
          <w:p w:rsidRPr="00AD5E07" w:rsidR="005E545A" w:rsidP="00A3009C" w:rsidRDefault="005E545A" w14:paraId="4DFC3540" w14:textId="77777777">
            <w:pPr>
              <w:pStyle w:val="TableParagraph"/>
              <w:spacing w:before="19" w:line="240" w:lineRule="auto"/>
              <w:rPr>
                <w:sz w:val="18"/>
                <w:szCs w:val="18"/>
              </w:rPr>
            </w:pPr>
            <w:r w:rsidRPr="00AD5E07">
              <w:rPr>
                <w:sz w:val="18"/>
                <w:szCs w:val="18"/>
              </w:rPr>
              <w:t>H4.3.2,</w:t>
            </w:r>
            <w:r w:rsidRPr="00AD5E07">
              <w:rPr>
                <w:spacing w:val="-16"/>
                <w:sz w:val="18"/>
                <w:szCs w:val="18"/>
              </w:rPr>
              <w:t xml:space="preserve"> </w:t>
            </w:r>
            <w:r w:rsidRPr="00AD5E07">
              <w:rPr>
                <w:sz w:val="18"/>
                <w:szCs w:val="18"/>
              </w:rPr>
              <w:t xml:space="preserve">H9a, </w:t>
            </w:r>
            <w:r w:rsidRPr="00AD5E07">
              <w:rPr>
                <w:spacing w:val="-2"/>
                <w:sz w:val="18"/>
                <w:szCs w:val="18"/>
              </w:rPr>
              <w:t>H10.5.3</w:t>
            </w:r>
          </w:p>
        </w:tc>
      </w:tr>
    </w:tbl>
    <w:p w:rsidRPr="005C2FD3" w:rsidR="005E545A" w:rsidP="005C2FD3" w:rsidRDefault="005E545A" w14:paraId="555A12A9" w14:textId="1EB3806E">
      <w:pPr>
        <w:rPr>
          <w:i/>
          <w:iCs/>
        </w:rPr>
      </w:pPr>
      <w:r w:rsidRPr="00F03A8A">
        <w:rPr>
          <w:i/>
          <w:iCs/>
        </w:rPr>
        <w:t>Tabel: De belangrijkste wijzigingen per onderwerp in de tekst</w:t>
      </w:r>
    </w:p>
    <w:p w:rsidR="005C2FD3" w:rsidP="005E545A" w:rsidRDefault="005E545A" w14:paraId="6C491487" w14:textId="77777777">
      <w:pPr>
        <w:pStyle w:val="Slotzin"/>
      </w:pPr>
      <w:r>
        <w:t xml:space="preserve">Met het oog op consistentie zijn deze beleidswijzigingen ook elders in de tekst verwerkt, vaak met kleine tekstuele aanpassingen. Tijdens de terinzagelegging waren alle gewijzigde teksten gemarkeerd, zodat eenieder in kon spreken op de wijzigingen. </w:t>
      </w:r>
    </w:p>
    <w:p w:rsidR="005E545A" w:rsidP="005C2FD3" w:rsidRDefault="005E545A" w14:paraId="6D64BBC2" w14:textId="47AB5BF5">
      <w:pPr>
        <w:pStyle w:val="Slotzin"/>
      </w:pPr>
      <w:r>
        <w:t xml:space="preserve">Vanaf nu vervangt dit Partieel Herziene Programma Noordzee 2022-2027 het op 18 maart 2022 vastgestelde Programma Noordzee 2022-2027. Daarom zijn alle markeringen nu verwijderd uit het Partieel Herziene Programma Noordzee. Ten overvloede wil ik noemen dat de tekst slechts gedeeltelijk is herzien. </w:t>
      </w:r>
      <w:r w:rsidR="005C2FD3">
        <w:t>Veel</w:t>
      </w:r>
      <w:r>
        <w:t xml:space="preserve"> teksten zijn dus ongewijzigd. Deze geven het in 2022 vastgestelde beleid weer. Hierdoor bevat deze tekst bijvoorbeeld namen van ministeries en wetten die inmiddels gewijzigd zijn, of andere informatie die ondertussen aan herziening toe is. Dit is onvermijdelijk gedurende de looptijd van ieder langjarig beleidsdocument. Aanpassing van de complete tekst viel buiten de scope van de Partiële Herziening, die immers alleen een gedeeltelijke herziening met een beperkte opdracht betrof. Een volledig nieuw PNZ 2028-2033 wordt gepubliceerd </w:t>
      </w:r>
      <w:r w:rsidR="005C2FD3">
        <w:t>eind</w:t>
      </w:r>
      <w:r>
        <w:t xml:space="preserve"> 2027, waarin alle informatie wordt geactualiseerd.</w:t>
      </w:r>
    </w:p>
    <w:p w:rsidR="009011A3" w:rsidP="005E545A" w:rsidRDefault="005E545A" w14:paraId="27B87B2A" w14:textId="4C84049A">
      <w:pPr>
        <w:pStyle w:val="Slotzin"/>
      </w:pPr>
      <w:r>
        <w:t>Hoogachtend,</w:t>
      </w:r>
    </w:p>
    <w:p w:rsidR="009011A3" w:rsidRDefault="008E72C6" w14:paraId="6B59CF00" w14:textId="77777777">
      <w:pPr>
        <w:pStyle w:val="OndertekeningArea1"/>
      </w:pPr>
      <w:r>
        <w:t>DE MINISTER VAN INFRASTRUCTUUR EN WATERSTAAT,</w:t>
      </w:r>
    </w:p>
    <w:p w:rsidR="009011A3" w:rsidRDefault="009011A3" w14:paraId="6F671D8C" w14:textId="77777777"/>
    <w:p w:rsidR="009011A3" w:rsidRDefault="009011A3" w14:paraId="61E56916" w14:textId="77777777"/>
    <w:p w:rsidR="009011A3" w:rsidRDefault="009011A3" w14:paraId="38FD5A1E" w14:textId="77777777"/>
    <w:p w:rsidR="009011A3" w:rsidRDefault="009011A3" w14:paraId="6A7704AA" w14:textId="77777777"/>
    <w:p w:rsidR="009011A3" w:rsidRDefault="008E72C6" w14:paraId="72FAF0CE" w14:textId="77777777">
      <w:r>
        <w:t>Vincent Karremans</w:t>
      </w:r>
    </w:p>
    <w:sectPr w:rsidR="009011A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85BAC" w14:textId="77777777" w:rsidR="00CB44E9" w:rsidRDefault="00CB44E9">
      <w:pPr>
        <w:spacing w:line="240" w:lineRule="auto"/>
      </w:pPr>
      <w:r>
        <w:separator/>
      </w:r>
    </w:p>
  </w:endnote>
  <w:endnote w:type="continuationSeparator" w:id="0">
    <w:p w14:paraId="721B85F7" w14:textId="77777777" w:rsidR="00CB44E9" w:rsidRDefault="00CB4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4F075" w14:textId="77777777" w:rsidR="00CB44E9" w:rsidRDefault="00CB44E9">
      <w:pPr>
        <w:spacing w:line="240" w:lineRule="auto"/>
      </w:pPr>
      <w:r>
        <w:separator/>
      </w:r>
    </w:p>
  </w:footnote>
  <w:footnote w:type="continuationSeparator" w:id="0">
    <w:p w14:paraId="49525E94" w14:textId="77777777" w:rsidR="00CB44E9" w:rsidRDefault="00CB44E9">
      <w:pPr>
        <w:spacing w:line="240" w:lineRule="auto"/>
      </w:pPr>
      <w:r>
        <w:continuationSeparator/>
      </w:r>
    </w:p>
  </w:footnote>
  <w:footnote w:id="1">
    <w:p w14:paraId="7FB15CFC" w14:textId="77777777" w:rsidR="005E545A" w:rsidRPr="00507E00" w:rsidRDefault="005E545A" w:rsidP="005E545A">
      <w:pPr>
        <w:pStyle w:val="FootnoteText"/>
        <w:rPr>
          <w:sz w:val="16"/>
          <w:szCs w:val="16"/>
        </w:rPr>
      </w:pPr>
      <w:r w:rsidRPr="00507E00">
        <w:rPr>
          <w:rStyle w:val="FootnoteReference"/>
          <w:sz w:val="16"/>
          <w:szCs w:val="16"/>
        </w:rPr>
        <w:footnoteRef/>
      </w:r>
      <w:r w:rsidRPr="00507E00">
        <w:rPr>
          <w:sz w:val="16"/>
          <w:szCs w:val="16"/>
        </w:rPr>
        <w:t xml:space="preserve"> </w:t>
      </w:r>
      <w:r>
        <w:rPr>
          <w:sz w:val="16"/>
          <w:szCs w:val="16"/>
        </w:rPr>
        <w:t>Kamerstukken II, 2024/2025, 35 325 nr. 10</w:t>
      </w:r>
    </w:p>
  </w:footnote>
  <w:footnote w:id="2">
    <w:p w14:paraId="524935F8" w14:textId="77777777" w:rsidR="005E545A" w:rsidRPr="00507E00" w:rsidRDefault="005E545A" w:rsidP="005E545A">
      <w:pPr>
        <w:pStyle w:val="FootnoteText"/>
        <w:rPr>
          <w:sz w:val="16"/>
          <w:szCs w:val="16"/>
        </w:rPr>
      </w:pPr>
      <w:r w:rsidRPr="00507E00">
        <w:rPr>
          <w:rStyle w:val="FootnoteReference"/>
          <w:sz w:val="16"/>
          <w:szCs w:val="16"/>
        </w:rPr>
        <w:footnoteRef/>
      </w:r>
      <w:r w:rsidRPr="00507E00">
        <w:rPr>
          <w:sz w:val="16"/>
          <w:szCs w:val="16"/>
        </w:rPr>
        <w:t xml:space="preserve"> Klimaat- en Energienota, Kamerstukken 33</w:t>
      </w:r>
      <w:r>
        <w:rPr>
          <w:sz w:val="16"/>
          <w:szCs w:val="16"/>
        </w:rPr>
        <w:t xml:space="preserve"> </w:t>
      </w:r>
      <w:r w:rsidRPr="00507E00">
        <w:rPr>
          <w:sz w:val="16"/>
          <w:szCs w:val="16"/>
        </w:rPr>
        <w:t>043, nr. 119, blg-1218518.</w:t>
      </w:r>
      <w:r w:rsidRPr="00507E00" w:rsidDel="008549C8">
        <w:rPr>
          <w:sz w:val="16"/>
          <w:szCs w:val="16"/>
        </w:rPr>
        <w:t xml:space="preserve"> </w:t>
      </w:r>
      <w:r w:rsidRPr="00507E00">
        <w:rPr>
          <w:sz w:val="16"/>
          <w:szCs w:val="16"/>
        </w:rPr>
        <w:t xml:space="preserve">Omdat de ambitie zoals oorspronkelijk geformuleerd voor deze Partiële Herziening uitging van 50 GW en daarin ruimte voor indicatief 21 GW wordt aangewezen, wordt in de tekst nog uitgegaan van een restopgave voor het Programma Noordzee 2028-2033. Over de scope en ambitie van het volgende Programma Noordzee wordt </w:t>
      </w:r>
      <w:r>
        <w:rPr>
          <w:sz w:val="16"/>
          <w:szCs w:val="16"/>
        </w:rPr>
        <w:t>de Kamer in 2026</w:t>
      </w:r>
      <w:r w:rsidRPr="00507E00">
        <w:rPr>
          <w:sz w:val="16"/>
          <w:szCs w:val="16"/>
        </w:rPr>
        <w:t xml:space="preserve"> nader geïnformeerd.</w:t>
      </w:r>
    </w:p>
  </w:footnote>
  <w:footnote w:id="3">
    <w:p w14:paraId="5DA83FD6" w14:textId="77777777" w:rsidR="005E545A" w:rsidRPr="003505F8" w:rsidRDefault="005E545A" w:rsidP="005E545A">
      <w:pPr>
        <w:spacing w:before="26"/>
        <w:rPr>
          <w:sz w:val="16"/>
          <w:szCs w:val="16"/>
        </w:rPr>
      </w:pPr>
      <w:r w:rsidRPr="00507E00">
        <w:rPr>
          <w:rStyle w:val="FootnoteReference"/>
          <w:sz w:val="16"/>
          <w:szCs w:val="16"/>
        </w:rPr>
        <w:footnoteRef/>
      </w:r>
      <w:r w:rsidRPr="00507E00">
        <w:rPr>
          <w:sz w:val="16"/>
          <w:szCs w:val="16"/>
        </w:rPr>
        <w:t xml:space="preserve"> Kamerstukken</w:t>
      </w:r>
      <w:r w:rsidRPr="00507E00">
        <w:rPr>
          <w:spacing w:val="-2"/>
          <w:sz w:val="16"/>
          <w:szCs w:val="16"/>
        </w:rPr>
        <w:t xml:space="preserve"> </w:t>
      </w:r>
      <w:r w:rsidRPr="00507E00">
        <w:rPr>
          <w:sz w:val="16"/>
          <w:szCs w:val="16"/>
        </w:rPr>
        <w:t>II,</w:t>
      </w:r>
      <w:r w:rsidRPr="00507E00">
        <w:rPr>
          <w:spacing w:val="-3"/>
          <w:sz w:val="16"/>
          <w:szCs w:val="16"/>
        </w:rPr>
        <w:t xml:space="preserve"> </w:t>
      </w:r>
      <w:r w:rsidRPr="00507E00">
        <w:rPr>
          <w:sz w:val="16"/>
          <w:szCs w:val="16"/>
        </w:rPr>
        <w:t>2023/2024,</w:t>
      </w:r>
      <w:r w:rsidRPr="00507E00">
        <w:rPr>
          <w:spacing w:val="-4"/>
          <w:sz w:val="16"/>
          <w:szCs w:val="16"/>
        </w:rPr>
        <w:t xml:space="preserve"> </w:t>
      </w:r>
      <w:r w:rsidRPr="00507E00">
        <w:rPr>
          <w:sz w:val="16"/>
          <w:szCs w:val="16"/>
        </w:rPr>
        <w:t>36</w:t>
      </w:r>
      <w:r w:rsidRPr="00507E00">
        <w:rPr>
          <w:spacing w:val="-3"/>
          <w:sz w:val="16"/>
          <w:szCs w:val="16"/>
        </w:rPr>
        <w:t xml:space="preserve"> </w:t>
      </w:r>
      <w:r w:rsidRPr="00507E00">
        <w:rPr>
          <w:sz w:val="16"/>
          <w:szCs w:val="16"/>
        </w:rPr>
        <w:t>550-XIII</w:t>
      </w:r>
      <w:r w:rsidRPr="00507E00">
        <w:rPr>
          <w:spacing w:val="-3"/>
          <w:sz w:val="16"/>
          <w:szCs w:val="16"/>
        </w:rPr>
        <w:t xml:space="preserve"> </w:t>
      </w:r>
      <w:r w:rsidRPr="00507E00">
        <w:rPr>
          <w:sz w:val="16"/>
          <w:szCs w:val="16"/>
        </w:rPr>
        <w:t>nr.</w:t>
      </w:r>
      <w:r w:rsidRPr="00507E00">
        <w:rPr>
          <w:spacing w:val="-4"/>
          <w:sz w:val="16"/>
          <w:szCs w:val="16"/>
        </w:rPr>
        <w:t xml:space="preserve"> </w:t>
      </w:r>
      <w:r w:rsidRPr="00507E00">
        <w:rPr>
          <w:spacing w:val="-10"/>
          <w:sz w:val="16"/>
          <w:szCs w:val="16"/>
        </w:rPr>
        <w:t>6</w:t>
      </w:r>
    </w:p>
  </w:footnote>
  <w:footnote w:id="4">
    <w:p w14:paraId="1AA5DF4B" w14:textId="77777777" w:rsidR="005E545A" w:rsidRPr="009A2726" w:rsidRDefault="005E545A" w:rsidP="005E545A">
      <w:pPr>
        <w:pStyle w:val="FootnoteText"/>
        <w:rPr>
          <w:sz w:val="16"/>
          <w:szCs w:val="16"/>
        </w:rPr>
      </w:pPr>
      <w:r w:rsidRPr="009A2726">
        <w:rPr>
          <w:rStyle w:val="FootnoteReference"/>
          <w:sz w:val="16"/>
          <w:szCs w:val="16"/>
        </w:rPr>
        <w:footnoteRef/>
      </w:r>
      <w:r w:rsidRPr="009A2726">
        <w:rPr>
          <w:sz w:val="16"/>
          <w:szCs w:val="16"/>
        </w:rPr>
        <w:t xml:space="preserve"> </w:t>
      </w:r>
      <w:r w:rsidRPr="00546F64">
        <w:rPr>
          <w:sz w:val="16"/>
          <w:szCs w:val="16"/>
        </w:rPr>
        <w:t>De aanwijzing van windenergiegebieden is een noodzakelijke stap om onder de Wet windenergie op zee kavelbesluiten te kunnen nemen voor windparken op de Noordzee.</w:t>
      </w:r>
    </w:p>
  </w:footnote>
  <w:footnote w:id="5">
    <w:p w14:paraId="6873FEF5" w14:textId="77777777" w:rsidR="005E545A" w:rsidRPr="00821C54" w:rsidRDefault="005E545A" w:rsidP="005E545A">
      <w:pPr>
        <w:pStyle w:val="FootnoteText"/>
        <w:rPr>
          <w:sz w:val="16"/>
          <w:szCs w:val="16"/>
        </w:rPr>
      </w:pPr>
      <w:r w:rsidRPr="00821C54">
        <w:rPr>
          <w:rStyle w:val="FootnoteReference"/>
          <w:sz w:val="16"/>
          <w:szCs w:val="16"/>
        </w:rPr>
        <w:footnoteRef/>
      </w:r>
      <w:r w:rsidRPr="00821C54">
        <w:rPr>
          <w:sz w:val="16"/>
          <w:szCs w:val="16"/>
        </w:rPr>
        <w:t xml:space="preserve"> Kamerstukken</w:t>
      </w:r>
      <w:r w:rsidRPr="00821C54">
        <w:rPr>
          <w:spacing w:val="-6"/>
          <w:sz w:val="16"/>
          <w:szCs w:val="16"/>
        </w:rPr>
        <w:t xml:space="preserve"> </w:t>
      </w:r>
      <w:r w:rsidRPr="00821C54">
        <w:rPr>
          <w:sz w:val="16"/>
          <w:szCs w:val="16"/>
        </w:rPr>
        <w:t>II,</w:t>
      </w:r>
      <w:r w:rsidRPr="00821C54">
        <w:rPr>
          <w:spacing w:val="-5"/>
          <w:sz w:val="16"/>
          <w:szCs w:val="16"/>
        </w:rPr>
        <w:t xml:space="preserve"> </w:t>
      </w:r>
      <w:r w:rsidRPr="00821C54">
        <w:rPr>
          <w:sz w:val="16"/>
          <w:szCs w:val="16"/>
        </w:rPr>
        <w:t>2023/2024,</w:t>
      </w:r>
      <w:r w:rsidRPr="00821C54">
        <w:rPr>
          <w:spacing w:val="-4"/>
          <w:sz w:val="16"/>
          <w:szCs w:val="16"/>
        </w:rPr>
        <w:t xml:space="preserve"> </w:t>
      </w:r>
      <w:r w:rsidRPr="00821C54">
        <w:rPr>
          <w:sz w:val="16"/>
          <w:szCs w:val="16"/>
        </w:rPr>
        <w:t>33</w:t>
      </w:r>
      <w:r w:rsidRPr="00821C54">
        <w:rPr>
          <w:spacing w:val="-5"/>
          <w:sz w:val="16"/>
          <w:szCs w:val="16"/>
        </w:rPr>
        <w:t xml:space="preserve"> </w:t>
      </w:r>
      <w:r w:rsidRPr="00821C54">
        <w:rPr>
          <w:sz w:val="16"/>
          <w:szCs w:val="16"/>
        </w:rPr>
        <w:t>561,</w:t>
      </w:r>
      <w:r w:rsidRPr="00821C54">
        <w:rPr>
          <w:spacing w:val="-3"/>
          <w:sz w:val="16"/>
          <w:szCs w:val="16"/>
        </w:rPr>
        <w:t xml:space="preserve"> </w:t>
      </w:r>
      <w:r w:rsidRPr="00821C54">
        <w:rPr>
          <w:sz w:val="16"/>
          <w:szCs w:val="16"/>
        </w:rPr>
        <w:t>nr.</w:t>
      </w:r>
      <w:r w:rsidRPr="00821C54">
        <w:rPr>
          <w:spacing w:val="-6"/>
          <w:sz w:val="16"/>
          <w:szCs w:val="16"/>
        </w:rPr>
        <w:t xml:space="preserve"> </w:t>
      </w:r>
      <w:r w:rsidRPr="00821C54">
        <w:rPr>
          <w:spacing w:val="-5"/>
          <w:sz w:val="16"/>
          <w:szCs w:val="16"/>
        </w:rPr>
        <w:t>61</w:t>
      </w:r>
    </w:p>
  </w:footnote>
  <w:footnote w:id="6">
    <w:p w14:paraId="4508FE7B" w14:textId="77777777" w:rsidR="005E545A" w:rsidRPr="00821C54" w:rsidRDefault="005E545A" w:rsidP="005E545A">
      <w:pPr>
        <w:pStyle w:val="FootnoteText"/>
        <w:rPr>
          <w:sz w:val="16"/>
          <w:szCs w:val="16"/>
        </w:rPr>
      </w:pPr>
      <w:r w:rsidRPr="00821C54">
        <w:rPr>
          <w:rStyle w:val="FootnoteReference"/>
          <w:sz w:val="16"/>
          <w:szCs w:val="16"/>
        </w:rPr>
        <w:footnoteRef/>
      </w:r>
      <w:r w:rsidRPr="00821C54">
        <w:rPr>
          <w:sz w:val="16"/>
          <w:szCs w:val="16"/>
        </w:rPr>
        <w:t xml:space="preserve"> Kamerstukken</w:t>
      </w:r>
      <w:r w:rsidRPr="00821C54">
        <w:rPr>
          <w:spacing w:val="-6"/>
          <w:sz w:val="16"/>
          <w:szCs w:val="16"/>
        </w:rPr>
        <w:t xml:space="preserve"> </w:t>
      </w:r>
      <w:r w:rsidRPr="00821C54">
        <w:rPr>
          <w:sz w:val="16"/>
          <w:szCs w:val="16"/>
        </w:rPr>
        <w:t>II,</w:t>
      </w:r>
      <w:r w:rsidRPr="00821C54">
        <w:rPr>
          <w:spacing w:val="-5"/>
          <w:sz w:val="16"/>
          <w:szCs w:val="16"/>
        </w:rPr>
        <w:t xml:space="preserve"> </w:t>
      </w:r>
      <w:r w:rsidRPr="00821C54">
        <w:rPr>
          <w:sz w:val="16"/>
          <w:szCs w:val="16"/>
        </w:rPr>
        <w:t>2022/2023,</w:t>
      </w:r>
      <w:r w:rsidRPr="00821C54">
        <w:rPr>
          <w:spacing w:val="-4"/>
          <w:sz w:val="16"/>
          <w:szCs w:val="16"/>
        </w:rPr>
        <w:t xml:space="preserve"> </w:t>
      </w:r>
      <w:r w:rsidRPr="00821C54">
        <w:rPr>
          <w:sz w:val="16"/>
          <w:szCs w:val="16"/>
        </w:rPr>
        <w:t>35</w:t>
      </w:r>
      <w:r w:rsidRPr="00821C54">
        <w:rPr>
          <w:spacing w:val="-5"/>
          <w:sz w:val="16"/>
          <w:szCs w:val="16"/>
        </w:rPr>
        <w:t xml:space="preserve"> </w:t>
      </w:r>
      <w:r w:rsidRPr="00821C54">
        <w:rPr>
          <w:sz w:val="16"/>
          <w:szCs w:val="16"/>
        </w:rPr>
        <w:t>325,</w:t>
      </w:r>
      <w:r w:rsidRPr="00821C54">
        <w:rPr>
          <w:spacing w:val="-3"/>
          <w:sz w:val="16"/>
          <w:szCs w:val="16"/>
        </w:rPr>
        <w:t xml:space="preserve"> </w:t>
      </w:r>
      <w:r w:rsidRPr="00821C54">
        <w:rPr>
          <w:sz w:val="16"/>
          <w:szCs w:val="16"/>
        </w:rPr>
        <w:t>nr.</w:t>
      </w:r>
      <w:r w:rsidRPr="00821C54">
        <w:rPr>
          <w:spacing w:val="-6"/>
          <w:sz w:val="16"/>
          <w:szCs w:val="16"/>
        </w:rPr>
        <w:t xml:space="preserve"> </w:t>
      </w:r>
      <w:r w:rsidRPr="00821C54">
        <w:rPr>
          <w:spacing w:val="-10"/>
          <w:sz w:val="16"/>
          <w:szCs w:val="16"/>
        </w:rPr>
        <w:t>8</w:t>
      </w:r>
    </w:p>
  </w:footnote>
  <w:footnote w:id="7">
    <w:p w14:paraId="051789BB" w14:textId="77777777" w:rsidR="005E545A" w:rsidRDefault="005E545A" w:rsidP="005E545A">
      <w:pPr>
        <w:pStyle w:val="FootnoteText"/>
      </w:pPr>
      <w:r w:rsidRPr="00821C54">
        <w:rPr>
          <w:rStyle w:val="FootnoteReference"/>
          <w:sz w:val="16"/>
          <w:szCs w:val="16"/>
        </w:rPr>
        <w:footnoteRef/>
      </w:r>
      <w:r w:rsidRPr="00821C54">
        <w:rPr>
          <w:sz w:val="16"/>
          <w:szCs w:val="16"/>
        </w:rPr>
        <w:t xml:space="preserve"> Op 8 maart 2024 werd de Visie voedsel uit zee en grote wateren naar de Tweede Kamer gestuurd (Kamerstukken II, 2023/2024, 29 675, nr. 210). Hierin wordt het belang van ruimte voor voedsel onderstreept. In de Visie is vastgelegd om het belang van ruimte voor visserij bij ruimtelijke afwegingen beter te onderbouwen om het steviger en beter gemotiveerd mee te kunnen wegen bij de ruimtelijke planning van al het gebruik op de Noordzee. Hier is in de Partiële Herziening invulling aan gegeven.</w:t>
      </w:r>
    </w:p>
  </w:footnote>
  <w:footnote w:id="8">
    <w:p w14:paraId="730B84A0" w14:textId="77777777" w:rsidR="005E545A" w:rsidRPr="002A3052" w:rsidRDefault="005E545A" w:rsidP="005E545A">
      <w:pPr>
        <w:pStyle w:val="FootnoteText"/>
        <w:rPr>
          <w:sz w:val="16"/>
          <w:szCs w:val="16"/>
        </w:rPr>
      </w:pPr>
      <w:r w:rsidRPr="002A3052">
        <w:rPr>
          <w:rStyle w:val="FootnoteReference"/>
          <w:sz w:val="16"/>
          <w:szCs w:val="16"/>
        </w:rPr>
        <w:footnoteRef/>
      </w:r>
      <w:r w:rsidRPr="002A3052">
        <w:rPr>
          <w:sz w:val="16"/>
          <w:szCs w:val="16"/>
        </w:rPr>
        <w:t xml:space="preserve"> Kamerstukken</w:t>
      </w:r>
      <w:r w:rsidRPr="002A3052">
        <w:rPr>
          <w:spacing w:val="-1"/>
          <w:sz w:val="16"/>
          <w:szCs w:val="16"/>
        </w:rPr>
        <w:t xml:space="preserve"> </w:t>
      </w:r>
      <w:r w:rsidRPr="002A3052">
        <w:rPr>
          <w:sz w:val="16"/>
          <w:szCs w:val="16"/>
        </w:rPr>
        <w:t>II,</w:t>
      </w:r>
      <w:r w:rsidRPr="002A3052">
        <w:rPr>
          <w:spacing w:val="-3"/>
          <w:sz w:val="16"/>
          <w:szCs w:val="16"/>
        </w:rPr>
        <w:t xml:space="preserve"> </w:t>
      </w:r>
      <w:r w:rsidRPr="002A3052">
        <w:rPr>
          <w:sz w:val="16"/>
          <w:szCs w:val="16"/>
        </w:rPr>
        <w:t>2022/2023,</w:t>
      </w:r>
      <w:r w:rsidRPr="002A3052">
        <w:rPr>
          <w:spacing w:val="-4"/>
          <w:sz w:val="16"/>
          <w:szCs w:val="16"/>
        </w:rPr>
        <w:t xml:space="preserve"> </w:t>
      </w:r>
      <w:r w:rsidRPr="002A3052">
        <w:rPr>
          <w:sz w:val="16"/>
          <w:szCs w:val="16"/>
        </w:rPr>
        <w:t>34</w:t>
      </w:r>
      <w:r w:rsidRPr="002A3052">
        <w:rPr>
          <w:spacing w:val="-2"/>
          <w:sz w:val="16"/>
          <w:szCs w:val="16"/>
        </w:rPr>
        <w:t xml:space="preserve"> </w:t>
      </w:r>
      <w:r w:rsidRPr="002A3052">
        <w:rPr>
          <w:sz w:val="16"/>
          <w:szCs w:val="16"/>
        </w:rPr>
        <w:t>682,</w:t>
      </w:r>
      <w:r w:rsidRPr="002A3052">
        <w:rPr>
          <w:spacing w:val="-2"/>
          <w:sz w:val="16"/>
          <w:szCs w:val="16"/>
        </w:rPr>
        <w:t xml:space="preserve"> </w:t>
      </w:r>
      <w:r w:rsidRPr="002A3052">
        <w:rPr>
          <w:sz w:val="16"/>
          <w:szCs w:val="16"/>
        </w:rPr>
        <w:t>nr.</w:t>
      </w:r>
      <w:r w:rsidRPr="002A3052">
        <w:rPr>
          <w:spacing w:val="-3"/>
          <w:sz w:val="16"/>
          <w:szCs w:val="16"/>
        </w:rPr>
        <w:t xml:space="preserve"> </w:t>
      </w:r>
      <w:r w:rsidRPr="002A3052">
        <w:rPr>
          <w:spacing w:val="-5"/>
          <w:sz w:val="16"/>
          <w:szCs w:val="16"/>
        </w:rPr>
        <w:t>161</w:t>
      </w:r>
    </w:p>
  </w:footnote>
  <w:footnote w:id="9">
    <w:p w14:paraId="1BEBE916" w14:textId="77777777" w:rsidR="005E545A" w:rsidRDefault="005E545A" w:rsidP="005E545A">
      <w:pPr>
        <w:pStyle w:val="FootnoteText"/>
      </w:pPr>
      <w:r w:rsidRPr="002A3052">
        <w:rPr>
          <w:rStyle w:val="FootnoteReference"/>
          <w:sz w:val="16"/>
          <w:szCs w:val="16"/>
        </w:rPr>
        <w:footnoteRef/>
      </w:r>
      <w:r w:rsidRPr="002A3052">
        <w:rPr>
          <w:sz w:val="16"/>
          <w:szCs w:val="16"/>
        </w:rPr>
        <w:t xml:space="preserve"> Het</w:t>
      </w:r>
      <w:r w:rsidRPr="002A3052">
        <w:rPr>
          <w:spacing w:val="-3"/>
          <w:sz w:val="16"/>
          <w:szCs w:val="16"/>
        </w:rPr>
        <w:t xml:space="preserve"> </w:t>
      </w:r>
      <w:r w:rsidRPr="002A3052">
        <w:rPr>
          <w:sz w:val="16"/>
          <w:szCs w:val="16"/>
        </w:rPr>
        <w:t>gaat</w:t>
      </w:r>
      <w:r w:rsidRPr="002A3052">
        <w:rPr>
          <w:spacing w:val="-5"/>
          <w:sz w:val="16"/>
          <w:szCs w:val="16"/>
        </w:rPr>
        <w:t xml:space="preserve"> </w:t>
      </w:r>
      <w:r w:rsidRPr="002A3052">
        <w:rPr>
          <w:sz w:val="16"/>
          <w:szCs w:val="16"/>
        </w:rPr>
        <w:t>hierbij</w:t>
      </w:r>
      <w:r w:rsidRPr="002A3052">
        <w:rPr>
          <w:spacing w:val="-2"/>
          <w:sz w:val="16"/>
          <w:szCs w:val="16"/>
        </w:rPr>
        <w:t xml:space="preserve"> </w:t>
      </w:r>
      <w:r w:rsidRPr="002A3052">
        <w:rPr>
          <w:sz w:val="16"/>
          <w:szCs w:val="16"/>
        </w:rPr>
        <w:t>om</w:t>
      </w:r>
      <w:r w:rsidRPr="002A3052">
        <w:rPr>
          <w:spacing w:val="-5"/>
          <w:sz w:val="16"/>
          <w:szCs w:val="16"/>
        </w:rPr>
        <w:t xml:space="preserve"> </w:t>
      </w:r>
      <w:r w:rsidRPr="002A3052">
        <w:rPr>
          <w:sz w:val="16"/>
          <w:szCs w:val="16"/>
        </w:rPr>
        <w:t>de</w:t>
      </w:r>
      <w:r w:rsidRPr="002A3052">
        <w:rPr>
          <w:spacing w:val="-4"/>
          <w:sz w:val="16"/>
          <w:szCs w:val="16"/>
        </w:rPr>
        <w:t xml:space="preserve"> </w:t>
      </w:r>
      <w:r w:rsidRPr="002A3052">
        <w:rPr>
          <w:sz w:val="16"/>
          <w:szCs w:val="16"/>
        </w:rPr>
        <w:t>eerder</w:t>
      </w:r>
      <w:r w:rsidRPr="002A3052">
        <w:rPr>
          <w:spacing w:val="-4"/>
          <w:sz w:val="16"/>
          <w:szCs w:val="16"/>
        </w:rPr>
        <w:t xml:space="preserve"> </w:t>
      </w:r>
      <w:r w:rsidRPr="002A3052">
        <w:rPr>
          <w:sz w:val="16"/>
          <w:szCs w:val="16"/>
        </w:rPr>
        <w:t>aangewezen</w:t>
      </w:r>
      <w:r w:rsidRPr="002A3052">
        <w:rPr>
          <w:spacing w:val="-5"/>
          <w:sz w:val="16"/>
          <w:szCs w:val="16"/>
        </w:rPr>
        <w:t xml:space="preserve"> </w:t>
      </w:r>
      <w:r w:rsidRPr="002A3052">
        <w:rPr>
          <w:sz w:val="16"/>
          <w:szCs w:val="16"/>
        </w:rPr>
        <w:t>windenergiegebieden</w:t>
      </w:r>
      <w:r w:rsidRPr="002A3052">
        <w:rPr>
          <w:spacing w:val="-3"/>
          <w:sz w:val="16"/>
          <w:szCs w:val="16"/>
        </w:rPr>
        <w:t xml:space="preserve"> </w:t>
      </w:r>
      <w:r w:rsidRPr="002A3052">
        <w:rPr>
          <w:sz w:val="16"/>
          <w:szCs w:val="16"/>
        </w:rPr>
        <w:t>Hollandse</w:t>
      </w:r>
      <w:r w:rsidRPr="002A3052">
        <w:rPr>
          <w:spacing w:val="-4"/>
          <w:sz w:val="16"/>
          <w:szCs w:val="16"/>
        </w:rPr>
        <w:t xml:space="preserve"> </w:t>
      </w:r>
      <w:r w:rsidRPr="002A3052">
        <w:rPr>
          <w:sz w:val="16"/>
          <w:szCs w:val="16"/>
        </w:rPr>
        <w:t>Kust</w:t>
      </w:r>
      <w:r w:rsidRPr="002A3052">
        <w:rPr>
          <w:spacing w:val="-3"/>
          <w:sz w:val="16"/>
          <w:szCs w:val="16"/>
        </w:rPr>
        <w:t xml:space="preserve"> </w:t>
      </w:r>
      <w:r w:rsidRPr="002A3052">
        <w:rPr>
          <w:sz w:val="16"/>
          <w:szCs w:val="16"/>
        </w:rPr>
        <w:t>(zuidwest) en Hollandse Kust (noordwest).</w:t>
      </w:r>
    </w:p>
  </w:footnote>
  <w:footnote w:id="10">
    <w:p w14:paraId="4379D782" w14:textId="5D599FFA" w:rsidR="005C2FD3" w:rsidRPr="005C2FD3" w:rsidRDefault="005C2FD3">
      <w:pPr>
        <w:pStyle w:val="FootnoteText"/>
        <w:rPr>
          <w:sz w:val="16"/>
          <w:szCs w:val="16"/>
        </w:rPr>
      </w:pPr>
      <w:r w:rsidRPr="005C2FD3">
        <w:rPr>
          <w:rStyle w:val="FootnoteReference"/>
          <w:sz w:val="16"/>
          <w:szCs w:val="16"/>
        </w:rPr>
        <w:footnoteRef/>
      </w:r>
      <w:r w:rsidRPr="005C2FD3">
        <w:rPr>
          <w:sz w:val="16"/>
          <w:szCs w:val="16"/>
        </w:rPr>
        <w:t xml:space="preserve"> Bijlage bij de in voetnoot 1 aangehaalde Kamerbrief.</w:t>
      </w:r>
    </w:p>
  </w:footnote>
  <w:footnote w:id="11">
    <w:p w14:paraId="4459A751" w14:textId="77777777" w:rsidR="005E545A" w:rsidRPr="0042391D" w:rsidRDefault="005E545A" w:rsidP="005E545A">
      <w:pPr>
        <w:pStyle w:val="FootnoteText"/>
        <w:rPr>
          <w:sz w:val="16"/>
          <w:szCs w:val="16"/>
        </w:rPr>
      </w:pPr>
      <w:r w:rsidRPr="0042391D">
        <w:rPr>
          <w:rStyle w:val="FootnoteReference"/>
          <w:sz w:val="16"/>
          <w:szCs w:val="16"/>
        </w:rPr>
        <w:footnoteRef/>
      </w:r>
      <w:r w:rsidRPr="0042391D">
        <w:rPr>
          <w:sz w:val="16"/>
          <w:szCs w:val="16"/>
        </w:rPr>
        <w:t xml:space="preserve"> Commissie voor de milieueffectrapportage. (2025). Partiële Herziening Programma Noordzee. Voorlopig toetsingsadvies over het milieueffectrapport. 22 juli 2025. Projectnummer: 3806. </w:t>
      </w:r>
      <w:hyperlink r:id="rId1" w:history="1">
        <w:r w:rsidRPr="0042391D">
          <w:rPr>
            <w:rStyle w:val="Hyperlink"/>
            <w:sz w:val="16"/>
            <w:szCs w:val="16"/>
          </w:rPr>
          <w:t>https://www.commissiemer.nl/docs/mer/p38/p3806/a3806vts.pdf</w:t>
        </w:r>
      </w:hyperlink>
    </w:p>
  </w:footnote>
  <w:footnote w:id="12">
    <w:p w14:paraId="3E749C5A" w14:textId="77777777" w:rsidR="005E545A" w:rsidRPr="0042391D" w:rsidRDefault="005E545A" w:rsidP="005E545A">
      <w:pPr>
        <w:pStyle w:val="FootnoteText"/>
        <w:rPr>
          <w:sz w:val="16"/>
          <w:szCs w:val="16"/>
        </w:rPr>
      </w:pPr>
      <w:r w:rsidRPr="0042391D">
        <w:rPr>
          <w:rStyle w:val="FootnoteReference"/>
          <w:sz w:val="16"/>
          <w:szCs w:val="16"/>
        </w:rPr>
        <w:footnoteRef/>
      </w:r>
      <w:r w:rsidRPr="0042391D">
        <w:rPr>
          <w:sz w:val="16"/>
          <w:szCs w:val="16"/>
        </w:rPr>
        <w:t xml:space="preserve"> Commissie voor de milieueffectrapportage. (2025). Partiële Herziening Programma Noordzee. Toetsingsadvies over het milieueffectrapport en de aanvulling daarop. 6 november 2025. Projectnummer: 3806.</w:t>
      </w:r>
      <w:r w:rsidRPr="0042391D">
        <w:rPr>
          <w:sz w:val="16"/>
          <w:szCs w:val="16"/>
        </w:rPr>
        <w:br/>
      </w:r>
      <w:hyperlink r:id="rId2" w:history="1">
        <w:r w:rsidRPr="0042391D">
          <w:rPr>
            <w:rStyle w:val="Hyperlink"/>
            <w:sz w:val="16"/>
            <w:szCs w:val="16"/>
          </w:rPr>
          <w:t>https://www.commissiemer.nl/docs/mer/p38/p3806/a3806tsea.pdf</w:t>
        </w:r>
      </w:hyperlink>
    </w:p>
    <w:p w14:paraId="1A9EFEF1" w14:textId="77777777" w:rsidR="005E545A" w:rsidRPr="008F6D72" w:rsidRDefault="005E545A" w:rsidP="005E545A">
      <w:pPr>
        <w:pStyle w:val="FootnoteText"/>
        <w:rPr>
          <w:sz w:val="18"/>
          <w:szCs w:val="18"/>
        </w:rPr>
      </w:pPr>
    </w:p>
  </w:footnote>
  <w:footnote w:id="13">
    <w:p w14:paraId="60A719A6" w14:textId="77777777" w:rsidR="005E545A" w:rsidRPr="009A30CE" w:rsidRDefault="005E545A" w:rsidP="005E545A">
      <w:pPr>
        <w:pStyle w:val="FootnoteText"/>
        <w:rPr>
          <w:sz w:val="16"/>
          <w:szCs w:val="16"/>
        </w:rPr>
      </w:pPr>
      <w:r w:rsidRPr="009A30CE">
        <w:rPr>
          <w:rStyle w:val="FootnoteReference"/>
          <w:sz w:val="16"/>
          <w:szCs w:val="16"/>
        </w:rPr>
        <w:footnoteRef/>
      </w:r>
      <w:r w:rsidRPr="009A30CE">
        <w:rPr>
          <w:sz w:val="16"/>
          <w:szCs w:val="16"/>
        </w:rPr>
        <w:t xml:space="preserve"> Formeel de zone van de -20m NAP lijn tot 2 </w:t>
      </w:r>
      <w:r>
        <w:rPr>
          <w:sz w:val="16"/>
          <w:szCs w:val="16"/>
        </w:rPr>
        <w:t>zeemijl</w:t>
      </w:r>
      <w:r w:rsidRPr="009A30CE">
        <w:rPr>
          <w:sz w:val="16"/>
          <w:szCs w:val="16"/>
        </w:rPr>
        <w:t xml:space="preserve"> zeewaarts van de 12-mijls basislijn, zoals vastgesteld op 11 april 2014.</w:t>
      </w:r>
    </w:p>
  </w:footnote>
  <w:footnote w:id="14">
    <w:p w14:paraId="058FD4B1" w14:textId="77777777" w:rsidR="005E545A" w:rsidRDefault="005E545A" w:rsidP="005E545A">
      <w:pPr>
        <w:pStyle w:val="Default"/>
        <w:rPr>
          <w:rFonts w:cs="Times New Roman"/>
          <w:color w:val="auto"/>
        </w:rPr>
      </w:pPr>
      <w:r w:rsidRPr="002A3052">
        <w:rPr>
          <w:rStyle w:val="FootnoteReference"/>
          <w:sz w:val="16"/>
          <w:szCs w:val="16"/>
        </w:rPr>
        <w:footnoteRef/>
      </w:r>
      <w:r>
        <w:t xml:space="preserve"> </w:t>
      </w:r>
      <w:r>
        <w:rPr>
          <w:sz w:val="16"/>
          <w:szCs w:val="16"/>
        </w:rPr>
        <w:t xml:space="preserve">De in bovenstaande tabel genoemde “Bescherming Zuidelijke Doggersbank onder de KRM en grenscorrecties Centrale Oestergronden en Borkumse Stenen” zijn zowel doorgevoerd in de hoofdtekst als in bijlage 1 van het PNZ 2022-2027, de Mariene Strategie deel 3. </w:t>
      </w:r>
    </w:p>
    <w:p w14:paraId="79DF468A" w14:textId="77777777" w:rsidR="005E545A" w:rsidRDefault="005E545A" w:rsidP="005E54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73652" w14:textId="77777777" w:rsidR="009011A3" w:rsidRDefault="008E72C6">
    <w:r>
      <w:rPr>
        <w:noProof/>
        <w:lang w:val="en-GB" w:eastAsia="en-GB"/>
      </w:rPr>
      <mc:AlternateContent>
        <mc:Choice Requires="wps">
          <w:drawing>
            <wp:anchor distT="0" distB="0" distL="0" distR="0" simplePos="0" relativeHeight="251651584" behindDoc="0" locked="1" layoutInCell="1" allowOverlap="1" wp14:anchorId="3AB2D2A4" wp14:editId="7947AAE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A01CC8" w14:textId="77777777" w:rsidR="009011A3" w:rsidRDefault="008E72C6">
                          <w:pPr>
                            <w:pStyle w:val="AfzendgegevensKop0"/>
                          </w:pPr>
                          <w:r>
                            <w:t>Ministerie van Infrastructuur en Waterstaat</w:t>
                          </w:r>
                        </w:p>
                        <w:p w14:paraId="167CDCB5" w14:textId="77777777" w:rsidR="009011A3" w:rsidRDefault="009011A3">
                          <w:pPr>
                            <w:pStyle w:val="WitregelW2"/>
                          </w:pPr>
                        </w:p>
                        <w:p w14:paraId="4F2BBA22" w14:textId="77777777" w:rsidR="009011A3" w:rsidRDefault="008E72C6">
                          <w:pPr>
                            <w:pStyle w:val="Referentiegegevenskop"/>
                          </w:pPr>
                          <w:r>
                            <w:t>Ons kenmerk</w:t>
                          </w:r>
                        </w:p>
                        <w:p w14:paraId="5B9094E6" w14:textId="4BB9ADF5" w:rsidR="009011A3" w:rsidRDefault="008E72C6">
                          <w:pPr>
                            <w:pStyle w:val="Referentiegegevens"/>
                          </w:pPr>
                          <w:r>
                            <w:t>IENW/BSK-2025/</w:t>
                          </w:r>
                          <w:r w:rsidR="00310840">
                            <w:t>282012</w:t>
                          </w:r>
                        </w:p>
                      </w:txbxContent>
                    </wps:txbx>
                    <wps:bodyPr vert="horz" wrap="square" lIns="0" tIns="0" rIns="0" bIns="0" anchor="t" anchorCtr="0"/>
                  </wps:wsp>
                </a:graphicData>
              </a:graphic>
            </wp:anchor>
          </w:drawing>
        </mc:Choice>
        <mc:Fallback>
          <w:pict>
            <v:shapetype w14:anchorId="3AB2D2A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1A01CC8" w14:textId="77777777" w:rsidR="009011A3" w:rsidRDefault="008E72C6">
                    <w:pPr>
                      <w:pStyle w:val="AfzendgegevensKop0"/>
                    </w:pPr>
                    <w:r>
                      <w:t>Ministerie van Infrastructuur en Waterstaat</w:t>
                    </w:r>
                  </w:p>
                  <w:p w14:paraId="167CDCB5" w14:textId="77777777" w:rsidR="009011A3" w:rsidRDefault="009011A3">
                    <w:pPr>
                      <w:pStyle w:val="WitregelW2"/>
                    </w:pPr>
                  </w:p>
                  <w:p w14:paraId="4F2BBA22" w14:textId="77777777" w:rsidR="009011A3" w:rsidRDefault="008E72C6">
                    <w:pPr>
                      <w:pStyle w:val="Referentiegegevenskop"/>
                    </w:pPr>
                    <w:r>
                      <w:t>Ons kenmerk</w:t>
                    </w:r>
                  </w:p>
                  <w:p w14:paraId="5B9094E6" w14:textId="4BB9ADF5" w:rsidR="009011A3" w:rsidRDefault="008E72C6">
                    <w:pPr>
                      <w:pStyle w:val="Referentiegegevens"/>
                    </w:pPr>
                    <w:r>
                      <w:t>IENW/BSK-2025/</w:t>
                    </w:r>
                    <w:r w:rsidR="00310840">
                      <w:t>282012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D744B24" wp14:editId="01737B3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C9C1F8" w14:textId="77777777" w:rsidR="009011A3" w:rsidRDefault="008E72C6">
                          <w:pPr>
                            <w:pStyle w:val="Referentiegegevens"/>
                          </w:pPr>
                          <w:r>
                            <w:t xml:space="preserve">Page </w:t>
                          </w:r>
                          <w:r>
                            <w:fldChar w:fldCharType="begin"/>
                          </w:r>
                          <w:r>
                            <w:instrText>PAGE</w:instrText>
                          </w:r>
                          <w:r>
                            <w:fldChar w:fldCharType="separate"/>
                          </w:r>
                          <w:r w:rsidR="005E545A">
                            <w:rPr>
                              <w:noProof/>
                            </w:rPr>
                            <w:t>1</w:t>
                          </w:r>
                          <w:r>
                            <w:fldChar w:fldCharType="end"/>
                          </w:r>
                          <w:r>
                            <w:t xml:space="preserve"> of </w:t>
                          </w:r>
                          <w:r>
                            <w:fldChar w:fldCharType="begin"/>
                          </w:r>
                          <w:r>
                            <w:instrText>NUMPAGES</w:instrText>
                          </w:r>
                          <w:r>
                            <w:fldChar w:fldCharType="separate"/>
                          </w:r>
                          <w:r w:rsidR="005E545A">
                            <w:rPr>
                              <w:noProof/>
                            </w:rPr>
                            <w:t>1</w:t>
                          </w:r>
                          <w:r>
                            <w:fldChar w:fldCharType="end"/>
                          </w:r>
                        </w:p>
                      </w:txbxContent>
                    </wps:txbx>
                    <wps:bodyPr vert="horz" wrap="square" lIns="0" tIns="0" rIns="0" bIns="0" anchor="t" anchorCtr="0"/>
                  </wps:wsp>
                </a:graphicData>
              </a:graphic>
            </wp:anchor>
          </w:drawing>
        </mc:Choice>
        <mc:Fallback>
          <w:pict>
            <v:shape w14:anchorId="4D744B2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0C9C1F8" w14:textId="77777777" w:rsidR="009011A3" w:rsidRDefault="008E72C6">
                    <w:pPr>
                      <w:pStyle w:val="Referentiegegevens"/>
                    </w:pPr>
                    <w:r>
                      <w:t xml:space="preserve">Page </w:t>
                    </w:r>
                    <w:r>
                      <w:fldChar w:fldCharType="begin"/>
                    </w:r>
                    <w:r>
                      <w:instrText>PAGE</w:instrText>
                    </w:r>
                    <w:r>
                      <w:fldChar w:fldCharType="separate"/>
                    </w:r>
                    <w:r w:rsidR="005E545A">
                      <w:rPr>
                        <w:noProof/>
                      </w:rPr>
                      <w:t>1</w:t>
                    </w:r>
                    <w:r>
                      <w:fldChar w:fldCharType="end"/>
                    </w:r>
                    <w:r>
                      <w:t xml:space="preserve"> of </w:t>
                    </w:r>
                    <w:r>
                      <w:fldChar w:fldCharType="begin"/>
                    </w:r>
                    <w:r>
                      <w:instrText>NUMPAGES</w:instrText>
                    </w:r>
                    <w:r>
                      <w:fldChar w:fldCharType="separate"/>
                    </w:r>
                    <w:r w:rsidR="005E545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64AF6B3" wp14:editId="44E7055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3B8CFE" w14:textId="77777777" w:rsidR="008F25E8" w:rsidRDefault="008F25E8"/>
                      </w:txbxContent>
                    </wps:txbx>
                    <wps:bodyPr vert="horz" wrap="square" lIns="0" tIns="0" rIns="0" bIns="0" anchor="t" anchorCtr="0"/>
                  </wps:wsp>
                </a:graphicData>
              </a:graphic>
            </wp:anchor>
          </w:drawing>
        </mc:Choice>
        <mc:Fallback>
          <w:pict>
            <v:shape w14:anchorId="464AF6B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33B8CFE" w14:textId="77777777" w:rsidR="008F25E8" w:rsidRDefault="008F25E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DC40D5A" wp14:editId="15412B7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E02379" w14:textId="77777777" w:rsidR="008F25E8" w:rsidRDefault="008F25E8"/>
                      </w:txbxContent>
                    </wps:txbx>
                    <wps:bodyPr vert="horz" wrap="square" lIns="0" tIns="0" rIns="0" bIns="0" anchor="t" anchorCtr="0"/>
                  </wps:wsp>
                </a:graphicData>
              </a:graphic>
            </wp:anchor>
          </w:drawing>
        </mc:Choice>
        <mc:Fallback>
          <w:pict>
            <v:shape w14:anchorId="6DC40D5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E02379" w14:textId="77777777" w:rsidR="008F25E8" w:rsidRDefault="008F25E8"/>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7E85" w14:textId="77777777" w:rsidR="009011A3" w:rsidRDefault="008E72C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02DFC35" wp14:editId="7F312DA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DEE49B" w14:textId="77777777" w:rsidR="008F25E8" w:rsidRDefault="008F25E8"/>
                      </w:txbxContent>
                    </wps:txbx>
                    <wps:bodyPr vert="horz" wrap="square" lIns="0" tIns="0" rIns="0" bIns="0" anchor="t" anchorCtr="0"/>
                  </wps:wsp>
                </a:graphicData>
              </a:graphic>
            </wp:anchor>
          </w:drawing>
        </mc:Choice>
        <mc:Fallback>
          <w:pict>
            <v:shapetype w14:anchorId="002DFC3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DEE49B" w14:textId="77777777" w:rsidR="008F25E8" w:rsidRDefault="008F25E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CB16CE9" wp14:editId="5DABF7A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479056" w14:textId="31010A80" w:rsidR="009011A3" w:rsidRDefault="008E72C6">
                          <w:pPr>
                            <w:pStyle w:val="Referentiegegevens"/>
                          </w:pPr>
                          <w:r>
                            <w:t xml:space="preserve">Page </w:t>
                          </w:r>
                          <w:r>
                            <w:fldChar w:fldCharType="begin"/>
                          </w:r>
                          <w:r>
                            <w:instrText>PAGE</w:instrText>
                          </w:r>
                          <w:r>
                            <w:fldChar w:fldCharType="separate"/>
                          </w:r>
                          <w:r w:rsidR="00B858F1">
                            <w:rPr>
                              <w:noProof/>
                            </w:rPr>
                            <w:t>1</w:t>
                          </w:r>
                          <w:r>
                            <w:fldChar w:fldCharType="end"/>
                          </w:r>
                          <w:r>
                            <w:t xml:space="preserve"> of </w:t>
                          </w:r>
                          <w:r>
                            <w:fldChar w:fldCharType="begin"/>
                          </w:r>
                          <w:r>
                            <w:instrText>NUMPAGES</w:instrText>
                          </w:r>
                          <w:r>
                            <w:fldChar w:fldCharType="separate"/>
                          </w:r>
                          <w:r w:rsidR="00B858F1">
                            <w:rPr>
                              <w:noProof/>
                            </w:rPr>
                            <w:t>1</w:t>
                          </w:r>
                          <w:r>
                            <w:fldChar w:fldCharType="end"/>
                          </w:r>
                        </w:p>
                      </w:txbxContent>
                    </wps:txbx>
                    <wps:bodyPr vert="horz" wrap="square" lIns="0" tIns="0" rIns="0" bIns="0" anchor="t" anchorCtr="0"/>
                  </wps:wsp>
                </a:graphicData>
              </a:graphic>
            </wp:anchor>
          </w:drawing>
        </mc:Choice>
        <mc:Fallback>
          <w:pict>
            <v:shape w14:anchorId="1CB16CE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3479056" w14:textId="31010A80" w:rsidR="009011A3" w:rsidRDefault="008E72C6">
                    <w:pPr>
                      <w:pStyle w:val="Referentiegegevens"/>
                    </w:pPr>
                    <w:r>
                      <w:t xml:space="preserve">Page </w:t>
                    </w:r>
                    <w:r>
                      <w:fldChar w:fldCharType="begin"/>
                    </w:r>
                    <w:r>
                      <w:instrText>PAGE</w:instrText>
                    </w:r>
                    <w:r>
                      <w:fldChar w:fldCharType="separate"/>
                    </w:r>
                    <w:r w:rsidR="00B858F1">
                      <w:rPr>
                        <w:noProof/>
                      </w:rPr>
                      <w:t>1</w:t>
                    </w:r>
                    <w:r>
                      <w:fldChar w:fldCharType="end"/>
                    </w:r>
                    <w:r>
                      <w:t xml:space="preserve"> of </w:t>
                    </w:r>
                    <w:r>
                      <w:fldChar w:fldCharType="begin"/>
                    </w:r>
                    <w:r>
                      <w:instrText>NUMPAGES</w:instrText>
                    </w:r>
                    <w:r>
                      <w:fldChar w:fldCharType="separate"/>
                    </w:r>
                    <w:r w:rsidR="00B858F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94835FB" wp14:editId="524BAB2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B02A8E" w14:textId="77777777" w:rsidR="009011A3" w:rsidRDefault="008E72C6">
                          <w:pPr>
                            <w:pStyle w:val="AfzendgegevensKop0"/>
                          </w:pPr>
                          <w:r>
                            <w:t>Ministerie van Infrastructuur en Waterstaat</w:t>
                          </w:r>
                        </w:p>
                        <w:p w14:paraId="205D5B8F" w14:textId="77777777" w:rsidR="009011A3" w:rsidRDefault="009011A3">
                          <w:pPr>
                            <w:pStyle w:val="WitregelW1"/>
                          </w:pPr>
                        </w:p>
                        <w:p w14:paraId="388E4BD9" w14:textId="77777777" w:rsidR="009011A3" w:rsidRDefault="008E72C6">
                          <w:pPr>
                            <w:pStyle w:val="Afzendgegevens"/>
                          </w:pPr>
                          <w:r>
                            <w:t>Rijnstraat 8</w:t>
                          </w:r>
                        </w:p>
                        <w:p w14:paraId="4600A7F0" w14:textId="77777777" w:rsidR="009011A3" w:rsidRPr="005E545A" w:rsidRDefault="008E72C6">
                          <w:pPr>
                            <w:pStyle w:val="Afzendgegevens"/>
                            <w:rPr>
                              <w:lang w:val="de-DE"/>
                            </w:rPr>
                          </w:pPr>
                          <w:r w:rsidRPr="005E545A">
                            <w:rPr>
                              <w:lang w:val="de-DE"/>
                            </w:rPr>
                            <w:t>2515 XP  Den Haag</w:t>
                          </w:r>
                        </w:p>
                        <w:p w14:paraId="22376F71" w14:textId="77777777" w:rsidR="009011A3" w:rsidRPr="005E545A" w:rsidRDefault="008E72C6">
                          <w:pPr>
                            <w:pStyle w:val="Afzendgegevens"/>
                            <w:rPr>
                              <w:lang w:val="de-DE"/>
                            </w:rPr>
                          </w:pPr>
                          <w:r w:rsidRPr="005E545A">
                            <w:rPr>
                              <w:lang w:val="de-DE"/>
                            </w:rPr>
                            <w:t>Postbus 20901</w:t>
                          </w:r>
                        </w:p>
                        <w:p w14:paraId="43BAFFF1" w14:textId="77777777" w:rsidR="009011A3" w:rsidRPr="005E545A" w:rsidRDefault="008E72C6">
                          <w:pPr>
                            <w:pStyle w:val="Afzendgegevens"/>
                            <w:rPr>
                              <w:lang w:val="de-DE"/>
                            </w:rPr>
                          </w:pPr>
                          <w:r w:rsidRPr="005E545A">
                            <w:rPr>
                              <w:lang w:val="de-DE"/>
                            </w:rPr>
                            <w:t>2500 EX Den Haag</w:t>
                          </w:r>
                        </w:p>
                        <w:p w14:paraId="77F99BBC" w14:textId="77777777" w:rsidR="009011A3" w:rsidRPr="005E545A" w:rsidRDefault="009011A3">
                          <w:pPr>
                            <w:pStyle w:val="WitregelW1"/>
                            <w:rPr>
                              <w:lang w:val="de-DE"/>
                            </w:rPr>
                          </w:pPr>
                        </w:p>
                        <w:p w14:paraId="3DD87DAC" w14:textId="77777777" w:rsidR="009011A3" w:rsidRPr="005E545A" w:rsidRDefault="008E72C6">
                          <w:pPr>
                            <w:pStyle w:val="Afzendgegevens"/>
                            <w:rPr>
                              <w:lang w:val="de-DE"/>
                            </w:rPr>
                          </w:pPr>
                          <w:r w:rsidRPr="005E545A">
                            <w:rPr>
                              <w:lang w:val="de-DE"/>
                            </w:rPr>
                            <w:t>T   070-456 0000</w:t>
                          </w:r>
                        </w:p>
                        <w:p w14:paraId="355A0B6C" w14:textId="77777777" w:rsidR="009011A3" w:rsidRDefault="008E72C6">
                          <w:pPr>
                            <w:pStyle w:val="Afzendgegevens"/>
                          </w:pPr>
                          <w:r>
                            <w:t>F   070-456 1111</w:t>
                          </w:r>
                        </w:p>
                        <w:p w14:paraId="5A750334" w14:textId="77777777" w:rsidR="009011A3" w:rsidRDefault="009011A3">
                          <w:pPr>
                            <w:pStyle w:val="WitregelW2"/>
                          </w:pPr>
                        </w:p>
                        <w:p w14:paraId="5608BAFB" w14:textId="77777777" w:rsidR="009011A3" w:rsidRDefault="008E72C6">
                          <w:pPr>
                            <w:pStyle w:val="Referentiegegevenskop"/>
                          </w:pPr>
                          <w:r>
                            <w:t>Ons kenmerk</w:t>
                          </w:r>
                        </w:p>
                        <w:p w14:paraId="27FA07E7" w14:textId="4350D06F" w:rsidR="009011A3" w:rsidRDefault="008E72C6">
                          <w:pPr>
                            <w:pStyle w:val="Referentiegegevens"/>
                          </w:pPr>
                          <w:r>
                            <w:t>IENW/BSK-2025/</w:t>
                          </w:r>
                          <w:r w:rsidR="00310840">
                            <w:t>282012</w:t>
                          </w:r>
                        </w:p>
                        <w:p w14:paraId="3E0DDECB" w14:textId="77777777" w:rsidR="009011A3" w:rsidRDefault="009011A3">
                          <w:pPr>
                            <w:pStyle w:val="WitregelW1"/>
                          </w:pPr>
                        </w:p>
                        <w:p w14:paraId="3528DC3A" w14:textId="77777777" w:rsidR="009011A3" w:rsidRDefault="008E72C6">
                          <w:pPr>
                            <w:pStyle w:val="Referentiegegevenskop"/>
                          </w:pPr>
                          <w:r>
                            <w:t>Bijlage(n)</w:t>
                          </w:r>
                        </w:p>
                        <w:p w14:paraId="7B9565AC" w14:textId="00B072D9" w:rsidR="009011A3" w:rsidRDefault="00A42557">
                          <w:pPr>
                            <w:pStyle w:val="Referentiegegevens"/>
                          </w:pPr>
                          <w:r>
                            <w:t>4</w:t>
                          </w:r>
                        </w:p>
                      </w:txbxContent>
                    </wps:txbx>
                    <wps:bodyPr vert="horz" wrap="square" lIns="0" tIns="0" rIns="0" bIns="0" anchor="t" anchorCtr="0"/>
                  </wps:wsp>
                </a:graphicData>
              </a:graphic>
            </wp:anchor>
          </w:drawing>
        </mc:Choice>
        <mc:Fallback>
          <w:pict>
            <v:shape w14:anchorId="294835F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BB02A8E" w14:textId="77777777" w:rsidR="009011A3" w:rsidRDefault="008E72C6">
                    <w:pPr>
                      <w:pStyle w:val="AfzendgegevensKop0"/>
                    </w:pPr>
                    <w:r>
                      <w:t>Ministerie van Infrastructuur en Waterstaat</w:t>
                    </w:r>
                  </w:p>
                  <w:p w14:paraId="205D5B8F" w14:textId="77777777" w:rsidR="009011A3" w:rsidRDefault="009011A3">
                    <w:pPr>
                      <w:pStyle w:val="WitregelW1"/>
                    </w:pPr>
                  </w:p>
                  <w:p w14:paraId="388E4BD9" w14:textId="77777777" w:rsidR="009011A3" w:rsidRDefault="008E72C6">
                    <w:pPr>
                      <w:pStyle w:val="Afzendgegevens"/>
                    </w:pPr>
                    <w:r>
                      <w:t>Rijnstraat 8</w:t>
                    </w:r>
                  </w:p>
                  <w:p w14:paraId="4600A7F0" w14:textId="77777777" w:rsidR="009011A3" w:rsidRPr="005E545A" w:rsidRDefault="008E72C6">
                    <w:pPr>
                      <w:pStyle w:val="Afzendgegevens"/>
                      <w:rPr>
                        <w:lang w:val="de-DE"/>
                      </w:rPr>
                    </w:pPr>
                    <w:r w:rsidRPr="005E545A">
                      <w:rPr>
                        <w:lang w:val="de-DE"/>
                      </w:rPr>
                      <w:t>2515 XP  Den Haag</w:t>
                    </w:r>
                  </w:p>
                  <w:p w14:paraId="22376F71" w14:textId="77777777" w:rsidR="009011A3" w:rsidRPr="005E545A" w:rsidRDefault="008E72C6">
                    <w:pPr>
                      <w:pStyle w:val="Afzendgegevens"/>
                      <w:rPr>
                        <w:lang w:val="de-DE"/>
                      </w:rPr>
                    </w:pPr>
                    <w:r w:rsidRPr="005E545A">
                      <w:rPr>
                        <w:lang w:val="de-DE"/>
                      </w:rPr>
                      <w:t>Postbus 20901</w:t>
                    </w:r>
                  </w:p>
                  <w:p w14:paraId="43BAFFF1" w14:textId="77777777" w:rsidR="009011A3" w:rsidRPr="005E545A" w:rsidRDefault="008E72C6">
                    <w:pPr>
                      <w:pStyle w:val="Afzendgegevens"/>
                      <w:rPr>
                        <w:lang w:val="de-DE"/>
                      </w:rPr>
                    </w:pPr>
                    <w:r w:rsidRPr="005E545A">
                      <w:rPr>
                        <w:lang w:val="de-DE"/>
                      </w:rPr>
                      <w:t>2500 EX Den Haag</w:t>
                    </w:r>
                  </w:p>
                  <w:p w14:paraId="77F99BBC" w14:textId="77777777" w:rsidR="009011A3" w:rsidRPr="005E545A" w:rsidRDefault="009011A3">
                    <w:pPr>
                      <w:pStyle w:val="WitregelW1"/>
                      <w:rPr>
                        <w:lang w:val="de-DE"/>
                      </w:rPr>
                    </w:pPr>
                  </w:p>
                  <w:p w14:paraId="3DD87DAC" w14:textId="77777777" w:rsidR="009011A3" w:rsidRPr="005E545A" w:rsidRDefault="008E72C6">
                    <w:pPr>
                      <w:pStyle w:val="Afzendgegevens"/>
                      <w:rPr>
                        <w:lang w:val="de-DE"/>
                      </w:rPr>
                    </w:pPr>
                    <w:r w:rsidRPr="005E545A">
                      <w:rPr>
                        <w:lang w:val="de-DE"/>
                      </w:rPr>
                      <w:t>T   070-456 0000</w:t>
                    </w:r>
                  </w:p>
                  <w:p w14:paraId="355A0B6C" w14:textId="77777777" w:rsidR="009011A3" w:rsidRDefault="008E72C6">
                    <w:pPr>
                      <w:pStyle w:val="Afzendgegevens"/>
                    </w:pPr>
                    <w:r>
                      <w:t>F   070-456 1111</w:t>
                    </w:r>
                  </w:p>
                  <w:p w14:paraId="5A750334" w14:textId="77777777" w:rsidR="009011A3" w:rsidRDefault="009011A3">
                    <w:pPr>
                      <w:pStyle w:val="WitregelW2"/>
                    </w:pPr>
                  </w:p>
                  <w:p w14:paraId="5608BAFB" w14:textId="77777777" w:rsidR="009011A3" w:rsidRDefault="008E72C6">
                    <w:pPr>
                      <w:pStyle w:val="Referentiegegevenskop"/>
                    </w:pPr>
                    <w:r>
                      <w:t>Ons kenmerk</w:t>
                    </w:r>
                  </w:p>
                  <w:p w14:paraId="27FA07E7" w14:textId="4350D06F" w:rsidR="009011A3" w:rsidRDefault="008E72C6">
                    <w:pPr>
                      <w:pStyle w:val="Referentiegegevens"/>
                    </w:pPr>
                    <w:r>
                      <w:t>IENW/BSK-2025/</w:t>
                    </w:r>
                    <w:r w:rsidR="00310840">
                      <w:t>282012</w:t>
                    </w:r>
                  </w:p>
                  <w:p w14:paraId="3E0DDECB" w14:textId="77777777" w:rsidR="009011A3" w:rsidRDefault="009011A3">
                    <w:pPr>
                      <w:pStyle w:val="WitregelW1"/>
                    </w:pPr>
                  </w:p>
                  <w:p w14:paraId="3528DC3A" w14:textId="77777777" w:rsidR="009011A3" w:rsidRDefault="008E72C6">
                    <w:pPr>
                      <w:pStyle w:val="Referentiegegevenskop"/>
                    </w:pPr>
                    <w:r>
                      <w:t>Bijlage(n)</w:t>
                    </w:r>
                  </w:p>
                  <w:p w14:paraId="7B9565AC" w14:textId="00B072D9" w:rsidR="009011A3" w:rsidRDefault="00A42557">
                    <w:pPr>
                      <w:pStyle w:val="Referentiegegevens"/>
                    </w:pPr>
                    <w: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F12619" wp14:editId="2D4F526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8CCBF6" w14:textId="77777777" w:rsidR="009011A3" w:rsidRDefault="008E72C6">
                          <w:pPr>
                            <w:spacing w:line="240" w:lineRule="auto"/>
                          </w:pPr>
                          <w:r>
                            <w:rPr>
                              <w:noProof/>
                              <w:lang w:val="en-GB" w:eastAsia="en-GB"/>
                            </w:rPr>
                            <w:drawing>
                              <wp:inline distT="0" distB="0" distL="0" distR="0" wp14:anchorId="2B4D74B4" wp14:editId="5582D9E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F1261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88CCBF6" w14:textId="77777777" w:rsidR="009011A3" w:rsidRDefault="008E72C6">
                    <w:pPr>
                      <w:spacing w:line="240" w:lineRule="auto"/>
                    </w:pPr>
                    <w:r>
                      <w:rPr>
                        <w:noProof/>
                        <w:lang w:val="en-GB" w:eastAsia="en-GB"/>
                      </w:rPr>
                      <w:drawing>
                        <wp:inline distT="0" distB="0" distL="0" distR="0" wp14:anchorId="2B4D74B4" wp14:editId="5582D9E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718A0D7" wp14:editId="66DF422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50A30D" w14:textId="77777777" w:rsidR="009011A3" w:rsidRDefault="008E72C6">
                          <w:pPr>
                            <w:spacing w:line="240" w:lineRule="auto"/>
                          </w:pPr>
                          <w:r>
                            <w:rPr>
                              <w:noProof/>
                              <w:lang w:val="en-GB" w:eastAsia="en-GB"/>
                            </w:rPr>
                            <w:drawing>
                              <wp:inline distT="0" distB="0" distL="0" distR="0" wp14:anchorId="17EF76AD" wp14:editId="58A87DF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18A0D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D50A30D" w14:textId="77777777" w:rsidR="009011A3" w:rsidRDefault="008E72C6">
                    <w:pPr>
                      <w:spacing w:line="240" w:lineRule="auto"/>
                    </w:pPr>
                    <w:r>
                      <w:rPr>
                        <w:noProof/>
                        <w:lang w:val="en-GB" w:eastAsia="en-GB"/>
                      </w:rPr>
                      <w:drawing>
                        <wp:inline distT="0" distB="0" distL="0" distR="0" wp14:anchorId="17EF76AD" wp14:editId="58A87DF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F8C6A7" wp14:editId="6BE9C64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C743159" w14:textId="77777777" w:rsidR="009011A3" w:rsidRDefault="008E72C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F8C6A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C743159" w14:textId="77777777" w:rsidR="009011A3" w:rsidRDefault="008E72C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267F121" wp14:editId="689A2AF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35FFA9" w14:textId="77777777" w:rsidR="009011A3" w:rsidRDefault="008E72C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267F12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135FFA9" w14:textId="77777777" w:rsidR="009011A3" w:rsidRDefault="008E72C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D6F5DD5" wp14:editId="346FC13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011A3" w14:paraId="314F1D31" w14:textId="77777777">
                            <w:trPr>
                              <w:trHeight w:val="200"/>
                            </w:trPr>
                            <w:tc>
                              <w:tcPr>
                                <w:tcW w:w="1140" w:type="dxa"/>
                              </w:tcPr>
                              <w:p w14:paraId="266C86F9" w14:textId="77777777" w:rsidR="009011A3" w:rsidRDefault="009011A3"/>
                            </w:tc>
                            <w:tc>
                              <w:tcPr>
                                <w:tcW w:w="5400" w:type="dxa"/>
                              </w:tcPr>
                              <w:p w14:paraId="2C82CF15" w14:textId="77777777" w:rsidR="009011A3" w:rsidRDefault="009011A3"/>
                            </w:tc>
                          </w:tr>
                          <w:tr w:rsidR="009011A3" w14:paraId="3C65FE5C" w14:textId="77777777">
                            <w:trPr>
                              <w:trHeight w:val="240"/>
                            </w:trPr>
                            <w:tc>
                              <w:tcPr>
                                <w:tcW w:w="1140" w:type="dxa"/>
                              </w:tcPr>
                              <w:p w14:paraId="431F9BFF" w14:textId="77777777" w:rsidR="009011A3" w:rsidRDefault="008E72C6">
                                <w:r>
                                  <w:t>Datum</w:t>
                                </w:r>
                              </w:p>
                            </w:tc>
                            <w:tc>
                              <w:tcPr>
                                <w:tcW w:w="5400" w:type="dxa"/>
                              </w:tcPr>
                              <w:p w14:paraId="2EB04C25" w14:textId="7980297D" w:rsidR="009011A3" w:rsidRDefault="00E13438">
                                <w:r>
                                  <w:t>20 maart 2026</w:t>
                                </w:r>
                              </w:p>
                            </w:tc>
                          </w:tr>
                          <w:tr w:rsidR="009011A3" w14:paraId="22E34A1A" w14:textId="77777777">
                            <w:trPr>
                              <w:trHeight w:val="240"/>
                            </w:trPr>
                            <w:tc>
                              <w:tcPr>
                                <w:tcW w:w="1140" w:type="dxa"/>
                              </w:tcPr>
                              <w:p w14:paraId="2FDBDDE0" w14:textId="77777777" w:rsidR="009011A3" w:rsidRDefault="008E72C6">
                                <w:r>
                                  <w:t>Betreft</w:t>
                                </w:r>
                              </w:p>
                            </w:tc>
                            <w:tc>
                              <w:tcPr>
                                <w:tcW w:w="5400" w:type="dxa"/>
                              </w:tcPr>
                              <w:p w14:paraId="20DB94AC" w14:textId="77777777" w:rsidR="009011A3" w:rsidRDefault="008E72C6">
                                <w:r>
                                  <w:t>Partieel Herziene Programma Noordzee 2022-2027</w:t>
                                </w:r>
                              </w:p>
                            </w:tc>
                          </w:tr>
                          <w:tr w:rsidR="009011A3" w14:paraId="3D126241" w14:textId="77777777">
                            <w:trPr>
                              <w:trHeight w:val="200"/>
                            </w:trPr>
                            <w:tc>
                              <w:tcPr>
                                <w:tcW w:w="1140" w:type="dxa"/>
                              </w:tcPr>
                              <w:p w14:paraId="049E8318" w14:textId="77777777" w:rsidR="009011A3" w:rsidRDefault="009011A3"/>
                            </w:tc>
                            <w:tc>
                              <w:tcPr>
                                <w:tcW w:w="5400" w:type="dxa"/>
                              </w:tcPr>
                              <w:p w14:paraId="5017D34F" w14:textId="77777777" w:rsidR="009011A3" w:rsidRDefault="009011A3"/>
                            </w:tc>
                          </w:tr>
                        </w:tbl>
                        <w:p w14:paraId="05502851" w14:textId="77777777" w:rsidR="008F25E8" w:rsidRDefault="008F25E8"/>
                      </w:txbxContent>
                    </wps:txbx>
                    <wps:bodyPr vert="horz" wrap="square" lIns="0" tIns="0" rIns="0" bIns="0" anchor="t" anchorCtr="0"/>
                  </wps:wsp>
                </a:graphicData>
              </a:graphic>
            </wp:anchor>
          </w:drawing>
        </mc:Choice>
        <mc:Fallback>
          <w:pict>
            <v:shape w14:anchorId="7D6F5DD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011A3" w14:paraId="314F1D31" w14:textId="77777777">
                      <w:trPr>
                        <w:trHeight w:val="200"/>
                      </w:trPr>
                      <w:tc>
                        <w:tcPr>
                          <w:tcW w:w="1140" w:type="dxa"/>
                        </w:tcPr>
                        <w:p w14:paraId="266C86F9" w14:textId="77777777" w:rsidR="009011A3" w:rsidRDefault="009011A3"/>
                      </w:tc>
                      <w:tc>
                        <w:tcPr>
                          <w:tcW w:w="5400" w:type="dxa"/>
                        </w:tcPr>
                        <w:p w14:paraId="2C82CF15" w14:textId="77777777" w:rsidR="009011A3" w:rsidRDefault="009011A3"/>
                      </w:tc>
                    </w:tr>
                    <w:tr w:rsidR="009011A3" w14:paraId="3C65FE5C" w14:textId="77777777">
                      <w:trPr>
                        <w:trHeight w:val="240"/>
                      </w:trPr>
                      <w:tc>
                        <w:tcPr>
                          <w:tcW w:w="1140" w:type="dxa"/>
                        </w:tcPr>
                        <w:p w14:paraId="431F9BFF" w14:textId="77777777" w:rsidR="009011A3" w:rsidRDefault="008E72C6">
                          <w:r>
                            <w:t>Datum</w:t>
                          </w:r>
                        </w:p>
                      </w:tc>
                      <w:tc>
                        <w:tcPr>
                          <w:tcW w:w="5400" w:type="dxa"/>
                        </w:tcPr>
                        <w:p w14:paraId="2EB04C25" w14:textId="7980297D" w:rsidR="009011A3" w:rsidRDefault="00E13438">
                          <w:r>
                            <w:t>20 maart 2026</w:t>
                          </w:r>
                        </w:p>
                      </w:tc>
                    </w:tr>
                    <w:tr w:rsidR="009011A3" w14:paraId="22E34A1A" w14:textId="77777777">
                      <w:trPr>
                        <w:trHeight w:val="240"/>
                      </w:trPr>
                      <w:tc>
                        <w:tcPr>
                          <w:tcW w:w="1140" w:type="dxa"/>
                        </w:tcPr>
                        <w:p w14:paraId="2FDBDDE0" w14:textId="77777777" w:rsidR="009011A3" w:rsidRDefault="008E72C6">
                          <w:r>
                            <w:t>Betreft</w:t>
                          </w:r>
                        </w:p>
                      </w:tc>
                      <w:tc>
                        <w:tcPr>
                          <w:tcW w:w="5400" w:type="dxa"/>
                        </w:tcPr>
                        <w:p w14:paraId="20DB94AC" w14:textId="77777777" w:rsidR="009011A3" w:rsidRDefault="008E72C6">
                          <w:r>
                            <w:t>Partieel Herziene Programma Noordzee 2022-2027</w:t>
                          </w:r>
                        </w:p>
                      </w:tc>
                    </w:tr>
                    <w:tr w:rsidR="009011A3" w14:paraId="3D126241" w14:textId="77777777">
                      <w:trPr>
                        <w:trHeight w:val="200"/>
                      </w:trPr>
                      <w:tc>
                        <w:tcPr>
                          <w:tcW w:w="1140" w:type="dxa"/>
                        </w:tcPr>
                        <w:p w14:paraId="049E8318" w14:textId="77777777" w:rsidR="009011A3" w:rsidRDefault="009011A3"/>
                      </w:tc>
                      <w:tc>
                        <w:tcPr>
                          <w:tcW w:w="5400" w:type="dxa"/>
                        </w:tcPr>
                        <w:p w14:paraId="5017D34F" w14:textId="77777777" w:rsidR="009011A3" w:rsidRDefault="009011A3"/>
                      </w:tc>
                    </w:tr>
                  </w:tbl>
                  <w:p w14:paraId="05502851" w14:textId="77777777" w:rsidR="008F25E8" w:rsidRDefault="008F25E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E5553F2" wp14:editId="6A823E6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4B8E4A" w14:textId="77777777" w:rsidR="008F25E8" w:rsidRDefault="008F25E8"/>
                      </w:txbxContent>
                    </wps:txbx>
                    <wps:bodyPr vert="horz" wrap="square" lIns="0" tIns="0" rIns="0" bIns="0" anchor="t" anchorCtr="0"/>
                  </wps:wsp>
                </a:graphicData>
              </a:graphic>
            </wp:anchor>
          </w:drawing>
        </mc:Choice>
        <mc:Fallback>
          <w:pict>
            <v:shape w14:anchorId="3E5553F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24B8E4A" w14:textId="77777777" w:rsidR="008F25E8" w:rsidRDefault="008F25E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07ED9"/>
    <w:multiLevelType w:val="multilevel"/>
    <w:tmpl w:val="CA8B101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A27021"/>
    <w:multiLevelType w:val="multilevel"/>
    <w:tmpl w:val="5670A0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A1D253"/>
    <w:multiLevelType w:val="multilevel"/>
    <w:tmpl w:val="BA4AB13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F075F1"/>
    <w:multiLevelType w:val="multilevel"/>
    <w:tmpl w:val="C9978D8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2C4EBD"/>
    <w:multiLevelType w:val="multilevel"/>
    <w:tmpl w:val="048D80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8402195"/>
    <w:multiLevelType w:val="multilevel"/>
    <w:tmpl w:val="0524FBE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9AE22F"/>
    <w:multiLevelType w:val="multilevel"/>
    <w:tmpl w:val="3B4EF69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EC7FE7"/>
    <w:multiLevelType w:val="multilevel"/>
    <w:tmpl w:val="239BFE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D3F08A"/>
    <w:multiLevelType w:val="multilevel"/>
    <w:tmpl w:val="AF4877C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2B72E7"/>
    <w:multiLevelType w:val="multilevel"/>
    <w:tmpl w:val="435119A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D2AFC3"/>
    <w:multiLevelType w:val="multilevel"/>
    <w:tmpl w:val="8432CF5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E8E060"/>
    <w:multiLevelType w:val="multilevel"/>
    <w:tmpl w:val="F7AB15D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EEAC394"/>
    <w:multiLevelType w:val="multilevel"/>
    <w:tmpl w:val="62445C0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EA161C"/>
    <w:multiLevelType w:val="hybridMultilevel"/>
    <w:tmpl w:val="C096C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BCBA7B"/>
    <w:multiLevelType w:val="multilevel"/>
    <w:tmpl w:val="AC4E34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0D91BF8"/>
    <w:multiLevelType w:val="multilevel"/>
    <w:tmpl w:val="6343DE4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F62795"/>
    <w:multiLevelType w:val="hybridMultilevel"/>
    <w:tmpl w:val="9094F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037D7E"/>
    <w:multiLevelType w:val="multilevel"/>
    <w:tmpl w:val="075F4EC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B5399"/>
    <w:multiLevelType w:val="multilevel"/>
    <w:tmpl w:val="97D4775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999D3F"/>
    <w:multiLevelType w:val="multilevel"/>
    <w:tmpl w:val="FF357F1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6201C"/>
    <w:multiLevelType w:val="hybridMultilevel"/>
    <w:tmpl w:val="386CD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620329"/>
    <w:multiLevelType w:val="hybridMultilevel"/>
    <w:tmpl w:val="2786B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8349E2"/>
    <w:multiLevelType w:val="hybridMultilevel"/>
    <w:tmpl w:val="2A4E4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A9B93"/>
    <w:multiLevelType w:val="multilevel"/>
    <w:tmpl w:val="611F4FF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881A77"/>
    <w:multiLevelType w:val="multilevel"/>
    <w:tmpl w:val="5CB8BC4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FD46E5"/>
    <w:multiLevelType w:val="hybridMultilevel"/>
    <w:tmpl w:val="61E61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6B49D8"/>
    <w:multiLevelType w:val="multilevel"/>
    <w:tmpl w:val="C1A2E3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CCBF2A5"/>
    <w:multiLevelType w:val="multilevel"/>
    <w:tmpl w:val="C705D2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77052"/>
    <w:multiLevelType w:val="hybridMultilevel"/>
    <w:tmpl w:val="D6C84590"/>
    <w:lvl w:ilvl="0" w:tplc="BF781AB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14DA88B"/>
    <w:multiLevelType w:val="multilevel"/>
    <w:tmpl w:val="5BDE86C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9"/>
  </w:num>
  <w:num w:numId="3">
    <w:abstractNumId w:val="3"/>
  </w:num>
  <w:num w:numId="4">
    <w:abstractNumId w:val="5"/>
  </w:num>
  <w:num w:numId="5">
    <w:abstractNumId w:val="14"/>
  </w:num>
  <w:num w:numId="6">
    <w:abstractNumId w:val="4"/>
  </w:num>
  <w:num w:numId="7">
    <w:abstractNumId w:val="23"/>
  </w:num>
  <w:num w:numId="8">
    <w:abstractNumId w:val="0"/>
  </w:num>
  <w:num w:numId="9">
    <w:abstractNumId w:val="8"/>
  </w:num>
  <w:num w:numId="10">
    <w:abstractNumId w:val="6"/>
  </w:num>
  <w:num w:numId="11">
    <w:abstractNumId w:val="15"/>
  </w:num>
  <w:num w:numId="12">
    <w:abstractNumId w:val="26"/>
  </w:num>
  <w:num w:numId="13">
    <w:abstractNumId w:val="1"/>
  </w:num>
  <w:num w:numId="14">
    <w:abstractNumId w:val="17"/>
  </w:num>
  <w:num w:numId="15">
    <w:abstractNumId w:val="18"/>
  </w:num>
  <w:num w:numId="16">
    <w:abstractNumId w:val="11"/>
  </w:num>
  <w:num w:numId="17">
    <w:abstractNumId w:val="2"/>
  </w:num>
  <w:num w:numId="18">
    <w:abstractNumId w:val="7"/>
  </w:num>
  <w:num w:numId="19">
    <w:abstractNumId w:val="19"/>
  </w:num>
  <w:num w:numId="20">
    <w:abstractNumId w:val="12"/>
  </w:num>
  <w:num w:numId="21">
    <w:abstractNumId w:val="10"/>
  </w:num>
  <w:num w:numId="22">
    <w:abstractNumId w:val="27"/>
  </w:num>
  <w:num w:numId="23">
    <w:abstractNumId w:val="24"/>
  </w:num>
  <w:num w:numId="24">
    <w:abstractNumId w:val="28"/>
  </w:num>
  <w:num w:numId="25">
    <w:abstractNumId w:val="20"/>
  </w:num>
  <w:num w:numId="26">
    <w:abstractNumId w:val="25"/>
  </w:num>
  <w:num w:numId="27">
    <w:abstractNumId w:val="22"/>
  </w:num>
  <w:num w:numId="28">
    <w:abstractNumId w:val="21"/>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5A"/>
    <w:rsid w:val="00015CFC"/>
    <w:rsid w:val="00021825"/>
    <w:rsid w:val="00021A96"/>
    <w:rsid w:val="000359D2"/>
    <w:rsid w:val="00037E8D"/>
    <w:rsid w:val="000829E5"/>
    <w:rsid w:val="000F64B0"/>
    <w:rsid w:val="00182FE2"/>
    <w:rsid w:val="00230DCB"/>
    <w:rsid w:val="00260D7D"/>
    <w:rsid w:val="0026799D"/>
    <w:rsid w:val="002B52E3"/>
    <w:rsid w:val="00310840"/>
    <w:rsid w:val="00326C78"/>
    <w:rsid w:val="0046237E"/>
    <w:rsid w:val="0046385F"/>
    <w:rsid w:val="00510105"/>
    <w:rsid w:val="00523019"/>
    <w:rsid w:val="005A06AC"/>
    <w:rsid w:val="005C2FD3"/>
    <w:rsid w:val="005E545A"/>
    <w:rsid w:val="006063BD"/>
    <w:rsid w:val="006332A6"/>
    <w:rsid w:val="00656B18"/>
    <w:rsid w:val="006A0BC1"/>
    <w:rsid w:val="006C7B10"/>
    <w:rsid w:val="0071770E"/>
    <w:rsid w:val="007525CE"/>
    <w:rsid w:val="00771016"/>
    <w:rsid w:val="007D2BA3"/>
    <w:rsid w:val="007D43B1"/>
    <w:rsid w:val="00803826"/>
    <w:rsid w:val="008607E9"/>
    <w:rsid w:val="008A0A72"/>
    <w:rsid w:val="008A5495"/>
    <w:rsid w:val="008C4A09"/>
    <w:rsid w:val="008E16E2"/>
    <w:rsid w:val="008E72C6"/>
    <w:rsid w:val="008F25E8"/>
    <w:rsid w:val="009011A3"/>
    <w:rsid w:val="0092658E"/>
    <w:rsid w:val="00941807"/>
    <w:rsid w:val="00980C03"/>
    <w:rsid w:val="009A2748"/>
    <w:rsid w:val="009C6F1C"/>
    <w:rsid w:val="009E7BB3"/>
    <w:rsid w:val="00A42557"/>
    <w:rsid w:val="00A46000"/>
    <w:rsid w:val="00A50DC0"/>
    <w:rsid w:val="00AD37CB"/>
    <w:rsid w:val="00B126F3"/>
    <w:rsid w:val="00B17E21"/>
    <w:rsid w:val="00B262F8"/>
    <w:rsid w:val="00B479F1"/>
    <w:rsid w:val="00B858F1"/>
    <w:rsid w:val="00BE38A5"/>
    <w:rsid w:val="00BF0AD9"/>
    <w:rsid w:val="00C34B0A"/>
    <w:rsid w:val="00CB44E9"/>
    <w:rsid w:val="00D948B8"/>
    <w:rsid w:val="00E13438"/>
    <w:rsid w:val="00E539DF"/>
    <w:rsid w:val="00E76156"/>
    <w:rsid w:val="00EE2AE3"/>
    <w:rsid w:val="00F71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E545A"/>
    <w:pPr>
      <w:tabs>
        <w:tab w:val="center" w:pos="4536"/>
        <w:tab w:val="right" w:pos="9072"/>
      </w:tabs>
      <w:spacing w:line="240" w:lineRule="auto"/>
    </w:pPr>
  </w:style>
  <w:style w:type="character" w:customStyle="1" w:styleId="HeaderChar">
    <w:name w:val="Header Char"/>
    <w:basedOn w:val="DefaultParagraphFont"/>
    <w:link w:val="Header"/>
    <w:uiPriority w:val="99"/>
    <w:rsid w:val="005E545A"/>
    <w:rPr>
      <w:rFonts w:ascii="Verdana" w:hAnsi="Verdana"/>
      <w:color w:val="000000"/>
      <w:sz w:val="18"/>
      <w:szCs w:val="18"/>
    </w:rPr>
  </w:style>
  <w:style w:type="paragraph" w:styleId="Footer">
    <w:name w:val="footer"/>
    <w:basedOn w:val="Normal"/>
    <w:link w:val="FooterChar"/>
    <w:uiPriority w:val="99"/>
    <w:unhideWhenUsed/>
    <w:rsid w:val="005E545A"/>
    <w:pPr>
      <w:tabs>
        <w:tab w:val="center" w:pos="4536"/>
        <w:tab w:val="right" w:pos="9072"/>
      </w:tabs>
      <w:spacing w:line="240" w:lineRule="auto"/>
    </w:pPr>
  </w:style>
  <w:style w:type="character" w:customStyle="1" w:styleId="FooterChar">
    <w:name w:val="Footer Char"/>
    <w:basedOn w:val="DefaultParagraphFont"/>
    <w:link w:val="Footer"/>
    <w:uiPriority w:val="99"/>
    <w:rsid w:val="005E545A"/>
    <w:rPr>
      <w:rFonts w:ascii="Verdana" w:hAnsi="Verdana"/>
      <w:color w:val="000000"/>
      <w:sz w:val="18"/>
      <w:szCs w:val="18"/>
    </w:rPr>
  </w:style>
  <w:style w:type="paragraph" w:styleId="ListParagraph">
    <w:name w:val="List Paragraph"/>
    <w:basedOn w:val="Normal"/>
    <w:uiPriority w:val="34"/>
    <w:semiHidden/>
    <w:rsid w:val="005E545A"/>
    <w:pPr>
      <w:ind w:left="720"/>
      <w:contextualSpacing/>
    </w:pPr>
  </w:style>
  <w:style w:type="paragraph" w:styleId="FootnoteText">
    <w:name w:val="footnote text"/>
    <w:basedOn w:val="Normal"/>
    <w:link w:val="FootnoteTextChar"/>
    <w:uiPriority w:val="99"/>
    <w:semiHidden/>
    <w:unhideWhenUsed/>
    <w:rsid w:val="005E545A"/>
    <w:pPr>
      <w:spacing w:line="240" w:lineRule="auto"/>
    </w:pPr>
    <w:rPr>
      <w:sz w:val="20"/>
      <w:szCs w:val="20"/>
    </w:rPr>
  </w:style>
  <w:style w:type="character" w:customStyle="1" w:styleId="FootnoteTextChar">
    <w:name w:val="Footnote Text Char"/>
    <w:basedOn w:val="DefaultParagraphFont"/>
    <w:link w:val="FootnoteText"/>
    <w:uiPriority w:val="99"/>
    <w:semiHidden/>
    <w:rsid w:val="005E545A"/>
    <w:rPr>
      <w:rFonts w:ascii="Verdana" w:hAnsi="Verdana"/>
      <w:color w:val="000000"/>
    </w:rPr>
  </w:style>
  <w:style w:type="character" w:styleId="FootnoteReference">
    <w:name w:val="footnote reference"/>
    <w:aliases w:val="SUPERS,stylish,BVI fnr,Footnote symbol,Char2,Footnote Reference Superscript,Footnote call,(Footnote Reference),Footnote,Voetnootverwijzing,Times 10 Point,Exposant 3 Point,Footnote reference number,note TESI,number,Ref"/>
    <w:basedOn w:val="DefaultParagraphFont"/>
    <w:uiPriority w:val="99"/>
    <w:semiHidden/>
    <w:unhideWhenUsed/>
    <w:rsid w:val="005E545A"/>
    <w:rPr>
      <w:vertAlign w:val="superscript"/>
    </w:rPr>
  </w:style>
  <w:style w:type="table" w:customStyle="1" w:styleId="TableNormal1">
    <w:name w:val="Table Normal1"/>
    <w:uiPriority w:val="2"/>
    <w:semiHidden/>
    <w:unhideWhenUsed/>
    <w:qFormat/>
    <w:rsid w:val="005E545A"/>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545A"/>
    <w:pPr>
      <w:widowControl w:val="0"/>
      <w:autoSpaceDE w:val="0"/>
      <w:spacing w:line="240" w:lineRule="exact"/>
      <w:ind w:left="108"/>
      <w:textAlignment w:val="auto"/>
    </w:pPr>
    <w:rPr>
      <w:rFonts w:eastAsia="Verdana" w:cs="Verdana"/>
      <w:color w:val="auto"/>
      <w:sz w:val="22"/>
      <w:szCs w:val="22"/>
      <w:lang w:eastAsia="en-US"/>
    </w:rPr>
  </w:style>
  <w:style w:type="paragraph" w:customStyle="1" w:styleId="Default">
    <w:name w:val="Default"/>
    <w:rsid w:val="005E545A"/>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230D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37379">
      <w:bodyDiv w:val="1"/>
      <w:marLeft w:val="0"/>
      <w:marRight w:val="0"/>
      <w:marTop w:val="0"/>
      <w:marBottom w:val="0"/>
      <w:divBdr>
        <w:top w:val="none" w:sz="0" w:space="0" w:color="auto"/>
        <w:left w:val="none" w:sz="0" w:space="0" w:color="auto"/>
        <w:bottom w:val="none" w:sz="0" w:space="0" w:color="auto"/>
        <w:right w:val="none" w:sz="0" w:space="0" w:color="auto"/>
      </w:divBdr>
    </w:div>
    <w:div w:id="499277099">
      <w:bodyDiv w:val="1"/>
      <w:marLeft w:val="0"/>
      <w:marRight w:val="0"/>
      <w:marTop w:val="0"/>
      <w:marBottom w:val="0"/>
      <w:divBdr>
        <w:top w:val="none" w:sz="0" w:space="0" w:color="auto"/>
        <w:left w:val="none" w:sz="0" w:space="0" w:color="auto"/>
        <w:bottom w:val="none" w:sz="0" w:space="0" w:color="auto"/>
        <w:right w:val="none" w:sz="0" w:space="0" w:color="auto"/>
      </w:divBdr>
    </w:div>
    <w:div w:id="1457023480">
      <w:bodyDiv w:val="1"/>
      <w:marLeft w:val="0"/>
      <w:marRight w:val="0"/>
      <w:marTop w:val="0"/>
      <w:marBottom w:val="0"/>
      <w:divBdr>
        <w:top w:val="none" w:sz="0" w:space="0" w:color="auto"/>
        <w:left w:val="none" w:sz="0" w:space="0" w:color="auto"/>
        <w:bottom w:val="none" w:sz="0" w:space="0" w:color="auto"/>
        <w:right w:val="none" w:sz="0" w:space="0" w:color="auto"/>
      </w:divBdr>
    </w:div>
    <w:div w:id="1512404360">
      <w:bodyDiv w:val="1"/>
      <w:marLeft w:val="0"/>
      <w:marRight w:val="0"/>
      <w:marTop w:val="0"/>
      <w:marBottom w:val="0"/>
      <w:divBdr>
        <w:top w:val="none" w:sz="0" w:space="0" w:color="auto"/>
        <w:left w:val="none" w:sz="0" w:space="0" w:color="auto"/>
        <w:bottom w:val="none" w:sz="0" w:space="0" w:color="auto"/>
        <w:right w:val="none" w:sz="0" w:space="0" w:color="auto"/>
      </w:divBdr>
    </w:div>
    <w:div w:id="1969697697">
      <w:bodyDiv w:val="1"/>
      <w:marLeft w:val="0"/>
      <w:marRight w:val="0"/>
      <w:marTop w:val="0"/>
      <w:marBottom w:val="0"/>
      <w:divBdr>
        <w:top w:val="none" w:sz="0" w:space="0" w:color="auto"/>
        <w:left w:val="none" w:sz="0" w:space="0" w:color="auto"/>
        <w:bottom w:val="none" w:sz="0" w:space="0" w:color="auto"/>
        <w:right w:val="none" w:sz="0" w:space="0" w:color="auto"/>
      </w:divBdr>
    </w:div>
    <w:div w:id="1990789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ommissiemer.nl/docs/mer/p38/p3806/a3806tsea.pdf" TargetMode="External"/><Relationship Id="rId1" Type="http://schemas.openxmlformats.org/officeDocument/2006/relationships/hyperlink" Target="https://www.commissiemer.nl/docs/mer/p38/p3806/a3806vt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2730</ap:Words>
  <ap:Characters>15562</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Brief aan Parlement - Partieel Herziene Programma Noordzee 2022-2027</vt:lpstr>
    </vt:vector>
  </ap:TitlesOfParts>
  <ap:LinksUpToDate>false</ap:LinksUpToDate>
  <ap:CharactersWithSpaces>18256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2026-03-20T08:54:00.0000000Z</dcterms:created>
  <dcterms:modified xsi:type="dcterms:W3CDTF">2026-03-20T08:54:00.0000000Z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Partieel Herziene Programma Noordzee 2022-2027</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P.J.J. Steenbergen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