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04AD" w:rsidR="00557F15" w:rsidP="00557F15" w:rsidRDefault="004145D1" w14:paraId="3F371F57" w14:textId="440FFC87">
      <w:pPr>
        <w:spacing w:line="276" w:lineRule="auto"/>
        <w:rPr>
          <w:color w:val="auto"/>
        </w:rPr>
      </w:pPr>
      <w:r w:rsidRPr="007204AD">
        <w:rPr>
          <w:color w:val="auto"/>
        </w:rPr>
        <w:t>Met</w:t>
      </w:r>
      <w:r w:rsidRPr="007204AD" w:rsidR="003A75D3">
        <w:rPr>
          <w:color w:val="auto"/>
        </w:rPr>
        <w:t xml:space="preserve"> </w:t>
      </w:r>
      <w:r w:rsidRPr="007204AD" w:rsidR="00402E68">
        <w:rPr>
          <w:color w:val="auto"/>
        </w:rPr>
        <w:t xml:space="preserve">deze voortgangsbrief informeer ik uw Kamer over </w:t>
      </w:r>
      <w:r w:rsidRPr="007204AD" w:rsidR="00521629">
        <w:rPr>
          <w:color w:val="auto"/>
        </w:rPr>
        <w:t xml:space="preserve">de aanpak van de capaciteitsdruk binnen de forensische zorg en </w:t>
      </w:r>
      <w:r w:rsidRPr="007204AD" w:rsidR="00381DB5">
        <w:rPr>
          <w:color w:val="auto"/>
        </w:rPr>
        <w:t xml:space="preserve">over </w:t>
      </w:r>
      <w:r w:rsidRPr="007204AD" w:rsidR="00354D59">
        <w:rPr>
          <w:color w:val="auto"/>
        </w:rPr>
        <w:t>andere</w:t>
      </w:r>
      <w:r w:rsidRPr="007204AD" w:rsidR="00521629">
        <w:rPr>
          <w:color w:val="auto"/>
        </w:rPr>
        <w:t xml:space="preserve"> relevante</w:t>
      </w:r>
      <w:r w:rsidRPr="007204AD" w:rsidR="00151BDE">
        <w:rPr>
          <w:color w:val="auto"/>
        </w:rPr>
        <w:t xml:space="preserve"> </w:t>
      </w:r>
      <w:r w:rsidRPr="007204AD" w:rsidR="00402E68">
        <w:rPr>
          <w:color w:val="auto"/>
        </w:rPr>
        <w:t xml:space="preserve">ontwikkelingen </w:t>
      </w:r>
      <w:r w:rsidRPr="007204AD" w:rsidR="00521629">
        <w:rPr>
          <w:color w:val="auto"/>
        </w:rPr>
        <w:t>op dit terrein</w:t>
      </w:r>
      <w:r w:rsidRPr="007204AD" w:rsidR="00402E68">
        <w:rPr>
          <w:color w:val="auto"/>
        </w:rPr>
        <w:t>.</w:t>
      </w:r>
      <w:r w:rsidRPr="007204AD" w:rsidR="00557F15">
        <w:rPr>
          <w:color w:val="auto"/>
        </w:rPr>
        <w:t xml:space="preserve"> Uit eigen ervaring weet ik dat de forensische zorg essentieel is voor de veiligheid van onze samenleving.</w:t>
      </w:r>
      <w:r w:rsidRPr="007204AD" w:rsidR="00F469FE">
        <w:rPr>
          <w:color w:val="auto"/>
        </w:rPr>
        <w:t xml:space="preserve"> We mogen trots zijn op dit goed functionerende stelsel.</w:t>
      </w:r>
      <w:r w:rsidRPr="007204AD" w:rsidR="00CC6FD9">
        <w:rPr>
          <w:color w:val="auto"/>
        </w:rPr>
        <w:t xml:space="preserve"> De laatste jaren is de beschikbare capaciteit van de forensische zorg steeds meer onder druk komen te staan. Hoewel er de afgelopen jaren ook in capaciteit is uitgebreid, zijn er meer inspanningen nodig.</w:t>
      </w:r>
      <w:r w:rsidRPr="007204AD" w:rsidR="00557F15">
        <w:rPr>
          <w:color w:val="auto"/>
        </w:rPr>
        <w:t xml:space="preserve"> </w:t>
      </w:r>
      <w:r w:rsidRPr="007204AD" w:rsidR="00344751">
        <w:rPr>
          <w:color w:val="auto"/>
        </w:rPr>
        <w:t xml:space="preserve">De grenzen van het stelsel zijn in zicht. </w:t>
      </w:r>
      <w:r w:rsidRPr="007204AD" w:rsidR="00557F15">
        <w:rPr>
          <w:color w:val="auto"/>
        </w:rPr>
        <w:t xml:space="preserve">Deze kabinetsperiode wil ik dan ook benutten om stappen te zetten om de capaciteit te vergroten en de door- en uitstroom in de forensische zorg te verbeteren. Ik zet de lopende maatregelen voort en zal bovendien de volgende aanvullende maatregelen verkennen: </w:t>
      </w:r>
    </w:p>
    <w:p w:rsidRPr="007204AD" w:rsidR="00557F15" w:rsidP="00557F15" w:rsidRDefault="00557F15" w14:paraId="40BA2E9D" w14:textId="4B02F0C9">
      <w:pPr>
        <w:pStyle w:val="Lijstalinea"/>
        <w:numPr>
          <w:ilvl w:val="0"/>
          <w:numId w:val="30"/>
        </w:numPr>
        <w:spacing w:line="276" w:lineRule="auto"/>
        <w:rPr>
          <w:color w:val="auto"/>
        </w:rPr>
      </w:pPr>
      <w:r w:rsidRPr="007204AD">
        <w:rPr>
          <w:color w:val="auto"/>
        </w:rPr>
        <w:t xml:space="preserve">Het inrichten van een borgstelsel </w:t>
      </w:r>
      <w:r w:rsidRPr="007204AD" w:rsidR="00354F91">
        <w:rPr>
          <w:color w:val="auto"/>
        </w:rPr>
        <w:t>(</w:t>
      </w:r>
      <w:r w:rsidRPr="007204AD" w:rsidR="00F822D7">
        <w:rPr>
          <w:color w:val="auto"/>
        </w:rPr>
        <w:t>een stelsel waarin een</w:t>
      </w:r>
      <w:r w:rsidRPr="007204AD" w:rsidR="00D652C7">
        <w:rPr>
          <w:color w:val="auto"/>
        </w:rPr>
        <w:t xml:space="preserve"> onafhankelijke</w:t>
      </w:r>
      <w:r w:rsidRPr="007204AD" w:rsidR="00F822D7">
        <w:rPr>
          <w:color w:val="auto"/>
        </w:rPr>
        <w:t xml:space="preserve"> instantie garant staat voor leningen van zorgaanbieders bij een geldverstrekker) </w:t>
      </w:r>
      <w:r w:rsidRPr="007204AD">
        <w:rPr>
          <w:color w:val="auto"/>
        </w:rPr>
        <w:t>voor de lager beveiligde klinische zorg</w:t>
      </w:r>
      <w:r w:rsidRPr="007204AD" w:rsidR="00F822D7">
        <w:rPr>
          <w:color w:val="auto"/>
        </w:rPr>
        <w:t xml:space="preserve">. Hierdoor kunnen financiële belemmeringen worden </w:t>
      </w:r>
      <w:r w:rsidRPr="007204AD" w:rsidR="00D652C7">
        <w:rPr>
          <w:color w:val="auto"/>
        </w:rPr>
        <w:t>verminderd</w:t>
      </w:r>
      <w:r w:rsidRPr="007204AD" w:rsidR="00F822D7">
        <w:rPr>
          <w:color w:val="auto"/>
        </w:rPr>
        <w:t xml:space="preserve">, wat ten goede komt aan capaciteitsuitbreiding; </w:t>
      </w:r>
    </w:p>
    <w:p w:rsidRPr="007204AD" w:rsidR="00557F15" w:rsidP="00F822D7" w:rsidRDefault="00557F15" w14:paraId="419B06FD" w14:textId="250A784D">
      <w:pPr>
        <w:pStyle w:val="Lijstalinea"/>
        <w:numPr>
          <w:ilvl w:val="0"/>
          <w:numId w:val="30"/>
        </w:numPr>
        <w:spacing w:line="276" w:lineRule="auto"/>
        <w:rPr>
          <w:color w:val="auto"/>
        </w:rPr>
      </w:pPr>
      <w:r w:rsidRPr="007204AD">
        <w:rPr>
          <w:color w:val="auto"/>
        </w:rPr>
        <w:t xml:space="preserve">Een verkenning naar de marktordening en financiering van forensische zorg, met als belangrijk doel dat </w:t>
      </w:r>
      <w:r w:rsidRPr="007204AD" w:rsidR="00F822D7">
        <w:rPr>
          <w:color w:val="auto"/>
        </w:rPr>
        <w:t xml:space="preserve">dit bijdraagt </w:t>
      </w:r>
      <w:r w:rsidRPr="007204AD" w:rsidR="00F822D7">
        <w:t>aan de toegankelijkheid en betaalbaarheid van de forensische zorg</w:t>
      </w:r>
      <w:r w:rsidRPr="007204AD" w:rsidR="00997EF2">
        <w:t>;</w:t>
      </w:r>
    </w:p>
    <w:p w:rsidRPr="007204AD" w:rsidR="00557F15" w:rsidP="00557F15" w:rsidRDefault="00557F15" w14:paraId="7367FC76" w14:textId="10DBA9DF">
      <w:pPr>
        <w:pStyle w:val="Lijstalinea"/>
        <w:numPr>
          <w:ilvl w:val="0"/>
          <w:numId w:val="30"/>
        </w:numPr>
        <w:spacing w:line="276" w:lineRule="auto"/>
        <w:rPr>
          <w:color w:val="auto"/>
        </w:rPr>
      </w:pPr>
      <w:r w:rsidRPr="007204AD">
        <w:rPr>
          <w:color w:val="auto"/>
        </w:rPr>
        <w:t>De mogelijkheden om tijdens verblijf in de gevangenis, in afwachting van plaatsing in een tbs-kliniek, tbs-gestelden voor te bereiden op de behandeling;</w:t>
      </w:r>
    </w:p>
    <w:p w:rsidRPr="007204AD" w:rsidR="00557F15" w:rsidP="00557F15" w:rsidRDefault="00557F15" w14:paraId="774D31ED" w14:textId="77777777">
      <w:pPr>
        <w:pStyle w:val="Lijstalinea"/>
        <w:numPr>
          <w:ilvl w:val="0"/>
          <w:numId w:val="30"/>
        </w:numPr>
        <w:spacing w:line="276" w:lineRule="auto"/>
        <w:rPr>
          <w:color w:val="auto"/>
        </w:rPr>
      </w:pPr>
      <w:r w:rsidRPr="007204AD">
        <w:rPr>
          <w:color w:val="auto"/>
        </w:rPr>
        <w:t>Het inrichten van een innovatiefonds voor de forensische zorg;</w:t>
      </w:r>
    </w:p>
    <w:p w:rsidRPr="007204AD" w:rsidR="00557F15" w:rsidP="00557F15" w:rsidRDefault="00557F15" w14:paraId="67814310" w14:textId="68483AB7">
      <w:pPr>
        <w:pStyle w:val="Lijstalinea"/>
        <w:numPr>
          <w:ilvl w:val="0"/>
          <w:numId w:val="30"/>
        </w:numPr>
        <w:spacing w:line="276" w:lineRule="auto"/>
        <w:rPr>
          <w:color w:val="auto"/>
        </w:rPr>
      </w:pPr>
      <w:r w:rsidRPr="007204AD">
        <w:rPr>
          <w:color w:val="auto"/>
        </w:rPr>
        <w:t>Versnelde doorstroom van specifieke groepen in de forensische zorg</w:t>
      </w:r>
      <w:r w:rsidRPr="007204AD" w:rsidR="00997EF2">
        <w:rPr>
          <w:color w:val="auto"/>
        </w:rPr>
        <w:t>;</w:t>
      </w:r>
      <w:r w:rsidRPr="007204AD">
        <w:rPr>
          <w:color w:val="auto"/>
        </w:rPr>
        <w:t xml:space="preserve"> en</w:t>
      </w:r>
    </w:p>
    <w:p w:rsidRPr="007204AD" w:rsidR="00557F15" w:rsidP="00557F15" w:rsidRDefault="00557F15" w14:paraId="64F6A14A" w14:textId="77777777">
      <w:pPr>
        <w:pStyle w:val="Lijstalinea"/>
        <w:numPr>
          <w:ilvl w:val="0"/>
          <w:numId w:val="30"/>
        </w:numPr>
        <w:spacing w:line="276" w:lineRule="auto"/>
        <w:rPr>
          <w:color w:val="auto"/>
        </w:rPr>
      </w:pPr>
      <w:r w:rsidRPr="007204AD">
        <w:rPr>
          <w:color w:val="auto"/>
        </w:rPr>
        <w:t>Verbeterde uitstroom naar gemeenten.</w:t>
      </w:r>
    </w:p>
    <w:p w:rsidRPr="007204AD" w:rsidR="00557F15" w:rsidP="00557F15" w:rsidRDefault="00557F15" w14:paraId="649683F9" w14:textId="77777777">
      <w:pPr>
        <w:pStyle w:val="Lijstalinea"/>
        <w:spacing w:line="276" w:lineRule="auto"/>
        <w:rPr>
          <w:color w:val="auto"/>
        </w:rPr>
      </w:pPr>
    </w:p>
    <w:p w:rsidRPr="007204AD" w:rsidR="00557F15" w:rsidP="00D168A6" w:rsidRDefault="00557F15" w14:paraId="1E2AEE33" w14:textId="74D4E0EB">
      <w:pPr>
        <w:spacing w:line="276" w:lineRule="auto"/>
        <w:rPr>
          <w:color w:val="auto"/>
        </w:rPr>
      </w:pPr>
      <w:r w:rsidRPr="007204AD">
        <w:rPr>
          <w:color w:val="auto"/>
        </w:rPr>
        <w:t>In deze brief ga ik in op de lopende maatregelen</w:t>
      </w:r>
      <w:r w:rsidRPr="007204AD" w:rsidR="00CC6FD9">
        <w:rPr>
          <w:color w:val="auto"/>
        </w:rPr>
        <w:t xml:space="preserve"> </w:t>
      </w:r>
      <w:r w:rsidRPr="007204AD">
        <w:rPr>
          <w:color w:val="auto"/>
        </w:rPr>
        <w:t>en licht ik deze verkenningen verder toe. Daarbij ga ik ook in op het voornemen van dit kabinet om</w:t>
      </w:r>
      <w:r w:rsidRPr="007204AD">
        <w:t xml:space="preserve"> patiënten die op strafrechtelijke titel forensische zorg ontvangen, een eigen bijdrage te laten betalen.</w:t>
      </w:r>
      <w:r w:rsidRPr="007204AD" w:rsidR="00015AF3">
        <w:rPr>
          <w:color w:val="auto"/>
        </w:rPr>
        <w:t xml:space="preserve"> Daarbij deel ik ook de impactanalyse van uitvoeringsorganisatie </w:t>
      </w:r>
      <w:r w:rsidRPr="007204AD" w:rsidR="00015AF3">
        <w:t>CAK op het voornemen uit het Coalitieakkoord om patiënten in de forensische zorg een eigen bijdrage laten betalen (bijlage II).</w:t>
      </w:r>
    </w:p>
    <w:p w:rsidRPr="007204AD" w:rsidR="00376310" w:rsidP="00D168A6" w:rsidRDefault="00376310" w14:paraId="5701FFA3" w14:textId="77777777">
      <w:pPr>
        <w:spacing w:line="276" w:lineRule="auto"/>
        <w:rPr>
          <w:color w:val="auto"/>
        </w:rPr>
      </w:pPr>
    </w:p>
    <w:p w:rsidRPr="007204AD" w:rsidR="00B87E77" w:rsidP="00D168A6" w:rsidRDefault="001B6C4B" w14:paraId="344AA526" w14:textId="2BD6B61E">
      <w:pPr>
        <w:spacing w:line="276" w:lineRule="auto"/>
        <w:rPr>
          <w:color w:val="auto"/>
        </w:rPr>
      </w:pPr>
      <w:r w:rsidRPr="007204AD">
        <w:rPr>
          <w:color w:val="auto"/>
        </w:rPr>
        <w:t>In</w:t>
      </w:r>
      <w:r w:rsidRPr="007204AD" w:rsidR="00557F15">
        <w:rPr>
          <w:color w:val="auto"/>
        </w:rPr>
        <w:t xml:space="preserve"> </w:t>
      </w:r>
      <w:r w:rsidRPr="007204AD">
        <w:rPr>
          <w:color w:val="auto"/>
        </w:rPr>
        <w:t>bijlage I</w:t>
      </w:r>
      <w:r w:rsidRPr="007204AD" w:rsidR="00C777E8">
        <w:rPr>
          <w:color w:val="auto"/>
        </w:rPr>
        <w:t xml:space="preserve"> (</w:t>
      </w:r>
      <w:r w:rsidRPr="007204AD" w:rsidR="00267D52">
        <w:rPr>
          <w:color w:val="auto"/>
        </w:rPr>
        <w:t>A</w:t>
      </w:r>
      <w:r w:rsidRPr="007204AD" w:rsidR="00C777E8">
        <w:rPr>
          <w:color w:val="auto"/>
        </w:rPr>
        <w:t xml:space="preserve"> </w:t>
      </w:r>
      <w:r w:rsidRPr="007204AD" w:rsidR="00267D52">
        <w:rPr>
          <w:color w:val="auto"/>
        </w:rPr>
        <w:t>t/m</w:t>
      </w:r>
      <w:r w:rsidRPr="007204AD" w:rsidR="00C777E8">
        <w:rPr>
          <w:color w:val="auto"/>
        </w:rPr>
        <w:t xml:space="preserve"> </w:t>
      </w:r>
      <w:r w:rsidRPr="007204AD" w:rsidR="00267D52">
        <w:rPr>
          <w:color w:val="auto"/>
        </w:rPr>
        <w:t>G</w:t>
      </w:r>
      <w:r w:rsidRPr="007204AD" w:rsidR="00C777E8">
        <w:rPr>
          <w:color w:val="auto"/>
        </w:rPr>
        <w:t>)</w:t>
      </w:r>
      <w:r w:rsidRPr="007204AD">
        <w:rPr>
          <w:color w:val="auto"/>
        </w:rPr>
        <w:t xml:space="preserve"> van deze brief </w:t>
      </w:r>
      <w:r w:rsidRPr="007204AD" w:rsidR="00354D59">
        <w:rPr>
          <w:color w:val="auto"/>
        </w:rPr>
        <w:t>ga ik in op deze andere</w:t>
      </w:r>
      <w:r w:rsidRPr="007204AD" w:rsidR="00483A72">
        <w:rPr>
          <w:color w:val="auto"/>
        </w:rPr>
        <w:t xml:space="preserve"> relevante ontwikkelingen</w:t>
      </w:r>
      <w:r w:rsidRPr="007204AD" w:rsidR="00376310">
        <w:rPr>
          <w:color w:val="auto"/>
        </w:rPr>
        <w:t xml:space="preserve">. Ik ga in op het verzoek van de Vaste Kamer Commissie </w:t>
      </w:r>
      <w:proofErr w:type="gramStart"/>
      <w:r w:rsidRPr="007204AD" w:rsidR="00376310">
        <w:rPr>
          <w:color w:val="auto"/>
        </w:rPr>
        <w:t>omtrent</w:t>
      </w:r>
      <w:proofErr w:type="gramEnd"/>
      <w:r w:rsidRPr="007204AD" w:rsidR="00376310">
        <w:rPr>
          <w:color w:val="auto"/>
        </w:rPr>
        <w:t xml:space="preserve"> de brief van de bewonersvereniging Den Dolder </w:t>
      </w:r>
      <w:r w:rsidRPr="007204AD" w:rsidR="00354D59">
        <w:rPr>
          <w:color w:val="auto"/>
        </w:rPr>
        <w:t xml:space="preserve">en daarnaast kom ik </w:t>
      </w:r>
      <w:r w:rsidRPr="007204AD">
        <w:rPr>
          <w:color w:val="auto"/>
        </w:rPr>
        <w:t xml:space="preserve">terug op toezeggingen die zijn gedaan in </w:t>
      </w:r>
      <w:r w:rsidRPr="007204AD" w:rsidR="00FF35A8">
        <w:rPr>
          <w:color w:val="auto"/>
        </w:rPr>
        <w:t xml:space="preserve">het commissiedebat tbs van 18 december 2024 en </w:t>
      </w:r>
      <w:r w:rsidRPr="007204AD">
        <w:rPr>
          <w:color w:val="auto"/>
        </w:rPr>
        <w:lastRenderedPageBreak/>
        <w:t xml:space="preserve">in </w:t>
      </w:r>
      <w:r w:rsidRPr="007204AD" w:rsidR="00FF35A8">
        <w:rPr>
          <w:color w:val="auto"/>
        </w:rPr>
        <w:t>de</w:t>
      </w:r>
      <w:r w:rsidRPr="007204AD" w:rsidR="00574F79">
        <w:rPr>
          <w:color w:val="auto"/>
        </w:rPr>
        <w:t xml:space="preserve"> </w:t>
      </w:r>
      <w:r w:rsidRPr="007204AD" w:rsidR="00FF35A8">
        <w:rPr>
          <w:color w:val="auto"/>
        </w:rPr>
        <w:t xml:space="preserve">voortgangsbrief </w:t>
      </w:r>
      <w:r w:rsidRPr="007204AD" w:rsidR="008C3952">
        <w:rPr>
          <w:color w:val="auto"/>
        </w:rPr>
        <w:t xml:space="preserve">forensische zorg </w:t>
      </w:r>
      <w:r w:rsidRPr="007204AD" w:rsidR="00FF35A8">
        <w:rPr>
          <w:color w:val="auto"/>
        </w:rPr>
        <w:t xml:space="preserve">van </w:t>
      </w:r>
      <w:r w:rsidR="003B00B2">
        <w:rPr>
          <w:color w:val="auto"/>
        </w:rPr>
        <w:t>1 juli</w:t>
      </w:r>
      <w:r w:rsidRPr="007204AD" w:rsidR="00FF35A8">
        <w:rPr>
          <w:color w:val="auto"/>
        </w:rPr>
        <w:t xml:space="preserve"> 2025</w:t>
      </w:r>
      <w:r w:rsidRPr="007204AD" w:rsidR="00995888">
        <w:rPr>
          <w:color w:val="auto"/>
        </w:rPr>
        <w:t xml:space="preserve">. </w:t>
      </w:r>
      <w:r w:rsidRPr="007204AD">
        <w:rPr>
          <w:color w:val="auto"/>
        </w:rPr>
        <w:t xml:space="preserve">Daarnaast deel ik </w:t>
      </w:r>
      <w:r w:rsidRPr="007204AD" w:rsidR="00BE38AC">
        <w:rPr>
          <w:color w:val="auto"/>
        </w:rPr>
        <w:t xml:space="preserve">mijn </w:t>
      </w:r>
      <w:r w:rsidRPr="007204AD" w:rsidR="003D6C6F">
        <w:rPr>
          <w:color w:val="auto"/>
        </w:rPr>
        <w:t>beleidsreactie</w:t>
      </w:r>
      <w:r w:rsidRPr="007204AD" w:rsidR="00BE38AC">
        <w:rPr>
          <w:color w:val="auto"/>
        </w:rPr>
        <w:t>s</w:t>
      </w:r>
      <w:r w:rsidRPr="007204AD" w:rsidR="003D6C6F">
        <w:rPr>
          <w:color w:val="auto"/>
        </w:rPr>
        <w:t xml:space="preserve"> op </w:t>
      </w:r>
      <w:r w:rsidRPr="007204AD" w:rsidR="00BE38AC">
        <w:rPr>
          <w:color w:val="auto"/>
        </w:rPr>
        <w:t xml:space="preserve">de twee rapporten van het </w:t>
      </w:r>
      <w:r w:rsidRPr="007204AD" w:rsidR="00BE38AC">
        <w:t xml:space="preserve">Wetenschappelijk Onderzoeks- en </w:t>
      </w:r>
      <w:proofErr w:type="gramStart"/>
      <w:r w:rsidRPr="007204AD" w:rsidR="00BE38AC">
        <w:t>Data centrum</w:t>
      </w:r>
      <w:proofErr w:type="gramEnd"/>
      <w:r w:rsidRPr="007204AD" w:rsidR="00BE38AC">
        <w:t xml:space="preserve"> (WODC)</w:t>
      </w:r>
      <w:r w:rsidRPr="007204AD" w:rsidR="00ED0398">
        <w:t>:</w:t>
      </w:r>
      <w:r w:rsidRPr="007204AD" w:rsidR="00BE38AC">
        <w:t xml:space="preserve"> </w:t>
      </w:r>
      <w:r w:rsidRPr="007204AD" w:rsidR="00BE38AC">
        <w:rPr>
          <w:color w:val="auto"/>
        </w:rPr>
        <w:t>‘</w:t>
      </w:r>
      <w:r w:rsidRPr="007204AD" w:rsidR="00354D59">
        <w:rPr>
          <w:color w:val="auto"/>
        </w:rPr>
        <w:t>E</w:t>
      </w:r>
      <w:r w:rsidRPr="007204AD" w:rsidR="00BE38AC">
        <w:rPr>
          <w:color w:val="auto"/>
        </w:rPr>
        <w:t>en veelkleurig vergezicht’ (bijlage II</w:t>
      </w:r>
      <w:r w:rsidRPr="007204AD" w:rsidR="00C924F5">
        <w:rPr>
          <w:color w:val="auto"/>
        </w:rPr>
        <w:t>I</w:t>
      </w:r>
      <w:r w:rsidRPr="007204AD" w:rsidR="00BE38AC">
        <w:rPr>
          <w:color w:val="auto"/>
        </w:rPr>
        <w:t>) en</w:t>
      </w:r>
      <w:r w:rsidRPr="007204AD" w:rsidR="003D6C6F">
        <w:rPr>
          <w:color w:val="auto"/>
        </w:rPr>
        <w:t xml:space="preserve"> ‘Inzicht in toezicht; tbs-gestelden langdurig(er) voorwaardelijk vrij’ (bijlage I</w:t>
      </w:r>
      <w:r w:rsidRPr="007204AD" w:rsidR="00C924F5">
        <w:rPr>
          <w:color w:val="auto"/>
        </w:rPr>
        <w:t>V</w:t>
      </w:r>
      <w:r w:rsidRPr="007204AD" w:rsidR="003D6C6F">
        <w:rPr>
          <w:color w:val="auto"/>
        </w:rPr>
        <w:t>)</w:t>
      </w:r>
      <w:r w:rsidRPr="007204AD" w:rsidR="00ED0398">
        <w:rPr>
          <w:color w:val="auto"/>
        </w:rPr>
        <w:t>. T</w:t>
      </w:r>
      <w:r w:rsidRPr="007204AD" w:rsidR="00D83585">
        <w:rPr>
          <w:color w:val="auto"/>
        </w:rPr>
        <w:t>ot slot</w:t>
      </w:r>
      <w:r w:rsidRPr="007204AD" w:rsidR="00ED0398">
        <w:rPr>
          <w:color w:val="auto"/>
        </w:rPr>
        <w:t xml:space="preserve"> </w:t>
      </w:r>
      <w:r w:rsidRPr="007204AD" w:rsidDel="00376310" w:rsidR="00521629">
        <w:rPr>
          <w:color w:val="auto"/>
        </w:rPr>
        <w:t xml:space="preserve">is </w:t>
      </w:r>
      <w:r w:rsidRPr="007204AD" w:rsidDel="00376310" w:rsidR="00ED0398">
        <w:rPr>
          <w:color w:val="auto"/>
        </w:rPr>
        <w:t xml:space="preserve">bij deze </w:t>
      </w:r>
      <w:r w:rsidRPr="007204AD" w:rsidDel="00376310" w:rsidR="00521629">
        <w:rPr>
          <w:color w:val="auto"/>
        </w:rPr>
        <w:t>voortgangs</w:t>
      </w:r>
      <w:r w:rsidRPr="007204AD" w:rsidDel="00376310" w:rsidR="00ED0398">
        <w:rPr>
          <w:color w:val="auto"/>
        </w:rPr>
        <w:t>brief</w:t>
      </w:r>
      <w:r w:rsidRPr="007204AD" w:rsidDel="00376310" w:rsidR="003D6C6F">
        <w:rPr>
          <w:color w:val="auto"/>
        </w:rPr>
        <w:t xml:space="preserve"> de staat van de forensische zorg</w:t>
      </w:r>
      <w:r w:rsidRPr="007204AD" w:rsidDel="00376310" w:rsidR="00521629">
        <w:rPr>
          <w:color w:val="auto"/>
        </w:rPr>
        <w:t xml:space="preserve"> bijgevoegd</w:t>
      </w:r>
      <w:r w:rsidRPr="007204AD" w:rsidDel="00376310" w:rsidR="00ED0398">
        <w:rPr>
          <w:color w:val="auto"/>
        </w:rPr>
        <w:t xml:space="preserve">, waarin de belangrijkste cijfermatige ontwikkelingen worden </w:t>
      </w:r>
      <w:r w:rsidRPr="007204AD" w:rsidDel="00376310" w:rsidR="00521629">
        <w:rPr>
          <w:color w:val="auto"/>
        </w:rPr>
        <w:t>weer</w:t>
      </w:r>
      <w:r w:rsidRPr="007204AD" w:rsidDel="00376310" w:rsidR="00ED0398">
        <w:rPr>
          <w:color w:val="auto"/>
        </w:rPr>
        <w:t>gegeven</w:t>
      </w:r>
      <w:r w:rsidRPr="007204AD" w:rsidDel="00376310" w:rsidR="003D6C6F">
        <w:rPr>
          <w:color w:val="auto"/>
        </w:rPr>
        <w:t xml:space="preserve"> (bijlage V).</w:t>
      </w:r>
    </w:p>
    <w:p w:rsidRPr="007204AD" w:rsidR="00D168A6" w:rsidP="00D168A6" w:rsidRDefault="00D168A6" w14:paraId="725965CD" w14:textId="77777777">
      <w:pPr>
        <w:spacing w:line="276" w:lineRule="auto"/>
        <w:rPr>
          <w:color w:val="auto"/>
        </w:rPr>
      </w:pPr>
    </w:p>
    <w:p w:rsidRPr="007204AD" w:rsidR="003A75D3" w:rsidP="00B87E77" w:rsidRDefault="000A325F" w14:paraId="67D4276A" w14:textId="1A6A35F3">
      <w:pPr>
        <w:pStyle w:val="Lijstalinea"/>
        <w:numPr>
          <w:ilvl w:val="0"/>
          <w:numId w:val="7"/>
        </w:numPr>
        <w:spacing w:line="276" w:lineRule="auto"/>
        <w:rPr>
          <w:b/>
          <w:bCs/>
        </w:rPr>
      </w:pPr>
      <w:r w:rsidRPr="007204AD">
        <w:rPr>
          <w:b/>
          <w:bCs/>
        </w:rPr>
        <w:t>D</w:t>
      </w:r>
      <w:r w:rsidRPr="007204AD" w:rsidR="0020408C">
        <w:rPr>
          <w:b/>
          <w:bCs/>
        </w:rPr>
        <w:t>uiding problematiek</w:t>
      </w:r>
    </w:p>
    <w:p w:rsidRPr="007204AD" w:rsidR="008E2282" w:rsidP="00B87E77" w:rsidRDefault="001B6C4B" w14:paraId="7AEF961A" w14:textId="25C58FB5">
      <w:pPr>
        <w:spacing w:line="276" w:lineRule="auto"/>
        <w:rPr>
          <w:color w:val="auto"/>
        </w:rPr>
      </w:pPr>
      <w:r w:rsidRPr="007204AD">
        <w:rPr>
          <w:color w:val="auto"/>
        </w:rPr>
        <w:t>F</w:t>
      </w:r>
      <w:r w:rsidRPr="007204AD" w:rsidR="00A860EC">
        <w:rPr>
          <w:color w:val="auto"/>
        </w:rPr>
        <w:t xml:space="preserve">orensische zorg </w:t>
      </w:r>
      <w:r w:rsidRPr="007204AD">
        <w:rPr>
          <w:color w:val="auto"/>
        </w:rPr>
        <w:t xml:space="preserve">is </w:t>
      </w:r>
      <w:r w:rsidRPr="007204AD" w:rsidR="00A860EC">
        <w:rPr>
          <w:color w:val="auto"/>
        </w:rPr>
        <w:t>essentieel</w:t>
      </w:r>
      <w:r w:rsidRPr="007204AD" w:rsidR="00A26DD0">
        <w:rPr>
          <w:color w:val="auto"/>
        </w:rPr>
        <w:t xml:space="preserve"> </w:t>
      </w:r>
      <w:r w:rsidRPr="007204AD" w:rsidR="00A860EC">
        <w:rPr>
          <w:color w:val="auto"/>
        </w:rPr>
        <w:t xml:space="preserve">voor de veiligheid van </w:t>
      </w:r>
      <w:r w:rsidRPr="007204AD" w:rsidR="0010289B">
        <w:rPr>
          <w:color w:val="auto"/>
        </w:rPr>
        <w:t>onze samenleving</w:t>
      </w:r>
      <w:r w:rsidRPr="007204AD" w:rsidR="00A860EC">
        <w:rPr>
          <w:color w:val="auto"/>
        </w:rPr>
        <w:t xml:space="preserve">. </w:t>
      </w:r>
      <w:r w:rsidRPr="007204AD" w:rsidR="00ED0398">
        <w:rPr>
          <w:color w:val="auto"/>
        </w:rPr>
        <w:t>Personen met een psychiatrische ziekte, een verstandelijke beperking</w:t>
      </w:r>
      <w:r w:rsidRPr="007204AD">
        <w:rPr>
          <w:color w:val="auto"/>
        </w:rPr>
        <w:t xml:space="preserve"> of</w:t>
      </w:r>
      <w:r w:rsidRPr="007204AD" w:rsidR="00ED0398">
        <w:rPr>
          <w:color w:val="auto"/>
        </w:rPr>
        <w:t xml:space="preserve"> verslavingsproblematiek plegen</w:t>
      </w:r>
      <w:r w:rsidRPr="007204AD" w:rsidR="00BA6E0E">
        <w:rPr>
          <w:color w:val="auto"/>
        </w:rPr>
        <w:t xml:space="preserve"> </w:t>
      </w:r>
      <w:r w:rsidRPr="007204AD" w:rsidR="00ED0398">
        <w:rPr>
          <w:color w:val="auto"/>
        </w:rPr>
        <w:t xml:space="preserve">soms heftige misdrijven. </w:t>
      </w:r>
      <w:r w:rsidRPr="007204AD" w:rsidR="00245885">
        <w:rPr>
          <w:color w:val="auto"/>
        </w:rPr>
        <w:t>Het is daarom</w:t>
      </w:r>
      <w:r w:rsidRPr="007204AD" w:rsidR="003317BF">
        <w:rPr>
          <w:color w:val="auto"/>
        </w:rPr>
        <w:t xml:space="preserve"> van belang dat de daders</w:t>
      </w:r>
      <w:r w:rsidRPr="007204AD" w:rsidR="00245885">
        <w:rPr>
          <w:color w:val="auto"/>
        </w:rPr>
        <w:t>, naast een eventuele straf, ook</w:t>
      </w:r>
      <w:r w:rsidRPr="007204AD" w:rsidR="003317BF">
        <w:rPr>
          <w:color w:val="auto"/>
        </w:rPr>
        <w:t xml:space="preserve"> verplichte zorg </w:t>
      </w:r>
      <w:r w:rsidRPr="007204AD" w:rsidR="00D652C7">
        <w:rPr>
          <w:color w:val="auto"/>
        </w:rPr>
        <w:t xml:space="preserve">zoals tbs </w:t>
      </w:r>
      <w:r w:rsidRPr="007204AD" w:rsidR="003317BF">
        <w:rPr>
          <w:color w:val="auto"/>
        </w:rPr>
        <w:t>of zorg binnen een voorwaardelijk kader ontvangen</w:t>
      </w:r>
      <w:r w:rsidRPr="007204AD" w:rsidR="00ED0398">
        <w:rPr>
          <w:color w:val="auto"/>
        </w:rPr>
        <w:t xml:space="preserve">, </w:t>
      </w:r>
      <w:r w:rsidRPr="007204AD" w:rsidR="00557F15">
        <w:rPr>
          <w:color w:val="auto"/>
        </w:rPr>
        <w:t>meestal</w:t>
      </w:r>
      <w:r w:rsidRPr="007204AD" w:rsidR="00ED0398">
        <w:rPr>
          <w:color w:val="auto"/>
        </w:rPr>
        <w:t xml:space="preserve"> in een beveiligde setting. De</w:t>
      </w:r>
      <w:r w:rsidRPr="007204AD" w:rsidR="00E14B28">
        <w:rPr>
          <w:color w:val="auto"/>
        </w:rPr>
        <w:t>ze</w:t>
      </w:r>
      <w:r w:rsidRPr="007204AD" w:rsidR="00ED0398">
        <w:rPr>
          <w:color w:val="auto"/>
        </w:rPr>
        <w:t xml:space="preserve"> zorg is gericht op het </w:t>
      </w:r>
      <w:r w:rsidRPr="007204AD" w:rsidR="00245885">
        <w:rPr>
          <w:color w:val="auto"/>
        </w:rPr>
        <w:t xml:space="preserve">herstel van de </w:t>
      </w:r>
      <w:r w:rsidRPr="007204AD" w:rsidR="00E05A1F">
        <w:rPr>
          <w:color w:val="auto"/>
        </w:rPr>
        <w:t>patiënt</w:t>
      </w:r>
      <w:r w:rsidRPr="007204AD" w:rsidR="00FE0826">
        <w:rPr>
          <w:color w:val="auto"/>
        </w:rPr>
        <w:t>,</w:t>
      </w:r>
      <w:r w:rsidRPr="007204AD" w:rsidR="00381DB5">
        <w:rPr>
          <w:color w:val="auto"/>
        </w:rPr>
        <w:t xml:space="preserve"> het</w:t>
      </w:r>
      <w:r w:rsidRPr="007204AD" w:rsidR="00245885">
        <w:rPr>
          <w:color w:val="auto"/>
        </w:rPr>
        <w:t xml:space="preserve"> </w:t>
      </w:r>
      <w:r w:rsidRPr="007204AD" w:rsidR="00354F91">
        <w:rPr>
          <w:color w:val="auto"/>
        </w:rPr>
        <w:t>verminderen</w:t>
      </w:r>
      <w:r w:rsidRPr="007204AD" w:rsidR="00ED0398">
        <w:rPr>
          <w:color w:val="auto"/>
        </w:rPr>
        <w:t xml:space="preserve"> van het recidive-risico</w:t>
      </w:r>
      <w:r w:rsidRPr="007204AD" w:rsidR="00245885">
        <w:rPr>
          <w:color w:val="auto"/>
        </w:rPr>
        <w:t>, en daarmee het voorkomen van slachtoffers</w:t>
      </w:r>
      <w:r w:rsidRPr="007204AD" w:rsidR="00656461">
        <w:rPr>
          <w:color w:val="auto"/>
        </w:rPr>
        <w:t>,</w:t>
      </w:r>
      <w:r w:rsidRPr="007204AD" w:rsidR="00245885">
        <w:rPr>
          <w:color w:val="auto"/>
        </w:rPr>
        <w:t xml:space="preserve"> en</w:t>
      </w:r>
      <w:r w:rsidRPr="007204AD" w:rsidR="00656461">
        <w:rPr>
          <w:color w:val="auto"/>
        </w:rPr>
        <w:t xml:space="preserve"> een veilige terugkeer in de </w:t>
      </w:r>
      <w:r w:rsidRPr="007204AD" w:rsidR="0010289B">
        <w:rPr>
          <w:color w:val="auto"/>
        </w:rPr>
        <w:t>samenleving</w:t>
      </w:r>
      <w:r w:rsidRPr="007204AD" w:rsidR="00245885">
        <w:rPr>
          <w:color w:val="auto"/>
        </w:rPr>
        <w:t>.</w:t>
      </w:r>
      <w:r w:rsidRPr="007204AD" w:rsidR="0010289B">
        <w:rPr>
          <w:color w:val="auto"/>
        </w:rPr>
        <w:t xml:space="preserve"> Om recidive te voorkomen, is niet alleen een goede behandeling binnen de forensische zorg cruciaal, maar ook dat </w:t>
      </w:r>
      <w:r w:rsidRPr="007204AD" w:rsidR="004377D0">
        <w:rPr>
          <w:color w:val="auto"/>
        </w:rPr>
        <w:t>mensen</w:t>
      </w:r>
      <w:r w:rsidRPr="007204AD" w:rsidR="0010289B">
        <w:rPr>
          <w:color w:val="auto"/>
        </w:rPr>
        <w:t xml:space="preserve"> </w:t>
      </w:r>
      <w:r w:rsidRPr="007204AD" w:rsidR="0020408C">
        <w:rPr>
          <w:color w:val="auto"/>
        </w:rPr>
        <w:t xml:space="preserve">na afloop van de behandeling </w:t>
      </w:r>
      <w:r w:rsidRPr="007204AD" w:rsidR="0010289B">
        <w:rPr>
          <w:color w:val="auto"/>
        </w:rPr>
        <w:t>weer worden ing</w:t>
      </w:r>
      <w:r w:rsidRPr="007204AD" w:rsidR="00841C14">
        <w:rPr>
          <w:color w:val="auto"/>
        </w:rPr>
        <w:t>evlochten</w:t>
      </w:r>
      <w:r w:rsidRPr="007204AD" w:rsidR="0010289B">
        <w:rPr>
          <w:color w:val="auto"/>
        </w:rPr>
        <w:t xml:space="preserve"> in het sociaal </w:t>
      </w:r>
      <w:r w:rsidRPr="007204AD" w:rsidR="00841C14">
        <w:rPr>
          <w:color w:val="auto"/>
        </w:rPr>
        <w:t>weefsel</w:t>
      </w:r>
      <w:r w:rsidRPr="007204AD" w:rsidR="0010289B">
        <w:rPr>
          <w:color w:val="auto"/>
        </w:rPr>
        <w:t xml:space="preserve"> van de maatschappij, bijvoorbeeld als werknemer of vrijwilliger, </w:t>
      </w:r>
      <w:r w:rsidRPr="007204AD" w:rsidR="0020408C">
        <w:rPr>
          <w:color w:val="auto"/>
        </w:rPr>
        <w:t>of</w:t>
      </w:r>
      <w:r w:rsidRPr="007204AD" w:rsidR="0010289B">
        <w:rPr>
          <w:color w:val="auto"/>
        </w:rPr>
        <w:t xml:space="preserve"> als inwoner van een gemeente. </w:t>
      </w:r>
      <w:r w:rsidRPr="007204AD" w:rsidR="00557F15">
        <w:rPr>
          <w:color w:val="auto"/>
        </w:rPr>
        <w:t>Dat is</w:t>
      </w:r>
      <w:r w:rsidRPr="007204AD" w:rsidR="0010289B">
        <w:rPr>
          <w:color w:val="auto"/>
        </w:rPr>
        <w:t xml:space="preserve"> niet altijd gemakkelijk: heftige misdrijven beschadigen het </w:t>
      </w:r>
      <w:r w:rsidRPr="007204AD" w:rsidR="006C2C0F">
        <w:rPr>
          <w:color w:val="auto"/>
        </w:rPr>
        <w:t>vertrouwen</w:t>
      </w:r>
      <w:r w:rsidRPr="007204AD" w:rsidR="0010289B">
        <w:rPr>
          <w:color w:val="auto"/>
        </w:rPr>
        <w:t xml:space="preserve"> van de samenleving en laten diepe sporen na in de levens van slachtoffers en nabestaanden.</w:t>
      </w:r>
      <w:r w:rsidRPr="007204AD" w:rsidR="0020408C">
        <w:rPr>
          <w:color w:val="auto"/>
        </w:rPr>
        <w:t xml:space="preserve"> Wij zullen on</w:t>
      </w:r>
      <w:r w:rsidRPr="007204AD" w:rsidR="00D1433E">
        <w:rPr>
          <w:color w:val="auto"/>
        </w:rPr>
        <w:t xml:space="preserve">s </w:t>
      </w:r>
      <w:r w:rsidRPr="007204AD" w:rsidR="00364A47">
        <w:rPr>
          <w:color w:val="auto"/>
        </w:rPr>
        <w:t xml:space="preserve">als maatschappij </w:t>
      </w:r>
      <w:r w:rsidRPr="007204AD" w:rsidR="00D1433E">
        <w:rPr>
          <w:color w:val="auto"/>
        </w:rPr>
        <w:t xml:space="preserve">samen </w:t>
      </w:r>
      <w:r w:rsidRPr="007204AD" w:rsidR="0020408C">
        <w:rPr>
          <w:color w:val="auto"/>
        </w:rPr>
        <w:t xml:space="preserve">moeten inspannen om </w:t>
      </w:r>
      <w:r w:rsidRPr="007204AD" w:rsidR="00557F15">
        <w:rPr>
          <w:color w:val="auto"/>
        </w:rPr>
        <w:t xml:space="preserve">terugkeer in de samenleving voor deze groep zo goed mogelijk te laten verlopen. </w:t>
      </w:r>
    </w:p>
    <w:p w:rsidRPr="007204AD" w:rsidR="00ED0398" w:rsidP="00B87E77" w:rsidRDefault="00ED0398" w14:paraId="57DDCF8E" w14:textId="77777777">
      <w:pPr>
        <w:spacing w:line="276" w:lineRule="auto"/>
        <w:rPr>
          <w:color w:val="auto"/>
        </w:rPr>
      </w:pPr>
    </w:p>
    <w:p w:rsidRPr="007204AD" w:rsidR="00F32DDC" w:rsidP="00B87E77" w:rsidRDefault="00ED74C5" w14:paraId="6966E4B1" w14:textId="11F02540">
      <w:pPr>
        <w:spacing w:line="276" w:lineRule="auto"/>
        <w:rPr>
          <w:color w:val="auto"/>
        </w:rPr>
      </w:pPr>
      <w:r w:rsidRPr="007204AD">
        <w:rPr>
          <w:color w:val="auto"/>
        </w:rPr>
        <w:t xml:space="preserve">Om de veiligheid van </w:t>
      </w:r>
      <w:r w:rsidRPr="007204AD" w:rsidR="00557F15">
        <w:rPr>
          <w:color w:val="auto"/>
        </w:rPr>
        <w:t>onze</w:t>
      </w:r>
      <w:r w:rsidRPr="007204AD">
        <w:rPr>
          <w:color w:val="auto"/>
        </w:rPr>
        <w:t xml:space="preserve"> maatschappij te bewaken,</w:t>
      </w:r>
      <w:r w:rsidRPr="007204AD" w:rsidR="001B6C4B">
        <w:rPr>
          <w:color w:val="auto"/>
        </w:rPr>
        <w:t xml:space="preserve"> is het van groot belang dat </w:t>
      </w:r>
      <w:r w:rsidRPr="007204AD" w:rsidR="00A860EC">
        <w:rPr>
          <w:color w:val="auto"/>
        </w:rPr>
        <w:t xml:space="preserve">forensische </w:t>
      </w:r>
      <w:r w:rsidRPr="007204AD" w:rsidR="00E05A1F">
        <w:rPr>
          <w:color w:val="auto"/>
        </w:rPr>
        <w:t xml:space="preserve">patiënten </w:t>
      </w:r>
      <w:r w:rsidRPr="007204AD" w:rsidR="00A860EC">
        <w:rPr>
          <w:color w:val="auto"/>
        </w:rPr>
        <w:t xml:space="preserve">tijdig en </w:t>
      </w:r>
      <w:r w:rsidRPr="007204AD" w:rsidR="00574F79">
        <w:rPr>
          <w:color w:val="auto"/>
        </w:rPr>
        <w:t>adequaat</w:t>
      </w:r>
      <w:r w:rsidRPr="007204AD" w:rsidR="00A860EC">
        <w:rPr>
          <w:color w:val="auto"/>
        </w:rPr>
        <w:t xml:space="preserve"> </w:t>
      </w:r>
      <w:r w:rsidRPr="007204AD" w:rsidR="005A517B">
        <w:rPr>
          <w:color w:val="auto"/>
        </w:rPr>
        <w:t xml:space="preserve">worden </w:t>
      </w:r>
      <w:r w:rsidRPr="007204AD" w:rsidR="003317BF">
        <w:rPr>
          <w:color w:val="auto"/>
        </w:rPr>
        <w:t xml:space="preserve">begeleid en/of behandeld. </w:t>
      </w:r>
      <w:r w:rsidRPr="007204AD" w:rsidR="009B6793">
        <w:rPr>
          <w:color w:val="auto"/>
        </w:rPr>
        <w:t>Hiervoor</w:t>
      </w:r>
      <w:r w:rsidRPr="007204AD" w:rsidR="009F2C2B">
        <w:rPr>
          <w:color w:val="auto"/>
        </w:rPr>
        <w:t xml:space="preserve"> is</w:t>
      </w:r>
      <w:r w:rsidRPr="007204AD" w:rsidR="005A517B">
        <w:rPr>
          <w:color w:val="auto"/>
        </w:rPr>
        <w:t xml:space="preserve"> het niet alleen </w:t>
      </w:r>
      <w:r w:rsidRPr="007204AD" w:rsidR="00E14B28">
        <w:rPr>
          <w:color w:val="auto"/>
        </w:rPr>
        <w:t>noodzakelijk</w:t>
      </w:r>
      <w:r w:rsidRPr="007204AD" w:rsidR="009F2C2B">
        <w:rPr>
          <w:color w:val="auto"/>
        </w:rPr>
        <w:t xml:space="preserve"> dat er voldoende plekken zijn</w:t>
      </w:r>
      <w:r w:rsidRPr="007204AD" w:rsidR="005A517B">
        <w:rPr>
          <w:color w:val="auto"/>
        </w:rPr>
        <w:t>, maar ook</w:t>
      </w:r>
      <w:r w:rsidRPr="007204AD" w:rsidR="008C3952">
        <w:rPr>
          <w:color w:val="auto"/>
        </w:rPr>
        <w:t xml:space="preserve"> </w:t>
      </w:r>
      <w:r w:rsidRPr="007204AD" w:rsidR="009F2C2B">
        <w:rPr>
          <w:color w:val="auto"/>
        </w:rPr>
        <w:t xml:space="preserve">dat </w:t>
      </w:r>
      <w:r w:rsidRPr="007204AD" w:rsidR="00574F79">
        <w:rPr>
          <w:color w:val="auto"/>
        </w:rPr>
        <w:t xml:space="preserve">er </w:t>
      </w:r>
      <w:r w:rsidRPr="007204AD" w:rsidR="009F2C2B">
        <w:rPr>
          <w:color w:val="auto"/>
        </w:rPr>
        <w:t>personeel beschikbaar en blijvend inzetbaar i</w:t>
      </w:r>
      <w:r w:rsidRPr="007204AD" w:rsidR="00574F79">
        <w:rPr>
          <w:color w:val="auto"/>
        </w:rPr>
        <w:t>s</w:t>
      </w:r>
      <w:r w:rsidRPr="007204AD" w:rsidR="009F2C2B">
        <w:rPr>
          <w:color w:val="auto"/>
        </w:rPr>
        <w:t xml:space="preserve">. </w:t>
      </w:r>
      <w:bookmarkStart w:name="_Hlk221795300" w:id="0"/>
      <w:r w:rsidRPr="007204AD" w:rsidR="007F018C">
        <w:rPr>
          <w:color w:val="auto"/>
        </w:rPr>
        <w:t xml:space="preserve">De afgelopen </w:t>
      </w:r>
      <w:r w:rsidRPr="007204AD" w:rsidR="00C619E9">
        <w:rPr>
          <w:color w:val="auto"/>
        </w:rPr>
        <w:t xml:space="preserve">jaren </w:t>
      </w:r>
      <w:r w:rsidRPr="007204AD" w:rsidR="004145D1">
        <w:rPr>
          <w:color w:val="auto"/>
        </w:rPr>
        <w:t>is</w:t>
      </w:r>
      <w:r w:rsidRPr="007204AD" w:rsidR="007F018C">
        <w:rPr>
          <w:color w:val="auto"/>
        </w:rPr>
        <w:t xml:space="preserve"> de </w:t>
      </w:r>
      <w:r w:rsidRPr="007204AD" w:rsidR="00C619E9">
        <w:rPr>
          <w:color w:val="auto"/>
        </w:rPr>
        <w:t xml:space="preserve">beschikbare </w:t>
      </w:r>
      <w:r w:rsidRPr="007204AD" w:rsidR="007F018C">
        <w:rPr>
          <w:color w:val="auto"/>
        </w:rPr>
        <w:t xml:space="preserve">capaciteit </w:t>
      </w:r>
      <w:r w:rsidRPr="007204AD" w:rsidR="009A3C32">
        <w:rPr>
          <w:color w:val="auto"/>
        </w:rPr>
        <w:t>van de forensische zorg steeds meer onder druk</w:t>
      </w:r>
      <w:r w:rsidRPr="007204AD" w:rsidR="004145D1">
        <w:rPr>
          <w:color w:val="auto"/>
        </w:rPr>
        <w:t xml:space="preserve"> komen te staan</w:t>
      </w:r>
      <w:r w:rsidRPr="007204AD" w:rsidR="009A3C32">
        <w:rPr>
          <w:color w:val="auto"/>
        </w:rPr>
        <w:t>. Dit heeft meerdere oorzaken.</w:t>
      </w:r>
      <w:r w:rsidRPr="007204AD" w:rsidR="003A289A">
        <w:rPr>
          <w:color w:val="auto"/>
        </w:rPr>
        <w:t xml:space="preserve"> </w:t>
      </w:r>
      <w:r w:rsidRPr="007204AD" w:rsidR="00D854FE">
        <w:rPr>
          <w:color w:val="auto"/>
        </w:rPr>
        <w:t xml:space="preserve">Ten </w:t>
      </w:r>
      <w:r w:rsidRPr="007204AD" w:rsidR="00D652C7">
        <w:rPr>
          <w:color w:val="auto"/>
        </w:rPr>
        <w:t xml:space="preserve">eerste </w:t>
      </w:r>
      <w:r w:rsidRPr="007204AD" w:rsidR="00D854FE">
        <w:rPr>
          <w:color w:val="auto"/>
        </w:rPr>
        <w:t xml:space="preserve">is sinds 2018 </w:t>
      </w:r>
      <w:r w:rsidRPr="007204AD" w:rsidR="00381DB5">
        <w:rPr>
          <w:color w:val="auto"/>
        </w:rPr>
        <w:t>het aantal tbs-opleggingen</w:t>
      </w:r>
      <w:r w:rsidRPr="007204AD" w:rsidR="00D854FE">
        <w:rPr>
          <w:color w:val="auto"/>
        </w:rPr>
        <w:t xml:space="preserve"> toegenomen, terwijl de uitstroom vrijwel gelijk is gebleven in dezelfde periode.</w:t>
      </w:r>
      <w:r w:rsidRPr="007204AD" w:rsidR="00896A6D">
        <w:rPr>
          <w:rStyle w:val="Voetnootmarkering"/>
          <w:color w:val="auto"/>
        </w:rPr>
        <w:footnoteReference w:id="1"/>
      </w:r>
      <w:r w:rsidRPr="007204AD" w:rsidR="00D652C7">
        <w:rPr>
          <w:color w:val="auto"/>
        </w:rPr>
        <w:t xml:space="preserve">Daarbij komt dat </w:t>
      </w:r>
      <w:proofErr w:type="spellStart"/>
      <w:r w:rsidRPr="007204AD" w:rsidR="00D652C7">
        <w:rPr>
          <w:color w:val="auto"/>
        </w:rPr>
        <w:t>daarvòòr</w:t>
      </w:r>
      <w:proofErr w:type="spellEnd"/>
      <w:r w:rsidRPr="007204AD" w:rsidR="00D652C7">
        <w:rPr>
          <w:color w:val="auto"/>
        </w:rPr>
        <w:t xml:space="preserve">, in de periode 2013-2016, tbs-klinieken gesloten en/of </w:t>
      </w:r>
      <w:proofErr w:type="spellStart"/>
      <w:r w:rsidRPr="007204AD" w:rsidR="00D652C7">
        <w:rPr>
          <w:color w:val="auto"/>
        </w:rPr>
        <w:t>herbestemd</w:t>
      </w:r>
      <w:proofErr w:type="spellEnd"/>
      <w:r w:rsidRPr="007204AD" w:rsidR="00D652C7">
        <w:rPr>
          <w:color w:val="auto"/>
        </w:rPr>
        <w:t xml:space="preserve"> werden vanwege een teruglopende instroom, waardoor er zo’n 370 tbs-plekken zijn verdwenen</w:t>
      </w:r>
      <w:r w:rsidRPr="007204AD" w:rsidR="003A289A">
        <w:rPr>
          <w:color w:val="auto"/>
        </w:rPr>
        <w:t>.</w:t>
      </w:r>
      <w:r w:rsidRPr="007204AD" w:rsidR="00896A6D">
        <w:rPr>
          <w:color w:val="auto"/>
        </w:rPr>
        <w:t xml:space="preserve"> </w:t>
      </w:r>
      <w:bookmarkEnd w:id="0"/>
      <w:r w:rsidRPr="007204AD" w:rsidR="00D652C7">
        <w:rPr>
          <w:color w:val="auto"/>
        </w:rPr>
        <w:t>Tot slot is de gemiddelde behandelduur ook toegenomen in de afgelopen jaren als gevolg van complexere problematiek.</w:t>
      </w:r>
      <w:r w:rsidRPr="007204AD" w:rsidR="003A289A">
        <w:rPr>
          <w:color w:val="auto"/>
        </w:rPr>
        <w:t xml:space="preserve"> </w:t>
      </w:r>
      <w:r w:rsidRPr="007204AD" w:rsidR="0020408C">
        <w:rPr>
          <w:color w:val="auto"/>
        </w:rPr>
        <w:t xml:space="preserve">Hoewel </w:t>
      </w:r>
      <w:r w:rsidRPr="007204AD" w:rsidR="00896A6D">
        <w:rPr>
          <w:color w:val="auto"/>
        </w:rPr>
        <w:t xml:space="preserve">de </w:t>
      </w:r>
      <w:proofErr w:type="gramStart"/>
      <w:r w:rsidRPr="007204AD" w:rsidR="00896A6D">
        <w:rPr>
          <w:color w:val="auto"/>
        </w:rPr>
        <w:t>tbs bezetting</w:t>
      </w:r>
      <w:proofErr w:type="gramEnd"/>
      <w:r w:rsidRPr="007204AD" w:rsidR="00896A6D">
        <w:rPr>
          <w:color w:val="auto"/>
        </w:rPr>
        <w:t xml:space="preserve"> </w:t>
      </w:r>
      <w:r w:rsidRPr="007204AD" w:rsidR="00D652C7">
        <w:rPr>
          <w:color w:val="auto"/>
        </w:rPr>
        <w:t>de laatste jaren</w:t>
      </w:r>
      <w:r w:rsidRPr="007204AD" w:rsidR="004145D1">
        <w:rPr>
          <w:color w:val="auto"/>
        </w:rPr>
        <w:t xml:space="preserve"> </w:t>
      </w:r>
      <w:r w:rsidRPr="007204AD" w:rsidR="00F32DDC">
        <w:rPr>
          <w:color w:val="auto"/>
        </w:rPr>
        <w:t xml:space="preserve">met </w:t>
      </w:r>
      <w:r w:rsidRPr="007204AD" w:rsidR="004145D1">
        <w:rPr>
          <w:color w:val="auto"/>
        </w:rPr>
        <w:t>c</w:t>
      </w:r>
      <w:r w:rsidRPr="007204AD" w:rsidR="00E66089">
        <w:rPr>
          <w:color w:val="auto"/>
        </w:rPr>
        <w:t>irca</w:t>
      </w:r>
      <w:r w:rsidRPr="007204AD" w:rsidR="004145D1">
        <w:rPr>
          <w:color w:val="auto"/>
        </w:rPr>
        <w:t xml:space="preserve"> </w:t>
      </w:r>
      <w:r w:rsidRPr="007204AD" w:rsidR="00F32DDC">
        <w:rPr>
          <w:color w:val="auto"/>
        </w:rPr>
        <w:t>350</w:t>
      </w:r>
      <w:r w:rsidRPr="007204AD" w:rsidR="004145D1">
        <w:rPr>
          <w:color w:val="auto"/>
        </w:rPr>
        <w:t xml:space="preserve"> tbs-plekken</w:t>
      </w:r>
      <w:r w:rsidRPr="007204AD" w:rsidR="00F32DDC">
        <w:rPr>
          <w:color w:val="auto"/>
        </w:rPr>
        <w:t xml:space="preserve"> is </w:t>
      </w:r>
      <w:r w:rsidRPr="007204AD" w:rsidR="00896A6D">
        <w:rPr>
          <w:color w:val="auto"/>
        </w:rPr>
        <w:t>toegenomen</w:t>
      </w:r>
      <w:r w:rsidRPr="007204AD" w:rsidR="00F32DDC">
        <w:rPr>
          <w:color w:val="auto"/>
        </w:rPr>
        <w:t xml:space="preserve">, is </w:t>
      </w:r>
      <w:r w:rsidRPr="007204AD" w:rsidR="00656461">
        <w:rPr>
          <w:color w:val="auto"/>
        </w:rPr>
        <w:t xml:space="preserve">er </w:t>
      </w:r>
      <w:r w:rsidRPr="007204AD" w:rsidR="00896A6D">
        <w:rPr>
          <w:color w:val="auto"/>
        </w:rPr>
        <w:t xml:space="preserve">nog steeds </w:t>
      </w:r>
      <w:r w:rsidRPr="007204AD" w:rsidR="00656461">
        <w:rPr>
          <w:color w:val="auto"/>
        </w:rPr>
        <w:t>een</w:t>
      </w:r>
      <w:r w:rsidRPr="007204AD" w:rsidR="00583E07">
        <w:rPr>
          <w:color w:val="auto"/>
        </w:rPr>
        <w:t xml:space="preserve"> </w:t>
      </w:r>
      <w:r w:rsidRPr="007204AD" w:rsidR="004145D1">
        <w:rPr>
          <w:color w:val="auto"/>
        </w:rPr>
        <w:t xml:space="preserve">nijpend </w:t>
      </w:r>
      <w:r w:rsidRPr="007204AD" w:rsidR="00656461">
        <w:rPr>
          <w:color w:val="auto"/>
        </w:rPr>
        <w:t xml:space="preserve">tekort </w:t>
      </w:r>
      <w:r w:rsidRPr="007204AD" w:rsidR="00C619E9">
        <w:rPr>
          <w:color w:val="auto"/>
        </w:rPr>
        <w:t xml:space="preserve">aan </w:t>
      </w:r>
      <w:r w:rsidRPr="007204AD" w:rsidR="005E1CFE">
        <w:rPr>
          <w:color w:val="auto"/>
        </w:rPr>
        <w:t>beveiligde plekken in de forensische zorg</w:t>
      </w:r>
      <w:r w:rsidRPr="007204AD" w:rsidR="00474E77">
        <w:rPr>
          <w:color w:val="auto"/>
        </w:rPr>
        <w:t xml:space="preserve"> </w:t>
      </w:r>
      <w:r w:rsidRPr="007204AD" w:rsidR="00896A6D">
        <w:rPr>
          <w:color w:val="auto"/>
        </w:rPr>
        <w:t xml:space="preserve">(waaronder tbs) </w:t>
      </w:r>
      <w:r w:rsidRPr="007204AD" w:rsidR="00474E77">
        <w:rPr>
          <w:color w:val="auto"/>
        </w:rPr>
        <w:t>en er is sprake van personele krapte.</w:t>
      </w:r>
      <w:r w:rsidRPr="007204AD" w:rsidR="005E1CFE">
        <w:rPr>
          <w:color w:val="auto"/>
        </w:rPr>
        <w:t xml:space="preserve"> </w:t>
      </w:r>
    </w:p>
    <w:p w:rsidRPr="007204AD" w:rsidR="00F32DDC" w:rsidP="00B87E77" w:rsidRDefault="00F32DDC" w14:paraId="2882EF4C" w14:textId="77777777">
      <w:pPr>
        <w:spacing w:line="276" w:lineRule="auto"/>
        <w:rPr>
          <w:color w:val="auto"/>
        </w:rPr>
      </w:pPr>
    </w:p>
    <w:p w:rsidRPr="007204AD" w:rsidR="00B36AFB" w:rsidP="00B87E77" w:rsidRDefault="00AB3C76" w14:paraId="5A8C9261" w14:textId="4356F8E4">
      <w:pPr>
        <w:spacing w:line="276" w:lineRule="auto"/>
        <w:rPr>
          <w:color w:val="auto"/>
        </w:rPr>
      </w:pPr>
      <w:bookmarkStart w:name="_Hlk223004868" w:id="1"/>
      <w:r w:rsidRPr="007204AD">
        <w:rPr>
          <w:color w:val="auto"/>
        </w:rPr>
        <w:t>In de forensisch psychiatrische centra (</w:t>
      </w:r>
      <w:proofErr w:type="spellStart"/>
      <w:r w:rsidRPr="007204AD">
        <w:rPr>
          <w:color w:val="auto"/>
        </w:rPr>
        <w:t>FPC’s</w:t>
      </w:r>
      <w:proofErr w:type="spellEnd"/>
      <w:r w:rsidRPr="007204AD">
        <w:rPr>
          <w:color w:val="auto"/>
        </w:rPr>
        <w:t>), ook wel tbs-klinieken ge</w:t>
      </w:r>
      <w:r w:rsidRPr="007204AD" w:rsidR="00421AF4">
        <w:rPr>
          <w:color w:val="auto"/>
        </w:rPr>
        <w:t>noemd</w:t>
      </w:r>
      <w:r w:rsidRPr="007204AD">
        <w:rPr>
          <w:color w:val="auto"/>
        </w:rPr>
        <w:t>, is het tekort aan bedden</w:t>
      </w:r>
      <w:r w:rsidRPr="007204AD" w:rsidR="00EE771C">
        <w:rPr>
          <w:color w:val="auto"/>
        </w:rPr>
        <w:t xml:space="preserve"> op hoogste beveiligingsniveau</w:t>
      </w:r>
      <w:r w:rsidRPr="007204AD">
        <w:rPr>
          <w:color w:val="auto"/>
        </w:rPr>
        <w:t xml:space="preserve"> het grootst. </w:t>
      </w:r>
      <w:r w:rsidRPr="007204AD" w:rsidR="00155220">
        <w:rPr>
          <w:color w:val="auto"/>
        </w:rPr>
        <w:t xml:space="preserve">Op </w:t>
      </w:r>
      <w:bookmarkEnd w:id="1"/>
      <w:r w:rsidRPr="007204AD" w:rsidR="00155220">
        <w:rPr>
          <w:color w:val="auto"/>
        </w:rPr>
        <w:t>dit moment</w:t>
      </w:r>
      <w:r w:rsidRPr="007204AD" w:rsidR="00656461">
        <w:rPr>
          <w:color w:val="auto"/>
        </w:rPr>
        <w:t xml:space="preserve"> wachten </w:t>
      </w:r>
      <w:proofErr w:type="gramStart"/>
      <w:r w:rsidRPr="007204AD" w:rsidR="00656461">
        <w:rPr>
          <w:color w:val="auto"/>
        </w:rPr>
        <w:t>circa</w:t>
      </w:r>
      <w:proofErr w:type="gramEnd"/>
      <w:r w:rsidRPr="007204AD" w:rsidR="00656461">
        <w:rPr>
          <w:color w:val="auto"/>
        </w:rPr>
        <w:t xml:space="preserve"> 27</w:t>
      </w:r>
      <w:r w:rsidRPr="007204AD" w:rsidR="00574106">
        <w:rPr>
          <w:color w:val="auto"/>
        </w:rPr>
        <w:t>0</w:t>
      </w:r>
      <w:r w:rsidRPr="007204AD" w:rsidR="00015AF3">
        <w:rPr>
          <w:color w:val="auto"/>
        </w:rPr>
        <w:t xml:space="preserve"> zogeheten tbs-passanten</w:t>
      </w:r>
      <w:r w:rsidRPr="007204AD" w:rsidR="00656461">
        <w:rPr>
          <w:color w:val="auto"/>
        </w:rPr>
        <w:t xml:space="preserve"> in een penitentiaire inrichting</w:t>
      </w:r>
      <w:r w:rsidRPr="007204AD" w:rsidR="00CC6BEA">
        <w:rPr>
          <w:color w:val="auto"/>
        </w:rPr>
        <w:t xml:space="preserve"> (PI)</w:t>
      </w:r>
      <w:r w:rsidRPr="007204AD" w:rsidR="00656461">
        <w:rPr>
          <w:color w:val="auto"/>
        </w:rPr>
        <w:t xml:space="preserve"> op een behandeling in een FPC</w:t>
      </w:r>
      <w:r w:rsidRPr="007204AD" w:rsidR="00421AF4">
        <w:rPr>
          <w:color w:val="auto"/>
        </w:rPr>
        <w:t>.</w:t>
      </w:r>
      <w:r w:rsidRPr="007204AD" w:rsidR="00015AF3">
        <w:rPr>
          <w:color w:val="auto"/>
        </w:rPr>
        <w:t xml:space="preserve"> </w:t>
      </w:r>
      <w:r w:rsidRPr="007204AD" w:rsidR="00421AF4">
        <w:rPr>
          <w:color w:val="auto"/>
        </w:rPr>
        <w:t xml:space="preserve">Dit heeft een aantal </w:t>
      </w:r>
      <w:r w:rsidRPr="007204AD" w:rsidR="00E14B28">
        <w:rPr>
          <w:color w:val="auto"/>
        </w:rPr>
        <w:t>consequenties</w:t>
      </w:r>
      <w:r w:rsidRPr="007204AD" w:rsidR="00421AF4">
        <w:rPr>
          <w:color w:val="auto"/>
        </w:rPr>
        <w:t xml:space="preserve">. Ten eerste kan de tbs-behandeling niet aanvangen tijdens detentie. De </w:t>
      </w:r>
      <w:r w:rsidRPr="007204AD" w:rsidR="00B36AFB">
        <w:rPr>
          <w:color w:val="auto"/>
        </w:rPr>
        <w:t>tbs-gestelde</w:t>
      </w:r>
      <w:r w:rsidRPr="007204AD" w:rsidR="00421AF4">
        <w:rPr>
          <w:color w:val="auto"/>
        </w:rPr>
        <w:t xml:space="preserve"> wacht in deze periode dus op de start van de behandeling. </w:t>
      </w:r>
      <w:r w:rsidRPr="007204AD" w:rsidR="00B36AFB">
        <w:rPr>
          <w:color w:val="auto"/>
        </w:rPr>
        <w:t>Aangezien</w:t>
      </w:r>
      <w:r w:rsidRPr="007204AD" w:rsidR="00421AF4">
        <w:rPr>
          <w:color w:val="auto"/>
        </w:rPr>
        <w:t xml:space="preserve"> het in een rechtstaat essentieel is dat rechterlijke uitspraken tijdig worden uitgevoerd, ondermijnen de lange wachttijden voor plaatsing in een tbs-kliniek de effectiviteit van </w:t>
      </w:r>
      <w:r w:rsidRPr="007204AD" w:rsidR="00841C14">
        <w:rPr>
          <w:color w:val="auto"/>
        </w:rPr>
        <w:t xml:space="preserve">de </w:t>
      </w:r>
      <w:r w:rsidRPr="007204AD" w:rsidR="00841C14">
        <w:rPr>
          <w:color w:val="auto"/>
        </w:rPr>
        <w:lastRenderedPageBreak/>
        <w:t>strafrechtspleging</w:t>
      </w:r>
      <w:r w:rsidRPr="007204AD" w:rsidR="00421AF4">
        <w:rPr>
          <w:color w:val="auto"/>
        </w:rPr>
        <w:t xml:space="preserve">. </w:t>
      </w:r>
      <w:r w:rsidRPr="007204AD" w:rsidR="003317BF">
        <w:rPr>
          <w:color w:val="auto"/>
        </w:rPr>
        <w:t xml:space="preserve">Bovendien zorgt het verblijf van tbs-passanten in het gevangeniswezen </w:t>
      </w:r>
      <w:r w:rsidRPr="007204AD" w:rsidR="00421AF4">
        <w:rPr>
          <w:color w:val="auto"/>
        </w:rPr>
        <w:t xml:space="preserve">naast extra druk op de detentiecapaciteit, </w:t>
      </w:r>
      <w:r w:rsidRPr="007204AD" w:rsidR="003317BF">
        <w:rPr>
          <w:color w:val="auto"/>
        </w:rPr>
        <w:t>ook voor extra kosten, aangezien een tbs-passant recht heeft op een schadevergoeding wanneer de passantentermijn langer duurt dan vier maanden.</w:t>
      </w:r>
      <w:r w:rsidRPr="007204AD" w:rsidR="00421AF4">
        <w:rPr>
          <w:rStyle w:val="Voetnootmarkering"/>
          <w:color w:val="auto"/>
        </w:rPr>
        <w:footnoteReference w:id="2"/>
      </w:r>
      <w:r w:rsidRPr="007204AD" w:rsidR="003317BF">
        <w:rPr>
          <w:color w:val="auto"/>
        </w:rPr>
        <w:t xml:space="preserve"> </w:t>
      </w:r>
      <w:r w:rsidRPr="007204AD" w:rsidR="007D5D22">
        <w:rPr>
          <w:color w:val="auto"/>
        </w:rPr>
        <w:t>In 2025 is in totaal €545.580,- aan passantenvergoedingen</w:t>
      </w:r>
      <w:r w:rsidRPr="007204AD" w:rsidR="003D08E8">
        <w:rPr>
          <w:color w:val="auto"/>
        </w:rPr>
        <w:t xml:space="preserve"> uitgekeerd</w:t>
      </w:r>
      <w:r w:rsidRPr="007204AD" w:rsidR="007D5D22">
        <w:rPr>
          <w:color w:val="auto"/>
        </w:rPr>
        <w:t>.</w:t>
      </w:r>
      <w:r w:rsidRPr="007204AD" w:rsidR="007424E8">
        <w:rPr>
          <w:color w:val="auto"/>
        </w:rPr>
        <w:t xml:space="preserve"> </w:t>
      </w:r>
    </w:p>
    <w:p w:rsidRPr="007204AD" w:rsidR="00557F15" w:rsidP="00B87E77" w:rsidRDefault="00557F15" w14:paraId="16A53500" w14:textId="77777777">
      <w:pPr>
        <w:spacing w:line="276" w:lineRule="auto"/>
        <w:rPr>
          <w:color w:val="auto"/>
        </w:rPr>
      </w:pPr>
    </w:p>
    <w:p w:rsidRPr="007204AD" w:rsidR="003A5073" w:rsidP="00B87E77" w:rsidRDefault="00557F15" w14:paraId="64A763F8" w14:textId="6B8DBBAE">
      <w:pPr>
        <w:spacing w:line="276" w:lineRule="auto"/>
        <w:rPr>
          <w:color w:val="auto"/>
        </w:rPr>
      </w:pPr>
      <w:r w:rsidRPr="007204AD">
        <w:t xml:space="preserve">De ketenpartners in de strafrechtketen zien een verhoogde instroom van personen met onbegrepen gedrag. Deze verhoogde instroom werkt door in de forensische zorg, en is een van de oorzaken van de capaciteitsproblemen. In het coalitieakkoord ‘Aan de slag’ zijn afspraken gemaakt over de manier waarop het kabinet dit wil aanpakken. Allereerst coördineert de minister van Binnenlandse Zaken en Koninkrijksrelaties (BZK) de aanpak van personen met onbegrepen gedrag. In dit kader werkt het kabinet onder meer aan meer mogelijkheden voor burgemeesters om door middel van bemoeizorg in te grijpen en meer crisisplekken te realiseren. Daarnaast pakt het kabinet de knelpunten aan die spelen op het terrein van mentale gezondheid en GGZ. </w:t>
      </w:r>
      <w:r w:rsidRPr="007204AD" w:rsidR="001369ED">
        <w:t>Het kabinet beoogt</w:t>
      </w:r>
      <w:r w:rsidRPr="007204AD" w:rsidR="009174ED">
        <w:t xml:space="preserve"> onder meer</w:t>
      </w:r>
      <w:r w:rsidRPr="007204AD" w:rsidR="001369ED">
        <w:t xml:space="preserve"> de financiering en organisatie van de GGZ te hervormen, zodat er capaciteit in menskracht en budget komt voor complexe zorg. </w:t>
      </w:r>
      <w:r w:rsidRPr="007204AD">
        <w:t xml:space="preserve">De minister van Volksgezondheid, Welzijn en Sport (VWS) en de minister van Langdurige zorg, Jeugd en Sport (LJS) gaan hier in de komende periode verder uitwerking aan geven. Het aanpakken de knelpunten zoals genoemd in het coalitieakkoord zijn </w:t>
      </w:r>
      <w:proofErr w:type="gramStart"/>
      <w:r w:rsidRPr="007204AD">
        <w:t>mijn inziens</w:t>
      </w:r>
      <w:proofErr w:type="gramEnd"/>
      <w:r w:rsidRPr="007204AD">
        <w:t xml:space="preserve"> cruciaal voor de houdbaarheid van de forensische zorg.</w:t>
      </w:r>
    </w:p>
    <w:p w:rsidRPr="007204AD" w:rsidR="0020408C" w:rsidP="00B87E77" w:rsidRDefault="0020408C" w14:paraId="59A27160" w14:textId="77777777">
      <w:pPr>
        <w:spacing w:line="276" w:lineRule="auto"/>
        <w:rPr>
          <w:color w:val="auto"/>
        </w:rPr>
      </w:pPr>
      <w:bookmarkStart w:name="_Hlk220401552" w:id="2"/>
    </w:p>
    <w:p w:rsidRPr="007204AD" w:rsidR="00C01F52" w:rsidP="00D1433E" w:rsidRDefault="00126A07" w14:paraId="0FABA6CB" w14:textId="6864078A">
      <w:pPr>
        <w:pStyle w:val="Lijstalinea"/>
        <w:numPr>
          <w:ilvl w:val="0"/>
          <w:numId w:val="7"/>
        </w:numPr>
        <w:spacing w:line="276" w:lineRule="auto"/>
        <w:rPr>
          <w:b/>
          <w:bCs/>
          <w:color w:val="auto"/>
        </w:rPr>
      </w:pPr>
      <w:r w:rsidRPr="007204AD">
        <w:rPr>
          <w:b/>
          <w:bCs/>
          <w:color w:val="auto"/>
        </w:rPr>
        <w:t>Maatregelen capaciteit</w:t>
      </w:r>
    </w:p>
    <w:p w:rsidRPr="007204AD" w:rsidR="00CC6FD9" w:rsidP="00CC6FD9" w:rsidRDefault="00CC6BEA" w14:paraId="2ED5F6A2" w14:textId="77777777">
      <w:pPr>
        <w:spacing w:line="276" w:lineRule="auto"/>
        <w:rPr>
          <w:color w:val="auto"/>
        </w:rPr>
      </w:pPr>
      <w:r w:rsidRPr="007204AD">
        <w:rPr>
          <w:color w:val="auto"/>
        </w:rPr>
        <w:t>DJI</w:t>
      </w:r>
      <w:r w:rsidRPr="007204AD" w:rsidR="003317BF">
        <w:rPr>
          <w:color w:val="auto"/>
        </w:rPr>
        <w:t xml:space="preserve"> </w:t>
      </w:r>
      <w:r w:rsidRPr="007204AD" w:rsidR="00E14B28">
        <w:rPr>
          <w:color w:val="auto"/>
        </w:rPr>
        <w:t>onderhoudt</w:t>
      </w:r>
      <w:r w:rsidRPr="007204AD" w:rsidR="003317BF">
        <w:rPr>
          <w:color w:val="auto"/>
        </w:rPr>
        <w:t xml:space="preserve"> de inkooprelatie met de </w:t>
      </w:r>
      <w:r w:rsidRPr="007204AD" w:rsidR="004174FE">
        <w:rPr>
          <w:color w:val="auto"/>
        </w:rPr>
        <w:t>zorg</w:t>
      </w:r>
      <w:r w:rsidRPr="007204AD" w:rsidR="003317BF">
        <w:rPr>
          <w:color w:val="auto"/>
        </w:rPr>
        <w:t>aanbieders</w:t>
      </w:r>
      <w:r w:rsidRPr="007204AD">
        <w:rPr>
          <w:color w:val="auto"/>
        </w:rPr>
        <w:t xml:space="preserve"> en </w:t>
      </w:r>
      <w:r w:rsidRPr="007204AD" w:rsidR="00E14B28">
        <w:rPr>
          <w:color w:val="auto"/>
        </w:rPr>
        <w:t>is</w:t>
      </w:r>
      <w:r w:rsidRPr="007204AD" w:rsidR="003317BF">
        <w:rPr>
          <w:color w:val="auto"/>
        </w:rPr>
        <w:t xml:space="preserve"> voortdurend met hen in gesprek</w:t>
      </w:r>
      <w:r w:rsidRPr="007204AD" w:rsidR="00DE1247">
        <w:rPr>
          <w:color w:val="auto"/>
        </w:rPr>
        <w:t xml:space="preserve"> over de gewenste capaciteitsuitbreiding</w:t>
      </w:r>
      <w:r w:rsidRPr="007204AD" w:rsidR="003317BF">
        <w:rPr>
          <w:color w:val="auto"/>
        </w:rPr>
        <w:t>.</w:t>
      </w:r>
      <w:r w:rsidRPr="007204AD" w:rsidR="00880D73">
        <w:rPr>
          <w:color w:val="auto"/>
        </w:rPr>
        <w:t xml:space="preserve"> De komende jaren wordt ingezet op het uitbreiden van de tbs-capaciteit met </w:t>
      </w:r>
      <w:proofErr w:type="gramStart"/>
      <w:r w:rsidRPr="007204AD" w:rsidR="00880D73">
        <w:rPr>
          <w:color w:val="auto"/>
        </w:rPr>
        <w:t>circa</w:t>
      </w:r>
      <w:proofErr w:type="gramEnd"/>
      <w:r w:rsidRPr="007204AD" w:rsidR="00880D73">
        <w:rPr>
          <w:color w:val="auto"/>
        </w:rPr>
        <w:t xml:space="preserve"> 200 plaatsen bij zowel rijks- als particuliere instellingen.</w:t>
      </w:r>
      <w:r w:rsidRPr="007204AD" w:rsidR="00CC6FD9">
        <w:rPr>
          <w:color w:val="auto"/>
        </w:rPr>
        <w:t xml:space="preserve"> Volgens de laatste raming</w:t>
      </w:r>
      <w:r w:rsidRPr="007204AD" w:rsidR="00CC6FD9">
        <w:rPr>
          <w:rStyle w:val="Voetnootmarkering"/>
          <w:color w:val="auto"/>
        </w:rPr>
        <w:footnoteReference w:id="3"/>
      </w:r>
      <w:r w:rsidRPr="007204AD" w:rsidR="00CC6FD9">
        <w:rPr>
          <w:color w:val="auto"/>
        </w:rPr>
        <w:t xml:space="preserve"> van het Prognosemodel Justitiële Ketens (PMJ) volstaan de geplande capaciteitsuitbreidingen van de tbs-klinieken echter niet: er zijn meer inspanningen nodig om de capaciteitsdruk het hoofd te bieden. </w:t>
      </w:r>
    </w:p>
    <w:p w:rsidRPr="007204AD" w:rsidR="00CC6FD9" w:rsidP="00CC6FD9" w:rsidRDefault="00CC6FD9" w14:paraId="599B9FE0" w14:textId="77777777">
      <w:pPr>
        <w:spacing w:line="276" w:lineRule="auto"/>
        <w:rPr>
          <w:color w:val="auto"/>
        </w:rPr>
      </w:pPr>
    </w:p>
    <w:p w:rsidRPr="007204AD" w:rsidR="001B6C4B" w:rsidP="00B87E77" w:rsidRDefault="00CC6FD9" w14:paraId="2935BB20" w14:textId="08DF3AEB">
      <w:pPr>
        <w:spacing w:line="276" w:lineRule="auto"/>
        <w:rPr>
          <w:color w:val="auto"/>
        </w:rPr>
      </w:pPr>
      <w:r w:rsidRPr="007204AD">
        <w:rPr>
          <w:color w:val="auto"/>
        </w:rPr>
        <w:t xml:space="preserve">Recentelijk is bij FPC de </w:t>
      </w:r>
      <w:proofErr w:type="spellStart"/>
      <w:r w:rsidRPr="007204AD">
        <w:rPr>
          <w:color w:val="auto"/>
        </w:rPr>
        <w:t>Kijvelanden</w:t>
      </w:r>
      <w:proofErr w:type="spellEnd"/>
      <w:r w:rsidRPr="007204AD">
        <w:rPr>
          <w:color w:val="auto"/>
        </w:rPr>
        <w:t xml:space="preserve"> een extra afdeling met 27 plekken geopend. De verwachting is dat er later dit jaar nog enkele plekken </w:t>
      </w:r>
      <w:r w:rsidRPr="007204AD" w:rsidR="00541610">
        <w:rPr>
          <w:color w:val="auto"/>
        </w:rPr>
        <w:t xml:space="preserve">bij andere klinieken </w:t>
      </w:r>
      <w:r w:rsidRPr="007204AD">
        <w:rPr>
          <w:color w:val="auto"/>
        </w:rPr>
        <w:t>worden gerealiseerd.</w:t>
      </w:r>
      <w:r w:rsidRPr="007204AD" w:rsidR="00880D73">
        <w:rPr>
          <w:color w:val="auto"/>
        </w:rPr>
        <w:t xml:space="preserve"> </w:t>
      </w:r>
      <w:r w:rsidRPr="007204AD" w:rsidR="00FE063E">
        <w:rPr>
          <w:color w:val="auto"/>
        </w:rPr>
        <w:t xml:space="preserve">Het realiseren van extra plekken </w:t>
      </w:r>
      <w:r w:rsidRPr="007204AD" w:rsidR="00244AEB">
        <w:rPr>
          <w:color w:val="auto"/>
        </w:rPr>
        <w:t>blijkt in de praktijk weerbarstig</w:t>
      </w:r>
      <w:r w:rsidRPr="007204AD" w:rsidR="00AB3C76">
        <w:rPr>
          <w:color w:val="auto"/>
        </w:rPr>
        <w:t>.</w:t>
      </w:r>
      <w:r w:rsidRPr="007204AD" w:rsidR="00FE063E">
        <w:rPr>
          <w:color w:val="auto"/>
        </w:rPr>
        <w:t xml:space="preserve"> </w:t>
      </w:r>
      <w:r w:rsidRPr="007204AD" w:rsidR="00AB3C76">
        <w:rPr>
          <w:color w:val="auto"/>
        </w:rPr>
        <w:t>M</w:t>
      </w:r>
      <w:r w:rsidRPr="007204AD" w:rsidR="00FE063E">
        <w:rPr>
          <w:color w:val="auto"/>
        </w:rPr>
        <w:t>eerdere aspecten spelen hierbij een rol</w:t>
      </w:r>
      <w:r w:rsidRPr="007204AD" w:rsidR="001B6C4B">
        <w:rPr>
          <w:color w:val="auto"/>
        </w:rPr>
        <w:t>, zoals lokaal draagvlak</w:t>
      </w:r>
      <w:r w:rsidRPr="007204AD" w:rsidR="003A5073">
        <w:rPr>
          <w:color w:val="auto"/>
        </w:rPr>
        <w:t>, het vinden van geschikt personeel</w:t>
      </w:r>
      <w:r w:rsidRPr="007204AD" w:rsidR="001B6C4B">
        <w:rPr>
          <w:color w:val="auto"/>
        </w:rPr>
        <w:t xml:space="preserve"> en het verkrijgen van</w:t>
      </w:r>
      <w:r w:rsidRPr="007204AD" w:rsidR="00AB3C76">
        <w:rPr>
          <w:color w:val="auto"/>
        </w:rPr>
        <w:t xml:space="preserve"> financiering</w:t>
      </w:r>
      <w:r w:rsidRPr="007204AD" w:rsidR="00441845">
        <w:rPr>
          <w:color w:val="auto"/>
        </w:rPr>
        <w:t xml:space="preserve"> voor investeringen</w:t>
      </w:r>
      <w:r w:rsidRPr="007204AD" w:rsidR="001B6C4B">
        <w:rPr>
          <w:color w:val="auto"/>
        </w:rPr>
        <w:t xml:space="preserve">. </w:t>
      </w:r>
      <w:r w:rsidRPr="007204AD" w:rsidR="006C06BE">
        <w:rPr>
          <w:color w:val="auto"/>
        </w:rPr>
        <w:t xml:space="preserve">Welke factoren helpend en hinderend zijn bij lokaal draagvlak bij de bouw of uitbreiding van klinieken voor forensische zorg, </w:t>
      </w:r>
      <w:r w:rsidRPr="007204AD" w:rsidR="001B6C4B">
        <w:rPr>
          <w:color w:val="auto"/>
        </w:rPr>
        <w:t>blijkt uit een literatuurstudie naar het fenomeen ‘</w:t>
      </w:r>
      <w:proofErr w:type="spellStart"/>
      <w:r w:rsidRPr="007204AD" w:rsidR="001B6C4B">
        <w:rPr>
          <w:i/>
          <w:iCs/>
          <w:color w:val="auto"/>
        </w:rPr>
        <w:t>not</w:t>
      </w:r>
      <w:proofErr w:type="spellEnd"/>
      <w:r w:rsidRPr="007204AD" w:rsidR="001B6C4B">
        <w:rPr>
          <w:i/>
          <w:iCs/>
          <w:color w:val="auto"/>
        </w:rPr>
        <w:t xml:space="preserve"> in </w:t>
      </w:r>
      <w:proofErr w:type="spellStart"/>
      <w:r w:rsidRPr="007204AD" w:rsidR="001B6C4B">
        <w:rPr>
          <w:i/>
          <w:iCs/>
          <w:color w:val="auto"/>
        </w:rPr>
        <w:t>my</w:t>
      </w:r>
      <w:proofErr w:type="spellEnd"/>
      <w:r w:rsidRPr="007204AD" w:rsidR="001B6C4B">
        <w:rPr>
          <w:i/>
          <w:iCs/>
          <w:color w:val="auto"/>
        </w:rPr>
        <w:t xml:space="preserve"> back yard</w:t>
      </w:r>
      <w:r w:rsidRPr="007204AD" w:rsidR="001B6C4B">
        <w:rPr>
          <w:color w:val="auto"/>
        </w:rPr>
        <w:t>-gedrag’</w:t>
      </w:r>
      <w:r w:rsidRPr="007204AD" w:rsidR="00267D52">
        <w:rPr>
          <w:color w:val="auto"/>
        </w:rPr>
        <w:t xml:space="preserve"> (Bijlage IA)</w:t>
      </w:r>
      <w:r w:rsidRPr="007204AD" w:rsidR="001B6C4B">
        <w:rPr>
          <w:color w:val="auto"/>
        </w:rPr>
        <w:t xml:space="preserve">. De komende periode </w:t>
      </w:r>
      <w:r w:rsidRPr="007204AD" w:rsidR="00B12951">
        <w:rPr>
          <w:color w:val="auto"/>
        </w:rPr>
        <w:t xml:space="preserve">bekijk </w:t>
      </w:r>
      <w:r w:rsidRPr="007204AD" w:rsidR="001B6C4B">
        <w:rPr>
          <w:color w:val="auto"/>
        </w:rPr>
        <w:t xml:space="preserve">ik met meerdere </w:t>
      </w:r>
      <w:r w:rsidRPr="007204AD" w:rsidR="00AB3C76">
        <w:rPr>
          <w:color w:val="auto"/>
        </w:rPr>
        <w:t>gemeenten</w:t>
      </w:r>
      <w:r w:rsidRPr="007204AD" w:rsidR="00875D85">
        <w:rPr>
          <w:color w:val="auto"/>
        </w:rPr>
        <w:t xml:space="preserve"> </w:t>
      </w:r>
      <w:r w:rsidRPr="007204AD" w:rsidR="007424E8">
        <w:rPr>
          <w:color w:val="auto"/>
        </w:rPr>
        <w:t xml:space="preserve">en zorgaanbieders </w:t>
      </w:r>
      <w:r w:rsidRPr="007204AD" w:rsidR="00B12951">
        <w:rPr>
          <w:color w:val="auto"/>
        </w:rPr>
        <w:t xml:space="preserve">hoe </w:t>
      </w:r>
      <w:r w:rsidRPr="007204AD" w:rsidR="001B6C4B">
        <w:rPr>
          <w:color w:val="auto"/>
        </w:rPr>
        <w:t>de handvatten uit de</w:t>
      </w:r>
      <w:r w:rsidRPr="007204AD" w:rsidR="00EE10B7">
        <w:rPr>
          <w:color w:val="auto"/>
        </w:rPr>
        <w:t xml:space="preserve">ze </w:t>
      </w:r>
      <w:r w:rsidRPr="007204AD" w:rsidR="001B6C4B">
        <w:rPr>
          <w:color w:val="auto"/>
        </w:rPr>
        <w:t>studie</w:t>
      </w:r>
      <w:r w:rsidRPr="007204AD" w:rsidR="00B12951">
        <w:rPr>
          <w:color w:val="auto"/>
        </w:rPr>
        <w:t xml:space="preserve"> handen en voeten kunnen krijgen in de praktijk</w:t>
      </w:r>
      <w:r w:rsidRPr="007204AD" w:rsidR="001B6C4B">
        <w:rPr>
          <w:color w:val="auto"/>
        </w:rPr>
        <w:t>.</w:t>
      </w:r>
      <w:r w:rsidRPr="007204AD" w:rsidR="00E52345">
        <w:rPr>
          <w:color w:val="auto"/>
        </w:rPr>
        <w:t xml:space="preserve"> </w:t>
      </w:r>
      <w:r w:rsidRPr="007204AD" w:rsidR="001B6C4B">
        <w:rPr>
          <w:color w:val="auto"/>
        </w:rPr>
        <w:t xml:space="preserve">Ik zal uw Kamer </w:t>
      </w:r>
      <w:r w:rsidRPr="007204AD" w:rsidR="003D08E8">
        <w:rPr>
          <w:color w:val="auto"/>
        </w:rPr>
        <w:t>hierover</w:t>
      </w:r>
      <w:r w:rsidRPr="007204AD" w:rsidR="001B6C4B">
        <w:rPr>
          <w:color w:val="auto"/>
        </w:rPr>
        <w:t xml:space="preserve"> op de hoogte houden.</w:t>
      </w:r>
    </w:p>
    <w:p w:rsidRPr="007204AD" w:rsidR="006C06BE" w:rsidP="00B87E77" w:rsidRDefault="006C06BE" w14:paraId="65740A34" w14:textId="77777777">
      <w:pPr>
        <w:spacing w:line="276" w:lineRule="auto"/>
        <w:rPr>
          <w:color w:val="auto"/>
        </w:rPr>
      </w:pPr>
    </w:p>
    <w:p w:rsidRPr="007204AD" w:rsidR="00C777E8" w:rsidP="003A289A" w:rsidRDefault="006C06BE" w14:paraId="09D4080A" w14:textId="44D1C7B7">
      <w:r w:rsidRPr="007204AD">
        <w:rPr>
          <w:color w:val="auto"/>
        </w:rPr>
        <w:t>Naast</w:t>
      </w:r>
      <w:r w:rsidRPr="007204AD" w:rsidR="00441845">
        <w:rPr>
          <w:color w:val="auto"/>
        </w:rPr>
        <w:t xml:space="preserve"> voldoende personeel en lokaal draagvlak</w:t>
      </w:r>
      <w:r w:rsidRPr="007204AD">
        <w:rPr>
          <w:color w:val="auto"/>
        </w:rPr>
        <w:t xml:space="preserve"> </w:t>
      </w:r>
      <w:r w:rsidRPr="007204AD" w:rsidR="00441845">
        <w:rPr>
          <w:color w:val="auto"/>
        </w:rPr>
        <w:t>zijn</w:t>
      </w:r>
      <w:r w:rsidRPr="007204AD" w:rsidR="00FE063E">
        <w:rPr>
          <w:color w:val="auto"/>
        </w:rPr>
        <w:t xml:space="preserve"> </w:t>
      </w:r>
      <w:r w:rsidRPr="007204AD">
        <w:rPr>
          <w:color w:val="auto"/>
        </w:rPr>
        <w:t xml:space="preserve">ook </w:t>
      </w:r>
      <w:r w:rsidRPr="007204AD" w:rsidR="00244AEB">
        <w:rPr>
          <w:color w:val="auto"/>
        </w:rPr>
        <w:t xml:space="preserve">financiële </w:t>
      </w:r>
      <w:r w:rsidRPr="007204AD" w:rsidR="00441845">
        <w:rPr>
          <w:color w:val="auto"/>
        </w:rPr>
        <w:t>voorwaarden</w:t>
      </w:r>
      <w:r w:rsidRPr="007204AD" w:rsidR="00244AEB">
        <w:rPr>
          <w:color w:val="auto"/>
        </w:rPr>
        <w:t xml:space="preserve"> van </w:t>
      </w:r>
      <w:r w:rsidRPr="007204AD" w:rsidR="00FE063E">
        <w:rPr>
          <w:color w:val="auto"/>
        </w:rPr>
        <w:t>belang</w:t>
      </w:r>
      <w:r w:rsidRPr="007204AD" w:rsidR="00E05A1F">
        <w:rPr>
          <w:color w:val="auto"/>
        </w:rPr>
        <w:t xml:space="preserve"> bij het</w:t>
      </w:r>
      <w:r w:rsidRPr="007204AD" w:rsidR="00441845">
        <w:rPr>
          <w:color w:val="auto"/>
        </w:rPr>
        <w:t xml:space="preserve"> uitbreiden of renoveren van klinieken</w:t>
      </w:r>
      <w:r w:rsidRPr="007204AD" w:rsidR="00FE063E">
        <w:rPr>
          <w:color w:val="auto"/>
        </w:rPr>
        <w:t xml:space="preserve">. </w:t>
      </w:r>
      <w:r w:rsidRPr="007204AD" w:rsidR="00862BB4">
        <w:rPr>
          <w:color w:val="auto"/>
        </w:rPr>
        <w:t xml:space="preserve">In de vorige voortgangsbrief </w:t>
      </w:r>
      <w:r w:rsidRPr="007204AD" w:rsidR="00441845">
        <w:rPr>
          <w:color w:val="auto"/>
        </w:rPr>
        <w:t>is</w:t>
      </w:r>
      <w:r w:rsidRPr="007204AD" w:rsidR="00862BB4">
        <w:rPr>
          <w:color w:val="auto"/>
        </w:rPr>
        <w:t xml:space="preserve"> een aantal </w:t>
      </w:r>
      <w:r w:rsidRPr="007204AD" w:rsidR="00245885">
        <w:rPr>
          <w:color w:val="auto"/>
        </w:rPr>
        <w:t>financiële</w:t>
      </w:r>
      <w:r w:rsidRPr="007204AD" w:rsidR="00862BB4">
        <w:rPr>
          <w:color w:val="auto"/>
        </w:rPr>
        <w:t xml:space="preserve"> stelselmaatregelen aangekondigd: de </w:t>
      </w:r>
      <w:r w:rsidRPr="007204AD" w:rsidR="00862BB4">
        <w:rPr>
          <w:color w:val="auto"/>
        </w:rPr>
        <w:lastRenderedPageBreak/>
        <w:t xml:space="preserve">garantieregeling en beschikbaarheidsfinanciering. Daarnaast vraagt </w:t>
      </w:r>
      <w:r w:rsidRPr="007204AD" w:rsidR="00862BB4">
        <w:t xml:space="preserve">de aanhoudende capaciteitsdruk om meer inzicht in de financiële inrichting van het forensische zorgstelsel, mede in het licht van de bijzondere inkoopsituatie. </w:t>
      </w:r>
    </w:p>
    <w:p w:rsidRPr="007204AD" w:rsidR="00BE631B" w:rsidP="00246B0A" w:rsidRDefault="00BE631B" w14:paraId="65DE63C4" w14:textId="77777777">
      <w:pPr>
        <w:spacing w:line="276" w:lineRule="auto"/>
        <w:rPr>
          <w:color w:val="auto"/>
        </w:rPr>
      </w:pPr>
    </w:p>
    <w:p w:rsidRPr="007204AD" w:rsidR="00B12951" w:rsidP="00246B0A" w:rsidRDefault="00B12951" w14:paraId="410899EA" w14:textId="1DB440AB">
      <w:pPr>
        <w:spacing w:line="276" w:lineRule="auto"/>
        <w:rPr>
          <w:i/>
          <w:iCs/>
          <w:color w:val="auto"/>
        </w:rPr>
      </w:pPr>
      <w:r w:rsidRPr="007204AD">
        <w:rPr>
          <w:i/>
          <w:iCs/>
          <w:color w:val="auto"/>
        </w:rPr>
        <w:t>Garantieregeling en beschikbaarheidsfinanciering</w:t>
      </w:r>
    </w:p>
    <w:p w:rsidRPr="007204AD" w:rsidR="001205C3" w:rsidP="00246B0A" w:rsidRDefault="00F40F31" w14:paraId="23CA56E6" w14:textId="4506DAE4">
      <w:pPr>
        <w:spacing w:line="276" w:lineRule="auto"/>
      </w:pPr>
      <w:r w:rsidRPr="007204AD">
        <w:t xml:space="preserve">Op basis van </w:t>
      </w:r>
      <w:r w:rsidRPr="007204AD" w:rsidR="00995888">
        <w:t xml:space="preserve">het </w:t>
      </w:r>
      <w:r w:rsidRPr="007204AD" w:rsidR="004B7F5B">
        <w:t>r</w:t>
      </w:r>
      <w:r w:rsidRPr="007204AD" w:rsidR="00995888">
        <w:t xml:space="preserve">egeerprogramma van het vorige kabinet </w:t>
      </w:r>
      <w:r w:rsidRPr="007204AD">
        <w:t xml:space="preserve">worden </w:t>
      </w:r>
      <w:r w:rsidRPr="007204AD" w:rsidR="00995888">
        <w:t>twee financiële maatregelen uit</w:t>
      </w:r>
      <w:r w:rsidRPr="007204AD">
        <w:t>gewerkt,</w:t>
      </w:r>
      <w:r w:rsidRPr="007204AD" w:rsidR="00995888">
        <w:t xml:space="preserve"> die </w:t>
      </w:r>
      <w:r w:rsidRPr="007204AD">
        <w:t xml:space="preserve">moeten </w:t>
      </w:r>
      <w:r w:rsidRPr="007204AD" w:rsidR="00995888">
        <w:t>bijdragen aan stabiliteit in het forensische zorgstelsel</w:t>
      </w:r>
      <w:r w:rsidRPr="007204AD" w:rsidR="00E52345">
        <w:t xml:space="preserve">: </w:t>
      </w:r>
      <w:r w:rsidRPr="007204AD" w:rsidR="00995888">
        <w:rPr>
          <w:color w:val="auto"/>
        </w:rPr>
        <w:t xml:space="preserve">de garantieregeling en de beschikbaarheidsfinanciering. </w:t>
      </w:r>
      <w:r w:rsidRPr="007204AD" w:rsidR="00246B0A">
        <w:t xml:space="preserve">Door als overheid garant te staan voor een deel van de lening die particuliere </w:t>
      </w:r>
      <w:proofErr w:type="spellStart"/>
      <w:r w:rsidRPr="007204AD" w:rsidR="00246B0A">
        <w:t>FPC’s</w:t>
      </w:r>
      <w:proofErr w:type="spellEnd"/>
      <w:r w:rsidRPr="007204AD" w:rsidR="00246B0A">
        <w:t xml:space="preserve"> nodig hebben om in capaciteit uit te breiden en/of in stand te houden, kunnen </w:t>
      </w:r>
      <w:proofErr w:type="spellStart"/>
      <w:r w:rsidRPr="007204AD" w:rsidR="00246B0A">
        <w:t>FPC</w:t>
      </w:r>
      <w:r w:rsidRPr="007204AD" w:rsidR="00995888">
        <w:t>’</w:t>
      </w:r>
      <w:r w:rsidRPr="007204AD" w:rsidR="00246B0A">
        <w:t>s</w:t>
      </w:r>
      <w:proofErr w:type="spellEnd"/>
      <w:r w:rsidRPr="007204AD" w:rsidR="00246B0A">
        <w:t xml:space="preserve"> </w:t>
      </w:r>
      <w:r w:rsidRPr="007204AD" w:rsidR="00995888">
        <w:t xml:space="preserve">op beveiligingsniveau 4 </w:t>
      </w:r>
      <w:r w:rsidRPr="007204AD" w:rsidR="00246B0A">
        <w:t>tegen een lagere rente een lening afsluiten bij een geldverstrekker</w:t>
      </w:r>
      <w:r w:rsidRPr="007204AD" w:rsidR="00995888">
        <w:t xml:space="preserve">. </w:t>
      </w:r>
      <w:r w:rsidRPr="007204AD" w:rsidR="00246B0A">
        <w:t>Dit maakt het aantrekkelijker om te investeren in uitbreiding en/of renovatie</w:t>
      </w:r>
      <w:r w:rsidRPr="007204AD" w:rsidR="00E52345">
        <w:t xml:space="preserve">. </w:t>
      </w:r>
      <w:r w:rsidRPr="007204AD" w:rsidR="00246B0A">
        <w:t>Op dit moment wordt de garantieregeling uitgewerkt in een ministeriële regeling</w:t>
      </w:r>
      <w:r w:rsidRPr="007204AD" w:rsidR="00E52345">
        <w:t xml:space="preserve"> en wordt d</w:t>
      </w:r>
      <w:r w:rsidRPr="007204AD" w:rsidR="00246B0A">
        <w:t xml:space="preserve">e bijbehorende </w:t>
      </w:r>
      <w:proofErr w:type="spellStart"/>
      <w:r w:rsidRPr="007204AD" w:rsidR="00246B0A">
        <w:t>contractsdocumentatie</w:t>
      </w:r>
      <w:proofErr w:type="spellEnd"/>
      <w:r w:rsidRPr="007204AD" w:rsidR="00E52345">
        <w:t xml:space="preserve"> </w:t>
      </w:r>
      <w:r w:rsidRPr="007204AD" w:rsidR="00246B0A">
        <w:t>door de landsadvocaat opgesteld. Voor de uitvoering van de garantieregeling is een gespecialiseerde uitvoerende organisatie nodig</w:t>
      </w:r>
      <w:r w:rsidRPr="007204AD" w:rsidR="00C777E8">
        <w:t>, d</w:t>
      </w:r>
      <w:r w:rsidRPr="007204AD" w:rsidR="003D08E8">
        <w:t>ie</w:t>
      </w:r>
      <w:r w:rsidRPr="007204AD" w:rsidR="00246B0A">
        <w:t xml:space="preserve"> </w:t>
      </w:r>
      <w:r w:rsidRPr="007204AD" w:rsidR="003D08E8">
        <w:t xml:space="preserve">volgens </w:t>
      </w:r>
      <w:r w:rsidRPr="007204AD" w:rsidR="00246B0A">
        <w:t xml:space="preserve">een </w:t>
      </w:r>
      <w:r w:rsidRPr="007204AD" w:rsidR="003D08E8">
        <w:t xml:space="preserve">Europese </w:t>
      </w:r>
      <w:r w:rsidRPr="007204AD" w:rsidR="00246B0A">
        <w:t xml:space="preserve">aanbestedingsprocedure </w:t>
      </w:r>
      <w:r w:rsidRPr="007204AD" w:rsidR="003D08E8">
        <w:t>wordt geworven</w:t>
      </w:r>
      <w:r w:rsidRPr="007204AD" w:rsidR="00246B0A">
        <w:t>.</w:t>
      </w:r>
      <w:r w:rsidRPr="007204AD" w:rsidR="004174FE">
        <w:t xml:space="preserve"> Ik streef naar inwerkingtreding in januari 2027. Deze datum is mede afhankelijk van de looptijd van de aanbestedingsprocedure.</w:t>
      </w:r>
    </w:p>
    <w:p w:rsidRPr="007204AD" w:rsidR="001205C3" w:rsidP="00246B0A" w:rsidRDefault="001205C3" w14:paraId="2260F8E6" w14:textId="77777777">
      <w:pPr>
        <w:spacing w:line="276" w:lineRule="auto"/>
      </w:pPr>
    </w:p>
    <w:p w:rsidRPr="007204AD" w:rsidR="00246B0A" w:rsidP="00246B0A" w:rsidRDefault="00D1433E" w14:paraId="527F518E" w14:textId="01AC50C4">
      <w:pPr>
        <w:spacing w:line="276" w:lineRule="auto"/>
        <w:rPr>
          <w:color w:val="auto"/>
        </w:rPr>
      </w:pPr>
      <w:r w:rsidRPr="007204AD">
        <w:t>Omdat de capaciteit in de overige forensische zorg ook schaars is, verken ik</w:t>
      </w:r>
      <w:r w:rsidRPr="007204AD" w:rsidR="00DD5524">
        <w:t xml:space="preserve"> of een vorm van garantiestelling</w:t>
      </w:r>
      <w:r w:rsidRPr="007204AD" w:rsidR="00E14B28">
        <w:t xml:space="preserve"> </w:t>
      </w:r>
      <w:r w:rsidRPr="007204AD" w:rsidR="00DD5524">
        <w:t>mogelijk is voor de</w:t>
      </w:r>
      <w:r w:rsidRPr="007204AD" w:rsidR="00887807">
        <w:t xml:space="preserve"> klinische</w:t>
      </w:r>
      <w:r w:rsidRPr="007204AD" w:rsidR="00DD5524">
        <w:t xml:space="preserve"> forensische zorg op </w:t>
      </w:r>
      <w:r w:rsidRPr="007204AD" w:rsidR="00CC6BEA">
        <w:t xml:space="preserve">lagere </w:t>
      </w:r>
      <w:r w:rsidRPr="007204AD" w:rsidR="00DD5524">
        <w:t>beveiligingsniveaus.</w:t>
      </w:r>
      <w:r w:rsidRPr="007204AD" w:rsidR="001205C3">
        <w:t xml:space="preserve"> Hierbij betrek ik relevante ketenpartners en de inzichten </w:t>
      </w:r>
      <w:r w:rsidRPr="007204AD" w:rsidR="00E14B28">
        <w:t xml:space="preserve">die zijn opgedaan bij het inrichten </w:t>
      </w:r>
      <w:r w:rsidRPr="007204AD" w:rsidR="001205C3">
        <w:t xml:space="preserve">van de garantieregeling voor de </w:t>
      </w:r>
      <w:proofErr w:type="spellStart"/>
      <w:r w:rsidRPr="007204AD" w:rsidR="001205C3">
        <w:t>FPC’s</w:t>
      </w:r>
      <w:proofErr w:type="spellEnd"/>
      <w:r w:rsidRPr="007204AD" w:rsidR="001205C3">
        <w:t>.</w:t>
      </w:r>
      <w:r w:rsidRPr="007204AD" w:rsidR="00CC6BEA">
        <w:t xml:space="preserve"> </w:t>
      </w:r>
      <w:r w:rsidRPr="007204AD" w:rsidR="00B4150B">
        <w:t>Ook</w:t>
      </w:r>
      <w:r w:rsidRPr="007204AD" w:rsidR="00CC6FD9">
        <w:t xml:space="preserve"> </w:t>
      </w:r>
      <w:r w:rsidRPr="007204AD" w:rsidR="00CC6BEA">
        <w:t xml:space="preserve">zal </w:t>
      </w:r>
      <w:r w:rsidRPr="007204AD" w:rsidR="00B4150B">
        <w:t>ik</w:t>
      </w:r>
      <w:r w:rsidRPr="007204AD" w:rsidR="00CC6BEA">
        <w:t xml:space="preserve"> gebruik maken van de ervaringen van het ministerie van VWS</w:t>
      </w:r>
      <w:r w:rsidRPr="007204AD" w:rsidR="00B4150B">
        <w:t xml:space="preserve"> ten aanzien van het borgstelse</w:t>
      </w:r>
      <w:r w:rsidRPr="007204AD" w:rsidR="000D5D9A">
        <w:t>l</w:t>
      </w:r>
      <w:r w:rsidRPr="007204AD" w:rsidR="00B4150B">
        <w:t xml:space="preserve"> in de reguliere zorg</w:t>
      </w:r>
      <w:r w:rsidRPr="007204AD" w:rsidR="00CC6BEA">
        <w:t>.</w:t>
      </w:r>
    </w:p>
    <w:p w:rsidRPr="007204AD" w:rsidR="00995888" w:rsidP="00246B0A" w:rsidRDefault="00995888" w14:paraId="2C797DD2" w14:textId="77777777">
      <w:pPr>
        <w:spacing w:line="276" w:lineRule="auto"/>
        <w:rPr>
          <w:i/>
          <w:iCs/>
        </w:rPr>
      </w:pPr>
    </w:p>
    <w:p w:rsidRPr="007204AD" w:rsidR="00126A07" w:rsidP="00995888" w:rsidRDefault="003A289A" w14:paraId="63238B00" w14:textId="3B2E71CE">
      <w:pPr>
        <w:spacing w:line="276" w:lineRule="auto"/>
      </w:pPr>
      <w:r w:rsidRPr="007204AD">
        <w:t xml:space="preserve">In het huidige stelsel van forensische zorg geldt zuivere prestatiebekostiging (enkel financiering aan zorgaanbieders voor geleverde zorg). Hierdoor ligt het financiële risico van lege bedden enkel bij de aanbieders, waardoor zij terughoudend zijn in het uitbreiden van capaciteit. Daarom wil ik </w:t>
      </w:r>
      <w:proofErr w:type="spellStart"/>
      <w:r w:rsidRPr="007204AD">
        <w:t>FPC’s</w:t>
      </w:r>
      <w:proofErr w:type="spellEnd"/>
      <w:r w:rsidRPr="007204AD">
        <w:t xml:space="preserve"> niet meer alleen op basis van bezetting, maar ook op basis van beschikbaarheid financieren, hiervoor is een wetswijziging nodig. </w:t>
      </w:r>
      <w:r w:rsidRPr="007204AD" w:rsidR="004174FE">
        <w:t>Het wetstraject is inmiddels in gang gezet.</w:t>
      </w:r>
      <w:r w:rsidRPr="007204AD" w:rsidR="00880D73">
        <w:t xml:space="preserve"> De verwachting is dat de wetswijziging in de loop van dit jaar in consultatie gaat.</w:t>
      </w:r>
      <w:r w:rsidRPr="007204AD" w:rsidR="00F809A4">
        <w:t xml:space="preserve"> </w:t>
      </w:r>
      <w:r w:rsidRPr="007204AD" w:rsidR="00E52345">
        <w:t>Hierdoor</w:t>
      </w:r>
      <w:r w:rsidRPr="007204AD" w:rsidR="00246B0A">
        <w:t xml:space="preserve"> </w:t>
      </w:r>
      <w:r w:rsidRPr="007204AD" w:rsidR="00F809A4">
        <w:t xml:space="preserve">hebben </w:t>
      </w:r>
      <w:proofErr w:type="spellStart"/>
      <w:r w:rsidRPr="007204AD" w:rsidR="00F809A4">
        <w:t>FPC’s</w:t>
      </w:r>
      <w:proofErr w:type="spellEnd"/>
      <w:r w:rsidRPr="007204AD" w:rsidR="00F809A4">
        <w:t xml:space="preserve"> meer </w:t>
      </w:r>
      <w:r w:rsidRPr="007204AD" w:rsidR="005A7968">
        <w:t>financiële</w:t>
      </w:r>
      <w:r w:rsidRPr="007204AD" w:rsidR="00F809A4">
        <w:t xml:space="preserve"> zekerheid omdat</w:t>
      </w:r>
      <w:r w:rsidRPr="007204AD" w:rsidR="00E52345">
        <w:t xml:space="preserve"> -</w:t>
      </w:r>
      <w:r w:rsidRPr="007204AD" w:rsidR="00246B0A">
        <w:t xml:space="preserve"> mocht</w:t>
      </w:r>
      <w:r w:rsidRPr="007204AD" w:rsidR="00F809A4">
        <w:t xml:space="preserve"> </w:t>
      </w:r>
      <w:r w:rsidRPr="007204AD" w:rsidR="00246B0A">
        <w:t xml:space="preserve">in de toekomst minder behoefte zijn aan tbs-plaatsen op beveiligingsniveau </w:t>
      </w:r>
      <w:proofErr w:type="gramStart"/>
      <w:r w:rsidRPr="007204AD" w:rsidR="00246B0A">
        <w:t xml:space="preserve">4 </w:t>
      </w:r>
      <w:r w:rsidRPr="007204AD" w:rsidR="00E52345">
        <w:t>-</w:t>
      </w:r>
      <w:r w:rsidRPr="007204AD" w:rsidR="00246B0A">
        <w:t xml:space="preserve"> de</w:t>
      </w:r>
      <w:proofErr w:type="gramEnd"/>
      <w:r w:rsidRPr="007204AD" w:rsidR="00246B0A">
        <w:t xml:space="preserve"> financiering </w:t>
      </w:r>
      <w:r w:rsidRPr="007204AD" w:rsidR="00E52345">
        <w:t xml:space="preserve">voor </w:t>
      </w:r>
      <w:r w:rsidRPr="007204AD" w:rsidR="004D7042">
        <w:t xml:space="preserve">lege </w:t>
      </w:r>
      <w:r w:rsidRPr="007204AD" w:rsidR="00E52345">
        <w:t>bedden</w:t>
      </w:r>
      <w:r w:rsidRPr="007204AD" w:rsidR="004D7042">
        <w:t xml:space="preserve"> gedeeltelijk</w:t>
      </w:r>
      <w:r w:rsidRPr="007204AD" w:rsidR="00246B0A">
        <w:t xml:space="preserve"> wordt voortgezet. </w:t>
      </w:r>
      <w:r w:rsidRPr="007204AD" w:rsidR="004D7042">
        <w:t xml:space="preserve">Dit draagt bij aan een stabieler aanbod in tbs-capaciteit, omdat de bezetting minder bepalend wordt voor de inkomsten van zorgaanbieders. </w:t>
      </w:r>
      <w:r w:rsidRPr="007204AD" w:rsidR="00E52345">
        <w:t>De verwachting</w:t>
      </w:r>
      <w:r w:rsidRPr="007204AD" w:rsidR="00995888">
        <w:t xml:space="preserve"> is dat </w:t>
      </w:r>
      <w:r w:rsidRPr="007204AD" w:rsidR="0062278F">
        <w:t>de behoefte aan tbs-plaatsen op het hoogste beveiligingsniveau</w:t>
      </w:r>
      <w:r w:rsidRPr="007204AD" w:rsidR="00995888">
        <w:t xml:space="preserve"> </w:t>
      </w:r>
      <w:r w:rsidRPr="007204AD" w:rsidR="0062278F">
        <w:t>de komende jaren groot blijft.</w:t>
      </w:r>
      <w:bookmarkStart w:name="_Hlk220401569" w:id="3"/>
    </w:p>
    <w:p w:rsidRPr="007204AD" w:rsidR="00065AE3" w:rsidP="00995888" w:rsidRDefault="00065AE3" w14:paraId="3E07DF0A" w14:textId="77777777">
      <w:pPr>
        <w:spacing w:line="276" w:lineRule="auto"/>
        <w:rPr>
          <w:i/>
          <w:iCs/>
        </w:rPr>
      </w:pPr>
    </w:p>
    <w:p w:rsidRPr="007204AD" w:rsidR="00B12951" w:rsidP="00995888" w:rsidRDefault="00A73D4E" w14:paraId="6ABA8D85" w14:textId="5C40D3BD">
      <w:pPr>
        <w:spacing w:line="276" w:lineRule="auto"/>
        <w:rPr>
          <w:i/>
          <w:iCs/>
        </w:rPr>
      </w:pPr>
      <w:r w:rsidRPr="007204AD">
        <w:rPr>
          <w:i/>
          <w:iCs/>
        </w:rPr>
        <w:t>Marktverkenning</w:t>
      </w:r>
      <w:r w:rsidRPr="007204AD" w:rsidR="00AF6098">
        <w:rPr>
          <w:i/>
          <w:iCs/>
        </w:rPr>
        <w:t xml:space="preserve"> forensische</w:t>
      </w:r>
      <w:r w:rsidRPr="007204AD" w:rsidR="0011693A">
        <w:rPr>
          <w:i/>
          <w:iCs/>
        </w:rPr>
        <w:t xml:space="preserve"> zorg</w:t>
      </w:r>
    </w:p>
    <w:bookmarkEnd w:id="3"/>
    <w:p w:rsidRPr="007204AD" w:rsidR="00287F7F" w:rsidP="00F3573C" w:rsidRDefault="00287F7F" w14:paraId="270120D9" w14:textId="6407B6AF">
      <w:pPr>
        <w:spacing w:line="276" w:lineRule="auto"/>
      </w:pPr>
      <w:r w:rsidRPr="007204AD">
        <w:t xml:space="preserve">De forensische zorg bevindt zich op het snijvlak van strafrecht en gezondheidszorg en kent daardoor een hybride karakter. De </w:t>
      </w:r>
      <w:r w:rsidRPr="007204AD" w:rsidR="00C51136">
        <w:t>inkoop van forensische zorg valt</w:t>
      </w:r>
      <w:r w:rsidRPr="007204AD">
        <w:t xml:space="preserve"> onder verantwoordelijkheid van DJI</w:t>
      </w:r>
      <w:r w:rsidRPr="007204AD" w:rsidR="00841C14">
        <w:t>,</w:t>
      </w:r>
      <w:r w:rsidRPr="007204AD">
        <w:t xml:space="preserve"> en de regulering van tarieven en prestaties ligt bij de </w:t>
      </w:r>
      <w:r w:rsidRPr="007204AD" w:rsidR="00CC6FD9">
        <w:t>Nederlandse Zorgautoriteit (</w:t>
      </w:r>
      <w:proofErr w:type="spellStart"/>
      <w:r w:rsidRPr="007204AD" w:rsidR="00ED74C5">
        <w:t>NZa</w:t>
      </w:r>
      <w:proofErr w:type="spellEnd"/>
      <w:r w:rsidRPr="007204AD" w:rsidR="00CC6FD9">
        <w:t>)</w:t>
      </w:r>
      <w:r w:rsidRPr="007204AD" w:rsidR="00ED74C5">
        <w:t>.</w:t>
      </w:r>
      <w:r w:rsidRPr="007204AD">
        <w:t xml:space="preserve"> </w:t>
      </w:r>
      <w:r w:rsidRPr="007204AD" w:rsidR="00841C14">
        <w:t xml:space="preserve">Naast de regulering door de </w:t>
      </w:r>
      <w:proofErr w:type="spellStart"/>
      <w:r w:rsidRPr="007204AD" w:rsidR="00841C14">
        <w:t>NZa</w:t>
      </w:r>
      <w:proofErr w:type="spellEnd"/>
      <w:r w:rsidRPr="007204AD" w:rsidR="00841C14">
        <w:t>, vindt de</w:t>
      </w:r>
      <w:r w:rsidRPr="007204AD">
        <w:t xml:space="preserve"> inkoop van zorg plaats binnen het kader van de Aanbestedingswet 2012. De huidige inrichting van bekostiging en inkoop leidt </w:t>
      </w:r>
      <w:r w:rsidRPr="007204AD" w:rsidR="00C51136">
        <w:t>tot een aantal</w:t>
      </w:r>
      <w:r w:rsidRPr="007204AD">
        <w:t xml:space="preserve"> knelpunten die de toegankelijkheid, continuïteit en betaalbaarheid van forensische zorg onder druk zetten. Tegelijkertijd beperkt de toepassing van de Aanbestedingswet 2012 de </w:t>
      </w:r>
      <w:r w:rsidRPr="007204AD">
        <w:lastRenderedPageBreak/>
        <w:t xml:space="preserve">ruimte voor maatwerk in </w:t>
      </w:r>
      <w:proofErr w:type="spellStart"/>
      <w:r w:rsidRPr="007204AD">
        <w:t>contractering</w:t>
      </w:r>
      <w:proofErr w:type="spellEnd"/>
      <w:r w:rsidRPr="007204AD">
        <w:t xml:space="preserve">. In combinatie met door de </w:t>
      </w:r>
      <w:proofErr w:type="spellStart"/>
      <w:r w:rsidRPr="007204AD">
        <w:t>NZa</w:t>
      </w:r>
      <w:proofErr w:type="spellEnd"/>
      <w:r w:rsidRPr="007204AD">
        <w:t xml:space="preserve"> vastgestelde prestaties en tarieven ontstaat een risico op mismatch tussen zorgzwaarte en bekostiging. Dit kan, mede door personeelsschaarste, leiden tot verdringing van forensische </w:t>
      </w:r>
      <w:r w:rsidRPr="007204AD" w:rsidR="00541610">
        <w:t xml:space="preserve">zorg </w:t>
      </w:r>
      <w:r w:rsidRPr="007204AD">
        <w:t>door minder complexe zorg en biedt aanbieders onvoldoende zekerheid om duurzaam te investeren in specialistische capaciteit.</w:t>
      </w:r>
    </w:p>
    <w:p w:rsidRPr="007204AD" w:rsidR="00C51136" w:rsidP="00F3573C" w:rsidRDefault="00C51136" w14:paraId="0FFBA9BD" w14:textId="77777777">
      <w:pPr>
        <w:spacing w:line="276" w:lineRule="auto"/>
      </w:pPr>
    </w:p>
    <w:p w:rsidRPr="007204AD" w:rsidR="004401C3" w:rsidP="00F3573C" w:rsidRDefault="00C51136" w14:paraId="16D4B2A3" w14:textId="5BBD7F96">
      <w:pPr>
        <w:spacing w:line="276" w:lineRule="auto"/>
      </w:pPr>
      <w:r w:rsidRPr="007204AD">
        <w:t xml:space="preserve">Samen met de </w:t>
      </w:r>
      <w:proofErr w:type="spellStart"/>
      <w:r w:rsidRPr="007204AD">
        <w:t>NZa</w:t>
      </w:r>
      <w:proofErr w:type="spellEnd"/>
      <w:r w:rsidRPr="007204AD">
        <w:t xml:space="preserve"> en met DJI, en in afstemming met </w:t>
      </w:r>
      <w:r w:rsidRPr="007204AD" w:rsidR="00841C14">
        <w:t xml:space="preserve">het ministerie van </w:t>
      </w:r>
      <w:r w:rsidRPr="007204AD">
        <w:t xml:space="preserve">VWS en de zorgaanbieders, verken ik daarom hoe een aanpassing aan de huidige vorm van marktregulering helpend kan zijn om </w:t>
      </w:r>
      <w:r w:rsidRPr="007204AD" w:rsidR="001E700E">
        <w:t>deze knelpunten</w:t>
      </w:r>
      <w:r w:rsidRPr="007204AD">
        <w:t xml:space="preserve"> het hoofd te bieden. Uit deze verkenning moet blijken of aanpassingen in het stelsel nodig zijn om de toegankelijkheid en betaalbaarheid van de forensische zorg te verbeteren.</w:t>
      </w:r>
      <w:r w:rsidRPr="007204AD" w:rsidR="003826C5">
        <w:t xml:space="preserve"> Deze verkenning wordt in samenhang bezien met de hierboven genoemde twee financiële maatregelen om doelmatigheid van de maatregelen zo goed mogelijk op elkaar te laten aansluiten. </w:t>
      </w:r>
      <w:r w:rsidRPr="007204AD">
        <w:t>Ik verwacht dat de verkenning aan het einde van 2026 is afgerond en informeer u over de voortgang in de eerstvolgende voortgangsbrief</w:t>
      </w:r>
      <w:r w:rsidRPr="007204AD" w:rsidR="001E700E">
        <w:t xml:space="preserve"> forensische zorg</w:t>
      </w:r>
      <w:r w:rsidRPr="007204AD" w:rsidR="000F682E">
        <w:t>, die ik verwacht in het najaar aan uw kamer te versturen</w:t>
      </w:r>
      <w:r w:rsidRPr="007204AD">
        <w:t>.</w:t>
      </w:r>
    </w:p>
    <w:p w:rsidRPr="007204AD" w:rsidR="0049186C" w:rsidP="00F3573C" w:rsidRDefault="0049186C" w14:paraId="0517483A" w14:textId="77777777">
      <w:pPr>
        <w:spacing w:line="276" w:lineRule="auto"/>
      </w:pPr>
    </w:p>
    <w:p w:rsidRPr="007204AD" w:rsidR="0049186C" w:rsidP="0049186C" w:rsidRDefault="0049186C" w14:paraId="39B40659" w14:textId="77777777">
      <w:pPr>
        <w:spacing w:line="276" w:lineRule="auto"/>
        <w:rPr>
          <w:i/>
          <w:iCs/>
        </w:rPr>
      </w:pPr>
      <w:r w:rsidRPr="007204AD">
        <w:rPr>
          <w:i/>
          <w:iCs/>
        </w:rPr>
        <w:t>Voorbereiding op de tbs-behandeling in het gevangeniswezen</w:t>
      </w:r>
    </w:p>
    <w:p w:rsidRPr="007204AD" w:rsidR="0049186C" w:rsidP="0049186C" w:rsidRDefault="0049186C" w14:paraId="4A64673D" w14:textId="77777777">
      <w:pPr>
        <w:spacing w:line="276" w:lineRule="auto"/>
        <w:rPr>
          <w:color w:val="auto"/>
        </w:rPr>
      </w:pPr>
      <w:r w:rsidRPr="007204AD">
        <w:rPr>
          <w:color w:val="auto"/>
        </w:rPr>
        <w:t>Het personeel in het gevangeniswezen doet zoveel mogelijk om tbs-passanten te stabiliseren en te verzorgen, terwijl de druk op het personeel ook hier hoog is. Ik heb hiervoor veel waardering. Desondanks wil ik in gesprek met betrokken ketenpartners verkennen hoe we deze tijd in de PI beter kunnen benutten, bijvoorbeeld door de tbs-gestelden zoveel als mogelijk voor te bereiden op de behandeling in een tbs-kliniek. Op die manier wordt de tijd dat de tbs-gestelde in het gevangeniswezen verblijft beter benut.</w:t>
      </w:r>
    </w:p>
    <w:p w:rsidRPr="007204AD" w:rsidR="00D1433E" w:rsidP="00F3573C" w:rsidRDefault="00D1433E" w14:paraId="78FC898C" w14:textId="77777777">
      <w:pPr>
        <w:spacing w:line="276" w:lineRule="auto"/>
        <w:rPr>
          <w:color w:val="auto"/>
        </w:rPr>
      </w:pPr>
    </w:p>
    <w:p w:rsidRPr="007204AD" w:rsidR="00D1433E" w:rsidP="00D1433E" w:rsidRDefault="00D1433E" w14:paraId="2EF8B58E" w14:textId="77777777">
      <w:pPr>
        <w:spacing w:line="276" w:lineRule="auto"/>
        <w:rPr>
          <w:i/>
          <w:iCs/>
        </w:rPr>
      </w:pPr>
      <w:r w:rsidRPr="007204AD">
        <w:rPr>
          <w:i/>
          <w:iCs/>
        </w:rPr>
        <w:t>Technologie en innovatie</w:t>
      </w:r>
    </w:p>
    <w:p w:rsidRPr="007204AD" w:rsidR="00D1433E" w:rsidP="00F3573C" w:rsidRDefault="00841C14" w14:paraId="26D4060C" w14:textId="06DA204D">
      <w:pPr>
        <w:spacing w:line="276" w:lineRule="auto"/>
      </w:pPr>
      <w:r w:rsidRPr="007204AD">
        <w:t>Vanwege</w:t>
      </w:r>
      <w:r w:rsidRPr="007204AD" w:rsidR="00D1433E">
        <w:t xml:space="preserve"> de </w:t>
      </w:r>
      <w:proofErr w:type="spellStart"/>
      <w:r w:rsidRPr="007204AD" w:rsidR="00D1433E">
        <w:t>capacitaire</w:t>
      </w:r>
      <w:proofErr w:type="spellEnd"/>
      <w:r w:rsidRPr="007204AD" w:rsidR="00D1433E">
        <w:t xml:space="preserve"> schaarste en het belang van een veilig werk- en behandelklimaat, wordt de inzet van technologie en innovatie binnen de forensische keten extra gestimuleerd.</w:t>
      </w:r>
      <w:r w:rsidRPr="007204AD" w:rsidR="0006572C">
        <w:t xml:space="preserve"> </w:t>
      </w:r>
      <w:r w:rsidRPr="007204AD" w:rsidR="00D1433E">
        <w:t xml:space="preserve">Het gaat onder andere om innovaties die gericht zijn op het aantrekkelijker maken van het werken in de forensische zorg, de vermindering van de lasten </w:t>
      </w:r>
      <w:r w:rsidRPr="007204AD" w:rsidR="004D7042">
        <w:t>voor</w:t>
      </w:r>
      <w:r w:rsidRPr="007204AD" w:rsidR="00D1433E">
        <w:t xml:space="preserve"> het personeel, en het verbeteren van de kwaliteit van de behandeling.</w:t>
      </w:r>
      <w:r w:rsidRPr="007204AD" w:rsidR="0006572C">
        <w:rPr>
          <w:rStyle w:val="Voetnootmarkering"/>
        </w:rPr>
        <w:footnoteReference w:id="4"/>
      </w:r>
      <w:r w:rsidRPr="007204AD" w:rsidR="00D1433E">
        <w:t xml:space="preserve"> Bovendien kunnen innovaties bijdragen aan een andere manier van werken in de forensische zorg, hetgeen van belang is om in de toekomst aan de toenemende capaciteitsdruk te blijve</w:t>
      </w:r>
      <w:r w:rsidRPr="007204AD" w:rsidR="00997EF2">
        <w:t>n aanpakken</w:t>
      </w:r>
      <w:r w:rsidRPr="007204AD" w:rsidR="00D1433E">
        <w:t>. In bijlage I licht ik de belangrijkste mijlpalen binnen het programma ‘Innovatie en Technologie’ van het Expertisecentrum Forensische Psychiatrie (EFP) toe.</w:t>
      </w:r>
      <w:r w:rsidRPr="007204AD" w:rsidR="00541610">
        <w:t xml:space="preserve"> Om hier een extra impuls aan te geven, wordt er een</w:t>
      </w:r>
      <w:r w:rsidRPr="007204AD" w:rsidR="00D1433E">
        <w:t xml:space="preserve"> </w:t>
      </w:r>
      <w:r w:rsidRPr="007204AD" w:rsidR="004377D0">
        <w:t>innovatie</w:t>
      </w:r>
      <w:r w:rsidRPr="007204AD" w:rsidR="00541610">
        <w:t>fonds</w:t>
      </w:r>
      <w:r w:rsidRPr="007204AD" w:rsidR="004377D0">
        <w:t xml:space="preserve"> voor de forensische zorg in</w:t>
      </w:r>
      <w:r w:rsidRPr="007204AD" w:rsidR="00541610">
        <w:t>gericht</w:t>
      </w:r>
      <w:r w:rsidRPr="007204AD" w:rsidR="00242CD5">
        <w:t>.</w:t>
      </w:r>
      <w:r w:rsidRPr="007204AD" w:rsidR="00D1433E">
        <w:t xml:space="preserve"> </w:t>
      </w:r>
    </w:p>
    <w:p w:rsidRPr="007204AD" w:rsidR="00C01F52" w:rsidP="00F3573C" w:rsidRDefault="00C01F52" w14:paraId="56EDF483" w14:textId="77777777">
      <w:pPr>
        <w:spacing w:line="276" w:lineRule="auto"/>
        <w:rPr>
          <w:color w:val="auto"/>
        </w:rPr>
      </w:pPr>
    </w:p>
    <w:p w:rsidRPr="007204AD" w:rsidR="00F3573C" w:rsidP="00F3573C" w:rsidRDefault="00F3573C" w14:paraId="496AD8CC" w14:textId="0B2D55F7">
      <w:pPr>
        <w:pStyle w:val="Lijstalinea"/>
        <w:numPr>
          <w:ilvl w:val="0"/>
          <w:numId w:val="7"/>
        </w:numPr>
        <w:spacing w:line="276" w:lineRule="auto"/>
        <w:rPr>
          <w:b/>
          <w:bCs/>
        </w:rPr>
      </w:pPr>
      <w:r w:rsidRPr="007204AD">
        <w:rPr>
          <w:b/>
          <w:bCs/>
        </w:rPr>
        <w:t>Bevorderen door- en uitstroom</w:t>
      </w:r>
    </w:p>
    <w:p w:rsidRPr="007204AD" w:rsidR="00F3573C" w:rsidP="00F3573C" w:rsidRDefault="006C06BE" w14:paraId="5F2F32DF" w14:textId="79711DF4">
      <w:pPr>
        <w:spacing w:line="276" w:lineRule="auto"/>
        <w:rPr>
          <w:color w:val="auto"/>
        </w:rPr>
      </w:pPr>
      <w:bookmarkStart w:name="_Hlk219991040" w:id="4"/>
      <w:bookmarkStart w:name="_Hlk215753810" w:id="5"/>
      <w:r w:rsidRPr="007204AD">
        <w:rPr>
          <w:color w:val="auto"/>
        </w:rPr>
        <w:t xml:space="preserve">Gegeven de huidige capaciteitsdruk en de </w:t>
      </w:r>
      <w:r w:rsidRPr="007204AD" w:rsidR="004D7042">
        <w:rPr>
          <w:color w:val="auto"/>
        </w:rPr>
        <w:t>prognose</w:t>
      </w:r>
      <w:r w:rsidRPr="007204AD">
        <w:rPr>
          <w:color w:val="auto"/>
        </w:rPr>
        <w:t xml:space="preserve"> dat dit de komende jaren toeneemt, is de inzet op uitbreiding van het aantal plekken alleen niet toereikend. Daarom zet ik </w:t>
      </w:r>
      <w:proofErr w:type="gramStart"/>
      <w:r w:rsidRPr="007204AD">
        <w:rPr>
          <w:color w:val="auto"/>
        </w:rPr>
        <w:t>tevens</w:t>
      </w:r>
      <w:proofErr w:type="gramEnd"/>
      <w:r w:rsidRPr="007204AD">
        <w:rPr>
          <w:color w:val="auto"/>
        </w:rPr>
        <w:t xml:space="preserve"> in op het bevorderen van de doorstroom</w:t>
      </w:r>
      <w:r w:rsidRPr="007204AD" w:rsidR="00F2065B">
        <w:rPr>
          <w:color w:val="auto"/>
        </w:rPr>
        <w:t>.</w:t>
      </w:r>
      <w:r w:rsidRPr="007204AD" w:rsidR="00574106">
        <w:rPr>
          <w:color w:val="auto"/>
        </w:rPr>
        <w:t xml:space="preserve"> </w:t>
      </w:r>
      <w:r w:rsidRPr="007204AD">
        <w:rPr>
          <w:color w:val="auto"/>
        </w:rPr>
        <w:t xml:space="preserve">Naarmate de behandeling vordert, kan de zorg op een lager beveiligingsniveau plaatsvinden. </w:t>
      </w:r>
      <w:r w:rsidRPr="007204AD" w:rsidR="00E65246">
        <w:rPr>
          <w:color w:val="auto"/>
        </w:rPr>
        <w:t xml:space="preserve">Het is </w:t>
      </w:r>
      <w:r w:rsidRPr="007204AD" w:rsidR="00065AE3">
        <w:rPr>
          <w:color w:val="auto"/>
        </w:rPr>
        <w:t>belangrijk</w:t>
      </w:r>
      <w:r w:rsidRPr="007204AD" w:rsidR="00E65246">
        <w:rPr>
          <w:color w:val="auto"/>
        </w:rPr>
        <w:t xml:space="preserve"> dat tbs-gestelden niet langer dan nodig hoog</w:t>
      </w:r>
      <w:r w:rsidRPr="007204AD" w:rsidR="00E52345">
        <w:rPr>
          <w:color w:val="auto"/>
        </w:rPr>
        <w:t xml:space="preserve"> beveiligde plekken </w:t>
      </w:r>
      <w:r w:rsidRPr="007204AD" w:rsidR="00E52345">
        <w:rPr>
          <w:color w:val="auto"/>
        </w:rPr>
        <w:lastRenderedPageBreak/>
        <w:t>bezet houden</w:t>
      </w:r>
      <w:r w:rsidRPr="007204AD" w:rsidR="00EF610F">
        <w:rPr>
          <w:color w:val="auto"/>
        </w:rPr>
        <w:t>. Daarom</w:t>
      </w:r>
      <w:r w:rsidRPr="007204AD" w:rsidR="00E52345">
        <w:rPr>
          <w:color w:val="auto"/>
        </w:rPr>
        <w:t xml:space="preserve"> </w:t>
      </w:r>
      <w:r w:rsidRPr="007204AD" w:rsidR="00EF610F">
        <w:rPr>
          <w:color w:val="auto"/>
        </w:rPr>
        <w:t xml:space="preserve">heeft DJI </w:t>
      </w:r>
      <w:r w:rsidRPr="007204AD" w:rsidR="00E52345">
        <w:rPr>
          <w:color w:val="auto"/>
        </w:rPr>
        <w:t xml:space="preserve">samen met de tbs-klinieken en de overige forensische zorgaanbieders </w:t>
      </w:r>
      <w:r w:rsidRPr="007204AD" w:rsidR="00EF610F">
        <w:rPr>
          <w:color w:val="auto"/>
        </w:rPr>
        <w:t xml:space="preserve">een programma opgestart, </w:t>
      </w:r>
      <w:r w:rsidRPr="007204AD" w:rsidR="00E52345">
        <w:rPr>
          <w:color w:val="auto"/>
        </w:rPr>
        <w:t>om voldoende en passende capaciteit voor vervolgzorg</w:t>
      </w:r>
      <w:r w:rsidRPr="007204AD" w:rsidR="00896A6D">
        <w:rPr>
          <w:color w:val="auto"/>
        </w:rPr>
        <w:t xml:space="preserve"> tijdens de strafrechtelijke titel</w:t>
      </w:r>
      <w:r w:rsidRPr="007204AD" w:rsidR="00E52345">
        <w:rPr>
          <w:color w:val="auto"/>
        </w:rPr>
        <w:t xml:space="preserve"> te realiseren. Het programma heeft als doel om de door- en uitstroom in tbs-klinieken te optimaliseren. </w:t>
      </w:r>
      <w:bookmarkEnd w:id="4"/>
      <w:bookmarkEnd w:id="5"/>
      <w:r w:rsidRPr="007204AD" w:rsidR="00065AE3">
        <w:rPr>
          <w:color w:val="auto"/>
        </w:rPr>
        <w:t xml:space="preserve">Met name voor specifieke doelgroepen van tbs-gestelden is het vinden van passende vervolgzorg complex. In beginsel ligt de focus op doelgroepen met chronische problematiek die in verschillende mate toezicht en/of zorg nodig hebben op verschillende beveiligingsniveaus (m.n. </w:t>
      </w:r>
      <w:proofErr w:type="gramStart"/>
      <w:r w:rsidRPr="007204AD" w:rsidR="00065AE3">
        <w:rPr>
          <w:color w:val="auto"/>
        </w:rPr>
        <w:t>laag /</w:t>
      </w:r>
      <w:proofErr w:type="gramEnd"/>
      <w:r w:rsidRPr="007204AD" w:rsidR="00065AE3">
        <w:rPr>
          <w:color w:val="auto"/>
        </w:rPr>
        <w:t xml:space="preserve"> niet-beveiligd)</w:t>
      </w:r>
      <w:r w:rsidRPr="007204AD" w:rsidR="00C22A4D">
        <w:rPr>
          <w:color w:val="auto"/>
        </w:rPr>
        <w:t xml:space="preserve">. Op termijn kunnen hiermee 50 plaatsen op het </w:t>
      </w:r>
      <w:r w:rsidRPr="007204AD" w:rsidR="00065AE3">
        <w:t>hoogst beveiligde niveau worden vrijgespeeld</w:t>
      </w:r>
      <w:r w:rsidRPr="007204AD" w:rsidR="00065AE3">
        <w:rPr>
          <w:color w:val="auto"/>
        </w:rPr>
        <w:t>. Een voorbeeld van deze doelgroep zijn de oudere tbs-patiënten</w:t>
      </w:r>
      <w:r w:rsidRPr="007204AD" w:rsidR="0071519E">
        <w:rPr>
          <w:color w:val="auto"/>
        </w:rPr>
        <w:t xml:space="preserve"> (</w:t>
      </w:r>
      <w:r w:rsidRPr="007204AD" w:rsidR="00B33CCB">
        <w:rPr>
          <w:color w:val="auto"/>
        </w:rPr>
        <w:t>met somatische en</w:t>
      </w:r>
      <w:r w:rsidRPr="007204AD" w:rsidR="0071519E">
        <w:rPr>
          <w:color w:val="auto"/>
        </w:rPr>
        <w:t>/of</w:t>
      </w:r>
      <w:r w:rsidRPr="007204AD" w:rsidR="00B33CCB">
        <w:rPr>
          <w:color w:val="auto"/>
        </w:rPr>
        <w:t xml:space="preserve"> psychogeriatrische problematiek</w:t>
      </w:r>
      <w:r w:rsidRPr="007204AD" w:rsidR="0071519E">
        <w:rPr>
          <w:color w:val="auto"/>
        </w:rPr>
        <w:t xml:space="preserve">), </w:t>
      </w:r>
      <w:r w:rsidRPr="007204AD" w:rsidR="00B33CCB">
        <w:rPr>
          <w:color w:val="auto"/>
        </w:rPr>
        <w:t>waar binnen het programma met prioriteit op wordt ingezet.</w:t>
      </w:r>
    </w:p>
    <w:p w:rsidRPr="007204AD" w:rsidR="00065AE3" w:rsidP="00F3573C" w:rsidRDefault="00065AE3" w14:paraId="169A43E8" w14:textId="77777777">
      <w:pPr>
        <w:spacing w:line="276" w:lineRule="auto"/>
      </w:pPr>
    </w:p>
    <w:p w:rsidRPr="007204AD" w:rsidR="001E42E6" w:rsidP="00B87E77" w:rsidRDefault="00F2065B" w14:paraId="3D9D1871" w14:textId="1934EBA4">
      <w:pPr>
        <w:spacing w:line="276" w:lineRule="auto"/>
      </w:pPr>
      <w:bookmarkStart w:name="_Hlk224306346" w:id="6"/>
      <w:bookmarkEnd w:id="2"/>
      <w:r w:rsidRPr="007204AD">
        <w:t>Daarnaast zet ik s</w:t>
      </w:r>
      <w:r w:rsidRPr="007204AD" w:rsidR="007D5D22">
        <w:t xml:space="preserve">amen </w:t>
      </w:r>
      <w:r w:rsidRPr="007204AD" w:rsidR="00C47B7C">
        <w:t xml:space="preserve">met mijn ambtsgenoten van het </w:t>
      </w:r>
      <w:r w:rsidRPr="007204AD" w:rsidR="00D871DC">
        <w:t>m</w:t>
      </w:r>
      <w:r w:rsidRPr="007204AD" w:rsidR="00C47B7C">
        <w:t xml:space="preserve">inisterie </w:t>
      </w:r>
      <w:r w:rsidRPr="007204AD" w:rsidR="00E555AE">
        <w:t xml:space="preserve">van </w:t>
      </w:r>
      <w:r w:rsidRPr="007204AD" w:rsidR="00C47B7C">
        <w:t xml:space="preserve">VWS </w:t>
      </w:r>
      <w:r w:rsidRPr="007204AD" w:rsidR="0062278F">
        <w:t>stappen die moeten leiden tot</w:t>
      </w:r>
      <w:r w:rsidRPr="007204AD" w:rsidR="00C47B7C">
        <w:t xml:space="preserve"> een minder grote instroom in de forensische zorg</w:t>
      </w:r>
      <w:r w:rsidRPr="007204AD">
        <w:t>, een betere doorstroom vanuit de overige forensische zorg,</w:t>
      </w:r>
      <w:r w:rsidRPr="007204AD" w:rsidR="00C47B7C">
        <w:t xml:space="preserve"> en een beter georganiseerde en dus meer voorspoedig verlopende uitstroom naar de reguliere zorg en de gemeente.</w:t>
      </w:r>
      <w:r w:rsidRPr="007204AD" w:rsidR="00AB3C76">
        <w:t xml:space="preserve"> De maatregelen die ik hiervoor tref zijn uitgebreid toegelicht in de brief ‘Voortgang Werkagenda Aansluiting forensische zorg en reguliere zorg’.</w:t>
      </w:r>
      <w:r w:rsidRPr="007204AD" w:rsidR="00AB3C76">
        <w:rPr>
          <w:rStyle w:val="Voetnootmarkering"/>
        </w:rPr>
        <w:footnoteReference w:id="5"/>
      </w:r>
      <w:r w:rsidRPr="007204AD" w:rsidR="00AB3C76">
        <w:t xml:space="preserve"> </w:t>
      </w:r>
      <w:r w:rsidRPr="007204AD" w:rsidR="00400482">
        <w:t>Tot slot zet ik mij in</w:t>
      </w:r>
      <w:r w:rsidRPr="007204AD" w:rsidR="00C01F52">
        <w:t xml:space="preserve"> om</w:t>
      </w:r>
      <w:r w:rsidRPr="007204AD" w:rsidR="00400482">
        <w:t xml:space="preserve"> de uitstroom naar gemeenten te bevorderen.</w:t>
      </w:r>
      <w:r w:rsidRPr="007204AD" w:rsidR="00EF610F">
        <w:t xml:space="preserve"> Ik zal verkennen of de inzet van een taskforce of een bestuurlijk boegbeeld meerwaarde heeft.</w:t>
      </w:r>
    </w:p>
    <w:bookmarkEnd w:id="6"/>
    <w:p w:rsidRPr="007204AD" w:rsidR="006A7C41" w:rsidP="00B87E77" w:rsidRDefault="006A7C41" w14:paraId="0ABC769C" w14:textId="77777777">
      <w:pPr>
        <w:spacing w:line="276" w:lineRule="auto"/>
      </w:pPr>
    </w:p>
    <w:p w:rsidRPr="007204AD" w:rsidR="00AE12D2" w:rsidP="00AE12D2" w:rsidRDefault="00E65246" w14:paraId="097A807E" w14:textId="2C35094F">
      <w:pPr>
        <w:pStyle w:val="Lijstalinea"/>
        <w:numPr>
          <w:ilvl w:val="0"/>
          <w:numId w:val="7"/>
        </w:numPr>
        <w:spacing w:line="276" w:lineRule="auto"/>
        <w:rPr>
          <w:b/>
          <w:bCs/>
        </w:rPr>
      </w:pPr>
      <w:r w:rsidRPr="007204AD">
        <w:rPr>
          <w:b/>
          <w:bCs/>
        </w:rPr>
        <w:t>Eigen bijdrage</w:t>
      </w:r>
    </w:p>
    <w:p w:rsidRPr="007204AD" w:rsidR="00063354" w:rsidP="00063354" w:rsidRDefault="00063354" w14:paraId="73E7B743" w14:textId="13A4F493">
      <w:pPr>
        <w:spacing w:line="276" w:lineRule="auto"/>
      </w:pPr>
      <w:bookmarkStart w:name="_Hlk221802437" w:id="7"/>
      <w:r w:rsidRPr="007204AD">
        <w:t>In het Coalitieakkoord is het voornemen opgenomen om patiënten die op strafrechtelijke titel forensische zorg ontvangen, een eigen bijdrage te laten betalen. Eerder is door de toenmalige minister voor Rechtsbescherming aangekondigd de inkomens- en vermogensafhankelijke eigen bijdrage voor verblijf in de forensische zorg opnieuw in te voeren en een wijziging van de Wet forensische zorg (</w:t>
      </w:r>
      <w:proofErr w:type="spellStart"/>
      <w:r w:rsidRPr="007204AD">
        <w:t>Wfz</w:t>
      </w:r>
      <w:proofErr w:type="spellEnd"/>
      <w:r w:rsidRPr="007204AD">
        <w:t>) voor te bereiden.</w:t>
      </w:r>
      <w:r w:rsidRPr="007204AD">
        <w:rPr>
          <w:rStyle w:val="Voetnootmarkering"/>
        </w:rPr>
        <w:footnoteReference w:id="6"/>
      </w:r>
      <w:r w:rsidRPr="007204AD">
        <w:t xml:space="preserve"> Met het amendement van lid </w:t>
      </w:r>
      <w:proofErr w:type="spellStart"/>
      <w:r w:rsidRPr="007204AD">
        <w:t>Ellian</w:t>
      </w:r>
      <w:proofErr w:type="spellEnd"/>
      <w:r w:rsidRPr="007204AD">
        <w:t xml:space="preserve"> (VVD) tijdens de vaststelling van de begrotingsstaten van het ministerie van Justitie en Veiligheid 2025 is de </w:t>
      </w:r>
      <w:proofErr w:type="spellStart"/>
      <w:r w:rsidRPr="007204AD">
        <w:t>Wfz</w:t>
      </w:r>
      <w:proofErr w:type="spellEnd"/>
      <w:r w:rsidRPr="007204AD">
        <w:t xml:space="preserve"> gewijzigd waardoor de wettelijke mogelijkheid tot het vragen van een eigen bijdrage is gecreëerd.</w:t>
      </w:r>
      <w:r w:rsidRPr="007204AD">
        <w:rPr>
          <w:rStyle w:val="Voetnootmarkering"/>
        </w:rPr>
        <w:footnoteReference w:id="7"/>
      </w:r>
      <w:r w:rsidRPr="007204AD">
        <w:t xml:space="preserve"> Zoals de toenmalig Staatssecretaris voor Rechtsbescherming in de vorige voortgangsbrief beschreef, is het invoeren van een inkomens- en vermogensafhankelijke eigen bijdrage voor verblijf in de forensische zorg, naast de financiële afwegingen, een manier om rechtsgelijkheid in de kliniek te bevorderen. Ook leren de cliënten om te gaan met vaste lasten, zoals zij dit ook zullen moeten doen na hun strafrechtelijke titel. Dit draagt bij aan hun resocialisatieproces en daarmee de veiligheid in de kliniek en daarbuiten.  </w:t>
      </w:r>
    </w:p>
    <w:p w:rsidRPr="007204AD" w:rsidR="00063354" w:rsidP="00063354" w:rsidRDefault="00063354" w14:paraId="4E5A0C92" w14:textId="77777777">
      <w:pPr>
        <w:spacing w:line="276" w:lineRule="auto"/>
      </w:pPr>
    </w:p>
    <w:p w:rsidRPr="007204AD" w:rsidR="00063354" w:rsidP="00063354" w:rsidRDefault="00063354" w14:paraId="1B6E7177" w14:textId="2297C152">
      <w:pPr>
        <w:spacing w:line="276" w:lineRule="auto"/>
      </w:pPr>
      <w:r w:rsidRPr="007204AD">
        <w:t xml:space="preserve">Momenteel zoek ik naar een passende uitvoeringsorganisatie. Ik heb op dit moment twee uitvoeringsorganisaties, het CAK en het Centraal Justitieel Incassobureau (CJIB), benaderd om een impactanalyse uit te voeren. De </w:t>
      </w:r>
      <w:r w:rsidRPr="007204AD">
        <w:lastRenderedPageBreak/>
        <w:t>impactanalyse van het CAK geeft aan dat de kosten voor het uitvoeren van deze regeling relatief hoog zijn ten opzichte van de relatief kleine populatie</w:t>
      </w:r>
      <w:r w:rsidRPr="007204AD" w:rsidR="00B7724C">
        <w:t>.</w:t>
      </w:r>
      <w:r w:rsidRPr="007204AD">
        <w:t xml:space="preserve"> Het CAK trekt daarom de doelmatigheid van uitvoering van deze regeling door het CAK in twijfel, aldus de impactanalyse. Daarnaast bevat het Coalitieakkoord, naast de eigen bijdrage voor patiënten die forensische zorg ontvangen, diverse andere grotere maatregelen en wijzigingen die door het CAK uitgevoerd moeten gaan worden. Het volledige rapport inclusief de begeleidende brief van VWS, verantwoordelijk voor het CAK, vindt u in bijlage II van deze brief. De impactanalyse van het CJIB volgt later dit jaar. Overigens verwacht ik dat de wijziging ook impact heeft op DJI. Op basis van de impactanalyses neem ik, in overleg met de bewindspersonen van VWS, een besluit over de manier waarop ik de eigen bijdrage invoer. Hierbij heb ik uiteraard oog voor de uitvoerbaarheid. In de volgende voortgangsbrief forensische zorg in het najaar informeer ik uw Kamer over de voortgang. </w:t>
      </w:r>
    </w:p>
    <w:p w:rsidRPr="007204AD" w:rsidR="00063354" w:rsidP="00063354" w:rsidRDefault="00063354" w14:paraId="5CEB41D1" w14:textId="77777777">
      <w:pPr>
        <w:spacing w:line="276" w:lineRule="auto"/>
      </w:pPr>
    </w:p>
    <w:bookmarkEnd w:id="7"/>
    <w:p w:rsidRPr="007204AD" w:rsidR="003D6C6F" w:rsidP="00B87E77" w:rsidRDefault="003D6C6F" w14:paraId="733A3B63" w14:textId="14CAC5C2">
      <w:pPr>
        <w:pStyle w:val="Lijstalinea"/>
        <w:numPr>
          <w:ilvl w:val="0"/>
          <w:numId w:val="7"/>
        </w:numPr>
        <w:spacing w:line="276" w:lineRule="auto"/>
        <w:rPr>
          <w:b/>
          <w:bCs/>
        </w:rPr>
      </w:pPr>
      <w:r w:rsidRPr="007204AD">
        <w:rPr>
          <w:b/>
          <w:bCs/>
        </w:rPr>
        <w:t>Tot slot</w:t>
      </w:r>
    </w:p>
    <w:p w:rsidRPr="007204AD" w:rsidR="00AE12D2" w:rsidP="00B87E77" w:rsidRDefault="00AE12D2" w14:paraId="2D339847" w14:textId="0103AB62">
      <w:pPr>
        <w:spacing w:line="276" w:lineRule="auto"/>
      </w:pPr>
      <w:r w:rsidRPr="007204AD">
        <w:rPr>
          <w:color w:val="auto"/>
        </w:rPr>
        <w:t xml:space="preserve">In deze brief schets ik </w:t>
      </w:r>
      <w:r w:rsidRPr="007204AD" w:rsidR="004B7F5B">
        <w:rPr>
          <w:color w:val="auto"/>
        </w:rPr>
        <w:t xml:space="preserve">een aantal </w:t>
      </w:r>
      <w:r w:rsidRPr="007204AD" w:rsidR="00880D73">
        <w:rPr>
          <w:color w:val="auto"/>
        </w:rPr>
        <w:t xml:space="preserve">lopende </w:t>
      </w:r>
      <w:r w:rsidRPr="007204AD" w:rsidR="004B7F5B">
        <w:rPr>
          <w:color w:val="auto"/>
        </w:rPr>
        <w:t>maatregelen</w:t>
      </w:r>
      <w:r w:rsidRPr="007204AD" w:rsidR="00880D73">
        <w:rPr>
          <w:color w:val="auto"/>
        </w:rPr>
        <w:t xml:space="preserve"> en geef ik aan nieuwe maatregelen te willen verkennen</w:t>
      </w:r>
      <w:r w:rsidRPr="007204AD" w:rsidR="004B7F5B">
        <w:rPr>
          <w:color w:val="auto"/>
        </w:rPr>
        <w:t xml:space="preserve"> ten behoeve van</w:t>
      </w:r>
      <w:r w:rsidRPr="007204AD">
        <w:rPr>
          <w:color w:val="auto"/>
        </w:rPr>
        <w:t xml:space="preserve"> de capaciteitsproblematiek in de forensische zorg. Ik </w:t>
      </w:r>
      <w:r w:rsidRPr="007204AD" w:rsidR="002B114C">
        <w:rPr>
          <w:color w:val="auto"/>
        </w:rPr>
        <w:t>wil benadrukken</w:t>
      </w:r>
      <w:r w:rsidRPr="007204AD">
        <w:rPr>
          <w:color w:val="auto"/>
        </w:rPr>
        <w:t xml:space="preserve"> dat er </w:t>
      </w:r>
      <w:r w:rsidRPr="007204AD" w:rsidR="00541610">
        <w:rPr>
          <w:color w:val="auto"/>
        </w:rPr>
        <w:t>naast de korte termijn problematiek ook</w:t>
      </w:r>
      <w:r w:rsidRPr="007204AD">
        <w:rPr>
          <w:color w:val="auto"/>
        </w:rPr>
        <w:t xml:space="preserve"> grote vraagstukken </w:t>
      </w:r>
      <w:r w:rsidRPr="007204AD" w:rsidR="00541610">
        <w:rPr>
          <w:color w:val="auto"/>
        </w:rPr>
        <w:t xml:space="preserve">op de lange termijn </w:t>
      </w:r>
      <w:r w:rsidRPr="007204AD" w:rsidR="002B114C">
        <w:rPr>
          <w:color w:val="auto"/>
        </w:rPr>
        <w:t>spelen</w:t>
      </w:r>
      <w:r w:rsidRPr="007204AD">
        <w:rPr>
          <w:color w:val="auto"/>
        </w:rPr>
        <w:t xml:space="preserve">. De stijgende zorgvraag en de personeelsschaarste zijn ontwikkelingen die </w:t>
      </w:r>
      <w:r w:rsidRPr="007204AD" w:rsidR="004601D0">
        <w:rPr>
          <w:color w:val="auto"/>
        </w:rPr>
        <w:t xml:space="preserve">zowel </w:t>
      </w:r>
      <w:r w:rsidRPr="007204AD">
        <w:rPr>
          <w:color w:val="auto"/>
        </w:rPr>
        <w:t xml:space="preserve">de reguliere zorg </w:t>
      </w:r>
      <w:r w:rsidRPr="007204AD" w:rsidR="004601D0">
        <w:rPr>
          <w:color w:val="auto"/>
        </w:rPr>
        <w:t xml:space="preserve">als de forensische zorg </w:t>
      </w:r>
      <w:r w:rsidRPr="007204AD">
        <w:rPr>
          <w:color w:val="auto"/>
        </w:rPr>
        <w:t>raken</w:t>
      </w:r>
      <w:r w:rsidRPr="007204AD" w:rsidR="004601D0">
        <w:rPr>
          <w:color w:val="auto"/>
        </w:rPr>
        <w:t>.</w:t>
      </w:r>
      <w:r w:rsidRPr="007204AD">
        <w:rPr>
          <w:color w:val="auto"/>
        </w:rPr>
        <w:t xml:space="preserve"> </w:t>
      </w:r>
      <w:r w:rsidRPr="007204AD" w:rsidR="00344751">
        <w:rPr>
          <w:color w:val="auto"/>
        </w:rPr>
        <w:t xml:space="preserve">Enerzijds blijf ik mij </w:t>
      </w:r>
      <w:r w:rsidRPr="007204AD">
        <w:rPr>
          <w:color w:val="auto"/>
        </w:rPr>
        <w:t xml:space="preserve">– samen met </w:t>
      </w:r>
      <w:r w:rsidRPr="007204AD" w:rsidR="00F2065B">
        <w:rPr>
          <w:color w:val="auto"/>
        </w:rPr>
        <w:t>DJI en de betrokken ketenpartners</w:t>
      </w:r>
      <w:r w:rsidRPr="007204AD" w:rsidR="00574106">
        <w:rPr>
          <w:color w:val="auto"/>
        </w:rPr>
        <w:t xml:space="preserve"> </w:t>
      </w:r>
      <w:r w:rsidRPr="007204AD" w:rsidR="00896A6D">
        <w:rPr>
          <w:color w:val="auto"/>
        </w:rPr>
        <w:t>–</w:t>
      </w:r>
      <w:r w:rsidRPr="007204AD" w:rsidR="00344751">
        <w:rPr>
          <w:color w:val="auto"/>
        </w:rPr>
        <w:t xml:space="preserve"> </w:t>
      </w:r>
      <w:r w:rsidRPr="007204AD" w:rsidR="000B21E8">
        <w:rPr>
          <w:color w:val="auto"/>
        </w:rPr>
        <w:t xml:space="preserve">inzetten op het optimaal gebruik maken van de beschikbare capaciteit. Anderzijds </w:t>
      </w:r>
      <w:r w:rsidRPr="007204AD" w:rsidR="00126A07">
        <w:rPr>
          <w:color w:val="auto"/>
        </w:rPr>
        <w:t>ga ik aan de slag om tot veranderingen</w:t>
      </w:r>
      <w:r w:rsidRPr="007204AD" w:rsidR="002B114C">
        <w:rPr>
          <w:color w:val="auto"/>
        </w:rPr>
        <w:t xml:space="preserve"> </w:t>
      </w:r>
      <w:r w:rsidRPr="007204AD" w:rsidR="00126A07">
        <w:rPr>
          <w:color w:val="auto"/>
        </w:rPr>
        <w:t xml:space="preserve">in het stelsel te komen die </w:t>
      </w:r>
      <w:r w:rsidRPr="007204AD" w:rsidR="000B21E8">
        <w:rPr>
          <w:color w:val="auto"/>
        </w:rPr>
        <w:t xml:space="preserve">kunnen bijdragen aan het oplossen van </w:t>
      </w:r>
      <w:r w:rsidRPr="007204AD" w:rsidR="00F2065B">
        <w:rPr>
          <w:color w:val="auto"/>
        </w:rPr>
        <w:t xml:space="preserve">het capaciteitsvraagstuk en daarmee </w:t>
      </w:r>
      <w:r w:rsidRPr="007204AD" w:rsidR="00A40378">
        <w:rPr>
          <w:color w:val="auto"/>
        </w:rPr>
        <w:t xml:space="preserve">de maatschappelijke </w:t>
      </w:r>
      <w:r w:rsidRPr="007204AD" w:rsidR="00F2065B">
        <w:rPr>
          <w:color w:val="auto"/>
        </w:rPr>
        <w:t xml:space="preserve">doelen </w:t>
      </w:r>
      <w:r w:rsidRPr="007204AD" w:rsidR="00A40378">
        <w:rPr>
          <w:color w:val="auto"/>
        </w:rPr>
        <w:t xml:space="preserve">van de forensische </w:t>
      </w:r>
      <w:r w:rsidRPr="007204AD" w:rsidR="00896A6D">
        <w:rPr>
          <w:color w:val="auto"/>
        </w:rPr>
        <w:t>zorg</w:t>
      </w:r>
      <w:r w:rsidRPr="007204AD">
        <w:rPr>
          <w:color w:val="auto"/>
        </w:rPr>
        <w:t>.</w:t>
      </w:r>
      <w:r w:rsidRPr="007204AD" w:rsidR="00E555AE">
        <w:rPr>
          <w:color w:val="auto"/>
        </w:rPr>
        <w:t xml:space="preserve"> De intensieve samenwerking</w:t>
      </w:r>
      <w:r w:rsidRPr="007204AD" w:rsidR="00880D73">
        <w:rPr>
          <w:color w:val="auto"/>
        </w:rPr>
        <w:t xml:space="preserve"> binnen de Werkagenda ‘aansluiting reguliere en forensische zorg’</w:t>
      </w:r>
      <w:r w:rsidRPr="007204AD" w:rsidR="00E555AE">
        <w:rPr>
          <w:color w:val="auto"/>
        </w:rPr>
        <w:t xml:space="preserve"> met het ministerie van VWS zet </w:t>
      </w:r>
      <w:r w:rsidRPr="007204AD" w:rsidR="00CB7C33">
        <w:rPr>
          <w:color w:val="auto"/>
        </w:rPr>
        <w:t>ik</w:t>
      </w:r>
      <w:r w:rsidRPr="007204AD" w:rsidR="00E555AE">
        <w:rPr>
          <w:color w:val="auto"/>
        </w:rPr>
        <w:t xml:space="preserve"> voort, om de aansluiting te verbeteren en te versterken. Tot slot is p</w:t>
      </w:r>
      <w:r w:rsidRPr="007204AD" w:rsidR="00812FDE">
        <w:t xml:space="preserve">olitiek </w:t>
      </w:r>
      <w:r w:rsidRPr="007204AD" w:rsidR="006970A8">
        <w:t>en maatschappelijk draagvlak</w:t>
      </w:r>
      <w:r w:rsidRPr="007204AD" w:rsidR="00812FDE">
        <w:t xml:space="preserve"> </w:t>
      </w:r>
      <w:r w:rsidRPr="007204AD" w:rsidR="00E555AE">
        <w:t>van</w:t>
      </w:r>
      <w:r w:rsidRPr="007204AD" w:rsidR="00812FDE">
        <w:t xml:space="preserve"> groot belang, om </w:t>
      </w:r>
      <w:r w:rsidRPr="007204AD">
        <w:t>alles op alles</w:t>
      </w:r>
      <w:r w:rsidRPr="007204AD" w:rsidR="00812FDE">
        <w:t xml:space="preserve"> te</w:t>
      </w:r>
      <w:r w:rsidRPr="007204AD">
        <w:t xml:space="preserve"> zetten om het forensische zorgstelsel te</w:t>
      </w:r>
      <w:r w:rsidRPr="007204AD" w:rsidR="004B7F5B">
        <w:t xml:space="preserve"> behouden</w:t>
      </w:r>
      <w:r w:rsidRPr="007204AD" w:rsidR="006970A8">
        <w:t xml:space="preserve"> en te versterken ten behoeve van de veiligheid van de maatschappij. Alleen door samenwerking kunnen wij ervoor zorgen dat mensen na behandeling veilig kunnen terugkeren en participeren in de maatschappij.</w:t>
      </w:r>
    </w:p>
    <w:p w:rsidRPr="007204AD" w:rsidR="009174ED" w:rsidP="00B87E77" w:rsidRDefault="009174ED" w14:paraId="1A3AE514" w14:textId="77777777">
      <w:pPr>
        <w:spacing w:line="276" w:lineRule="auto"/>
      </w:pPr>
    </w:p>
    <w:p w:rsidRPr="007204AD" w:rsidR="009174ED" w:rsidP="00B87E77" w:rsidRDefault="009174ED" w14:paraId="34526DC8" w14:textId="77777777">
      <w:pPr>
        <w:spacing w:line="276" w:lineRule="auto"/>
      </w:pPr>
    </w:p>
    <w:p w:rsidRPr="007204AD" w:rsidR="009174ED" w:rsidP="00B87E77" w:rsidRDefault="009174ED" w14:paraId="13DA5D8A" w14:textId="68E78D5E">
      <w:pPr>
        <w:spacing w:line="276" w:lineRule="auto"/>
      </w:pPr>
      <w:r w:rsidRPr="007204AD">
        <w:t>De Staatsecretaris Justitie en Veiligheid</w:t>
      </w:r>
    </w:p>
    <w:p w:rsidRPr="007204AD" w:rsidR="009174ED" w:rsidP="00B87E77" w:rsidRDefault="009174ED" w14:paraId="6756C143" w14:textId="77777777">
      <w:pPr>
        <w:spacing w:line="276" w:lineRule="auto"/>
      </w:pPr>
    </w:p>
    <w:p w:rsidRPr="007204AD" w:rsidR="009174ED" w:rsidP="00B87E77" w:rsidRDefault="009174ED" w14:paraId="0994F428" w14:textId="77777777">
      <w:pPr>
        <w:spacing w:line="276" w:lineRule="auto"/>
      </w:pPr>
    </w:p>
    <w:p w:rsidRPr="007204AD" w:rsidR="009174ED" w:rsidP="00B87E77" w:rsidRDefault="009174ED" w14:paraId="42BCEC7E" w14:textId="77777777">
      <w:pPr>
        <w:spacing w:line="276" w:lineRule="auto"/>
      </w:pPr>
    </w:p>
    <w:p w:rsidRPr="007204AD" w:rsidR="009174ED" w:rsidP="00B87E77" w:rsidRDefault="009174ED" w14:paraId="1EB40295" w14:textId="77777777">
      <w:pPr>
        <w:spacing w:line="276" w:lineRule="auto"/>
      </w:pPr>
    </w:p>
    <w:p w:rsidRPr="000B21E8" w:rsidR="009174ED" w:rsidP="00B87E77" w:rsidRDefault="009174ED" w14:paraId="2AAE325A" w14:textId="28BC1D3B">
      <w:pPr>
        <w:spacing w:line="276" w:lineRule="auto"/>
        <w:rPr>
          <w:color w:val="auto"/>
        </w:rPr>
      </w:pPr>
      <w:r w:rsidRPr="007204AD">
        <w:t>Claudia van Bruggen</w:t>
      </w:r>
    </w:p>
    <w:p w:rsidR="005447CD" w:rsidRDefault="005447CD" w14:paraId="0D0CD756" w14:textId="58F71125">
      <w:pPr>
        <w:spacing w:line="240" w:lineRule="auto"/>
        <w:rPr>
          <w:b/>
          <w:bCs/>
          <w:i/>
          <w:iCs/>
        </w:rPr>
      </w:pPr>
    </w:p>
    <w:sectPr w:rsidR="005447C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C269" w14:textId="77777777" w:rsidR="003B61AA" w:rsidRDefault="003B61AA">
      <w:pPr>
        <w:spacing w:line="240" w:lineRule="auto"/>
      </w:pPr>
      <w:r>
        <w:separator/>
      </w:r>
    </w:p>
  </w:endnote>
  <w:endnote w:type="continuationSeparator" w:id="0">
    <w:p w14:paraId="308BADFC" w14:textId="77777777" w:rsidR="003B61AA" w:rsidRDefault="003B6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Klee One"/>
    <w:charset w:val="00"/>
    <w:family w:val="roman"/>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ACE" w14:textId="77777777" w:rsidR="00D57CC4" w:rsidRDefault="00D57CC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08B6" w14:textId="77777777" w:rsidR="003B61AA" w:rsidRDefault="003B61AA">
      <w:pPr>
        <w:spacing w:line="240" w:lineRule="auto"/>
      </w:pPr>
      <w:r>
        <w:separator/>
      </w:r>
    </w:p>
  </w:footnote>
  <w:footnote w:type="continuationSeparator" w:id="0">
    <w:p w14:paraId="796D5803" w14:textId="77777777" w:rsidR="003B61AA" w:rsidRDefault="003B61AA">
      <w:pPr>
        <w:spacing w:line="240" w:lineRule="auto"/>
      </w:pPr>
      <w:r>
        <w:continuationSeparator/>
      </w:r>
    </w:p>
  </w:footnote>
  <w:footnote w:id="1">
    <w:p w14:paraId="7A73624E" w14:textId="68D27433" w:rsidR="003122DC" w:rsidRPr="00364A47" w:rsidRDefault="00896A6D" w:rsidP="00896A6D">
      <w:pPr>
        <w:pStyle w:val="Voetnoottekst"/>
        <w:rPr>
          <w:rFonts w:ascii="Verdana" w:hAnsi="Verdana"/>
          <w:sz w:val="16"/>
          <w:szCs w:val="16"/>
        </w:rPr>
      </w:pPr>
      <w:r w:rsidRPr="00364A47">
        <w:rPr>
          <w:rStyle w:val="Voetnootmarkering"/>
          <w:rFonts w:ascii="Verdana" w:hAnsi="Verdana"/>
          <w:sz w:val="16"/>
          <w:szCs w:val="16"/>
        </w:rPr>
        <w:footnoteRef/>
      </w:r>
      <w:r w:rsidRPr="00364A47">
        <w:rPr>
          <w:rFonts w:ascii="Verdana" w:hAnsi="Verdana"/>
          <w:sz w:val="16"/>
          <w:szCs w:val="16"/>
        </w:rPr>
        <w:t xml:space="preserve"> Voortgangsbrief forensische zorg</w:t>
      </w:r>
      <w:r w:rsidR="003122DC" w:rsidRPr="00364A47">
        <w:rPr>
          <w:rFonts w:ascii="Verdana" w:hAnsi="Verdana"/>
          <w:sz w:val="16"/>
          <w:szCs w:val="16"/>
        </w:rPr>
        <w:t xml:space="preserve">, </w:t>
      </w:r>
      <w:r w:rsidR="007B0FBA" w:rsidRPr="00364A47">
        <w:rPr>
          <w:rFonts w:ascii="Verdana" w:hAnsi="Verdana"/>
          <w:i/>
          <w:iCs/>
          <w:sz w:val="16"/>
          <w:szCs w:val="16"/>
        </w:rPr>
        <w:t xml:space="preserve">Kamerstukken II, </w:t>
      </w:r>
      <w:r w:rsidR="003122DC" w:rsidRPr="00364A47">
        <w:rPr>
          <w:rFonts w:ascii="Verdana" w:hAnsi="Verdana"/>
          <w:sz w:val="16"/>
          <w:szCs w:val="16"/>
        </w:rPr>
        <w:t xml:space="preserve">2023/2024, 33628, nr. 110, bijlage </w:t>
      </w:r>
      <w:r w:rsidR="007B0FBA" w:rsidRPr="00364A47">
        <w:rPr>
          <w:rFonts w:ascii="Verdana" w:hAnsi="Verdana"/>
          <w:sz w:val="16"/>
          <w:szCs w:val="16"/>
        </w:rPr>
        <w:t>feiten en cijfers</w:t>
      </w:r>
    </w:p>
  </w:footnote>
  <w:footnote w:id="2">
    <w:p w14:paraId="3AB10F46" w14:textId="48072243" w:rsidR="00421AF4" w:rsidRPr="00364A47" w:rsidRDefault="00421AF4">
      <w:pPr>
        <w:pStyle w:val="Voetnoottekst"/>
        <w:rPr>
          <w:rFonts w:ascii="Verdana" w:hAnsi="Verdana"/>
          <w:sz w:val="16"/>
          <w:szCs w:val="16"/>
        </w:rPr>
      </w:pPr>
      <w:r w:rsidRPr="00364A47">
        <w:rPr>
          <w:rStyle w:val="Voetnootmarkering"/>
          <w:rFonts w:ascii="Verdana" w:hAnsi="Verdana"/>
          <w:sz w:val="16"/>
          <w:szCs w:val="16"/>
        </w:rPr>
        <w:footnoteRef/>
      </w:r>
      <w:r w:rsidR="003122DC" w:rsidRPr="00364A47">
        <w:rPr>
          <w:rFonts w:ascii="Verdana" w:hAnsi="Verdana"/>
          <w:sz w:val="16"/>
          <w:szCs w:val="16"/>
        </w:rPr>
        <w:t xml:space="preserve"> Beantwoording schriftelijke vragen van het lid Schilder, </w:t>
      </w:r>
      <w:r w:rsidR="007B0FBA" w:rsidRPr="00364A47">
        <w:rPr>
          <w:rFonts w:ascii="Verdana" w:hAnsi="Verdana"/>
          <w:i/>
          <w:iCs/>
          <w:sz w:val="16"/>
          <w:szCs w:val="16"/>
        </w:rPr>
        <w:t xml:space="preserve">Aanhangsel handelingen II </w:t>
      </w:r>
      <w:r w:rsidR="003122DC" w:rsidRPr="00364A47">
        <w:rPr>
          <w:rFonts w:ascii="Verdana" w:hAnsi="Verdana"/>
          <w:sz w:val="16"/>
          <w:szCs w:val="16"/>
        </w:rPr>
        <w:t xml:space="preserve">2025/2026, </w:t>
      </w:r>
      <w:r w:rsidR="007B0FBA" w:rsidRPr="00364A47">
        <w:rPr>
          <w:rFonts w:ascii="Verdana" w:hAnsi="Verdana"/>
          <w:sz w:val="16"/>
          <w:szCs w:val="16"/>
        </w:rPr>
        <w:t>nr. 796</w:t>
      </w:r>
    </w:p>
  </w:footnote>
  <w:footnote w:id="3">
    <w:p w14:paraId="40454661" w14:textId="77777777" w:rsidR="00CC6FD9" w:rsidRPr="00364A47" w:rsidRDefault="00CC6FD9" w:rsidP="00CC6FD9">
      <w:pPr>
        <w:pStyle w:val="Voetnoottekst"/>
        <w:rPr>
          <w:rFonts w:ascii="Verdana" w:hAnsi="Verdana"/>
          <w:sz w:val="16"/>
          <w:szCs w:val="16"/>
        </w:rPr>
      </w:pPr>
      <w:r w:rsidRPr="00364A47">
        <w:rPr>
          <w:rStyle w:val="Voetnootmarkering"/>
          <w:rFonts w:ascii="Verdana" w:hAnsi="Verdana"/>
          <w:sz w:val="16"/>
          <w:szCs w:val="16"/>
        </w:rPr>
        <w:footnoteRef/>
      </w:r>
      <w:r w:rsidRPr="00364A47">
        <w:rPr>
          <w:rFonts w:ascii="Verdana" w:hAnsi="Verdana"/>
          <w:sz w:val="16"/>
          <w:szCs w:val="16"/>
        </w:rPr>
        <w:t xml:space="preserve"> Voortgangsbrief forensische zorg, </w:t>
      </w:r>
      <w:r w:rsidRPr="00364A47">
        <w:rPr>
          <w:rFonts w:ascii="Verdana" w:hAnsi="Verdana"/>
          <w:i/>
          <w:iCs/>
          <w:sz w:val="16"/>
          <w:szCs w:val="16"/>
        </w:rPr>
        <w:t>Kamerstukken II</w:t>
      </w:r>
      <w:r w:rsidRPr="00364A47">
        <w:rPr>
          <w:rFonts w:ascii="Verdana" w:hAnsi="Verdana"/>
          <w:sz w:val="16"/>
          <w:szCs w:val="16"/>
        </w:rPr>
        <w:t>, 2024/2025, 33628, nr. 110</w:t>
      </w:r>
    </w:p>
  </w:footnote>
  <w:footnote w:id="4">
    <w:p w14:paraId="10E9ED62" w14:textId="0CBF4872" w:rsidR="0006572C" w:rsidRPr="00364A47" w:rsidRDefault="0006572C">
      <w:pPr>
        <w:pStyle w:val="Voetnoottekst"/>
        <w:rPr>
          <w:rFonts w:ascii="Verdana" w:hAnsi="Verdana"/>
          <w:sz w:val="16"/>
          <w:szCs w:val="16"/>
        </w:rPr>
      </w:pPr>
      <w:r w:rsidRPr="003A289A">
        <w:rPr>
          <w:rStyle w:val="Voetnootmarkering"/>
          <w:rFonts w:ascii="Verdana" w:hAnsi="Verdana"/>
          <w:sz w:val="16"/>
          <w:szCs w:val="16"/>
        </w:rPr>
        <w:footnoteRef/>
      </w:r>
      <w:r w:rsidRPr="003A289A">
        <w:rPr>
          <w:rFonts w:ascii="Verdana" w:hAnsi="Verdana"/>
          <w:sz w:val="16"/>
          <w:szCs w:val="16"/>
        </w:rPr>
        <w:t xml:space="preserve"> We zien dat </w:t>
      </w:r>
      <w:r w:rsidR="00364A47" w:rsidRPr="003A289A">
        <w:rPr>
          <w:rFonts w:ascii="Verdana" w:hAnsi="Verdana"/>
          <w:sz w:val="16"/>
          <w:szCs w:val="16"/>
        </w:rPr>
        <w:t xml:space="preserve">technologie zorgtaken kan verlichten en de druk op zorgprofessionals kan verlagen. Zorgverzekeraars Nederland </w:t>
      </w:r>
      <w:r w:rsidR="00364A47" w:rsidRPr="003A289A">
        <w:rPr>
          <w:rFonts w:ascii="Verdana" w:hAnsi="Verdana"/>
          <w:i/>
          <w:iCs/>
          <w:sz w:val="16"/>
          <w:szCs w:val="16"/>
        </w:rPr>
        <w:t xml:space="preserve">- In de praktijk bewezen digitale en sociale initiatieven. </w:t>
      </w:r>
      <w:r w:rsidR="00364A47" w:rsidRPr="003A289A">
        <w:rPr>
          <w:rFonts w:ascii="Verdana" w:hAnsi="Verdana"/>
          <w:sz w:val="16"/>
          <w:szCs w:val="16"/>
        </w:rPr>
        <w:t xml:space="preserve">Link: </w:t>
      </w:r>
      <w:hyperlink r:id="rId1" w:history="1">
        <w:r w:rsidR="00364A47" w:rsidRPr="003A289A">
          <w:rPr>
            <w:rStyle w:val="Hyperlink"/>
            <w:rFonts w:ascii="Verdana" w:hAnsi="Verdana"/>
            <w:sz w:val="16"/>
            <w:szCs w:val="16"/>
          </w:rPr>
          <w:t>In de praktijk bewezen digitale en sociale initiatieven - Zorgverzekeraars Nederland</w:t>
        </w:r>
      </w:hyperlink>
    </w:p>
  </w:footnote>
  <w:footnote w:id="5">
    <w:p w14:paraId="6145290F" w14:textId="75B44E7A" w:rsidR="00AB3C76" w:rsidRPr="00364A47" w:rsidRDefault="00AB3C76" w:rsidP="00AB3C76">
      <w:pPr>
        <w:pStyle w:val="Voetnoottekst"/>
        <w:rPr>
          <w:rFonts w:ascii="Verdana" w:hAnsi="Verdana"/>
          <w:sz w:val="16"/>
          <w:szCs w:val="16"/>
        </w:rPr>
      </w:pPr>
      <w:r w:rsidRPr="00364A47">
        <w:rPr>
          <w:rStyle w:val="Voetnootmarkering"/>
          <w:rFonts w:ascii="Verdana" w:hAnsi="Verdana"/>
          <w:sz w:val="16"/>
          <w:szCs w:val="16"/>
        </w:rPr>
        <w:footnoteRef/>
      </w:r>
      <w:r w:rsidRPr="00364A47">
        <w:rPr>
          <w:rFonts w:ascii="Verdana" w:hAnsi="Verdana"/>
          <w:sz w:val="16"/>
          <w:szCs w:val="16"/>
        </w:rPr>
        <w:t xml:space="preserve"> Kamerbrief over voortgang Werkagenda Aansluiting forensische zorg en reguliere zorg</w:t>
      </w:r>
      <w:r w:rsidR="00BE646E" w:rsidRPr="00364A47">
        <w:rPr>
          <w:rFonts w:ascii="Verdana" w:hAnsi="Verdana"/>
          <w:sz w:val="16"/>
          <w:szCs w:val="16"/>
        </w:rPr>
        <w:t xml:space="preserve">, </w:t>
      </w:r>
      <w:r w:rsidR="00BE646E" w:rsidRPr="00364A47">
        <w:rPr>
          <w:rFonts w:ascii="Verdana" w:hAnsi="Verdana"/>
          <w:i/>
          <w:iCs/>
          <w:sz w:val="16"/>
          <w:szCs w:val="16"/>
        </w:rPr>
        <w:t xml:space="preserve">Kamerstukken II, </w:t>
      </w:r>
      <w:r w:rsidR="00BE646E" w:rsidRPr="00364A47">
        <w:rPr>
          <w:rFonts w:ascii="Verdana" w:hAnsi="Verdana"/>
          <w:sz w:val="16"/>
          <w:szCs w:val="16"/>
        </w:rPr>
        <w:t>2025/2026, 33628; 25424, nr. 112.</w:t>
      </w:r>
    </w:p>
  </w:footnote>
  <w:footnote w:id="6">
    <w:p w14:paraId="31A46E4F" w14:textId="77777777" w:rsidR="00063354" w:rsidRDefault="00063354" w:rsidP="0006335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Kamerbrief van de Minister voor Rechtsbescherming over Justitiële inrichtingen, </w:t>
      </w:r>
      <w:r>
        <w:rPr>
          <w:rFonts w:ascii="Verdana" w:hAnsi="Verdana"/>
          <w:i/>
          <w:iCs/>
          <w:sz w:val="16"/>
          <w:szCs w:val="16"/>
        </w:rPr>
        <w:t xml:space="preserve">Kamerstukken II, </w:t>
      </w:r>
      <w:r>
        <w:rPr>
          <w:rFonts w:ascii="Verdana" w:hAnsi="Verdana"/>
          <w:sz w:val="16"/>
          <w:szCs w:val="16"/>
        </w:rPr>
        <w:t>2021/2022, 24587, nr. 856.</w:t>
      </w:r>
    </w:p>
  </w:footnote>
  <w:footnote w:id="7">
    <w:p w14:paraId="0C28A9C3" w14:textId="77777777" w:rsidR="00063354" w:rsidRDefault="00063354" w:rsidP="0006335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Vaststelling van de begrotingsstaten van het Ministerie van Justitie en Veiligheid (VI) voor het jaar 2025, </w:t>
      </w:r>
      <w:r>
        <w:rPr>
          <w:rFonts w:ascii="Verdana" w:hAnsi="Verdana"/>
          <w:i/>
          <w:iCs/>
          <w:sz w:val="16"/>
          <w:szCs w:val="16"/>
        </w:rPr>
        <w:t xml:space="preserve">Kamerstukken II, </w:t>
      </w:r>
      <w:r>
        <w:rPr>
          <w:rFonts w:ascii="Verdana" w:hAnsi="Verdana"/>
          <w:sz w:val="16"/>
          <w:szCs w:val="16"/>
        </w:rPr>
        <w:t>2024/2025,</w:t>
      </w:r>
      <w:r>
        <w:rPr>
          <w:rFonts w:ascii="Verdana" w:hAnsi="Verdana"/>
          <w:i/>
          <w:iCs/>
          <w:sz w:val="16"/>
          <w:szCs w:val="16"/>
        </w:rPr>
        <w:t xml:space="preserve"> </w:t>
      </w:r>
      <w:r>
        <w:rPr>
          <w:rFonts w:ascii="Verdana" w:hAnsi="Verdana"/>
          <w:sz w:val="16"/>
          <w:szCs w:val="16"/>
        </w:rPr>
        <w:t>36600 VI, nr.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EDF2" w14:textId="7BB2C553" w:rsidR="00D57CC4" w:rsidRDefault="00A529D1">
    <w:r>
      <w:rPr>
        <w:noProof/>
      </w:rPr>
      <mc:AlternateContent>
        <mc:Choice Requires="wps">
          <w:drawing>
            <wp:anchor distT="0" distB="0" distL="0" distR="0" simplePos="0" relativeHeight="251652608" behindDoc="0" locked="1" layoutInCell="1" allowOverlap="1" wp14:anchorId="5095D19B" wp14:editId="1E9711D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6398B4" w14:textId="77777777" w:rsidR="00D57CC4" w:rsidRDefault="00A529D1">
                          <w:pPr>
                            <w:pStyle w:val="Referentiegegevensbold"/>
                          </w:pPr>
                          <w:r>
                            <w:t>Directoraat-Generaal Straffen en Beschermen</w:t>
                          </w:r>
                        </w:p>
                        <w:p w14:paraId="2CE61D4A" w14:textId="77777777" w:rsidR="00D57CC4" w:rsidRDefault="00A529D1">
                          <w:pPr>
                            <w:pStyle w:val="Referentiegegevens"/>
                          </w:pPr>
                          <w:r>
                            <w:t>Directie Sanctie- en Slachtofferbeleid</w:t>
                          </w:r>
                        </w:p>
                        <w:p w14:paraId="12FE68F1" w14:textId="77777777" w:rsidR="00D57CC4" w:rsidRDefault="00A529D1">
                          <w:pPr>
                            <w:pStyle w:val="Referentiegegevens"/>
                          </w:pPr>
                          <w:r>
                            <w:t xml:space="preserve">For. </w:t>
                          </w:r>
                          <w:proofErr w:type="gramStart"/>
                          <w:r>
                            <w:t>zorg</w:t>
                          </w:r>
                          <w:proofErr w:type="gramEnd"/>
                          <w:r>
                            <w:t xml:space="preserve"> en verwarden</w:t>
                          </w:r>
                        </w:p>
                        <w:p w14:paraId="450C9CD9" w14:textId="77777777" w:rsidR="00D57CC4" w:rsidRDefault="00D57CC4">
                          <w:pPr>
                            <w:pStyle w:val="WitregelW2"/>
                          </w:pPr>
                        </w:p>
                        <w:p w14:paraId="0FEA0C9F" w14:textId="77777777" w:rsidR="00D57CC4" w:rsidRDefault="00A529D1">
                          <w:pPr>
                            <w:pStyle w:val="Referentiegegevensbold"/>
                          </w:pPr>
                          <w:r>
                            <w:t>Datum</w:t>
                          </w:r>
                        </w:p>
                        <w:p w14:paraId="20F2F6CC" w14:textId="43316EA3" w:rsidR="00D57CC4" w:rsidRDefault="000324E8">
                          <w:pPr>
                            <w:pStyle w:val="Referentiegegevens"/>
                          </w:pPr>
                          <w:sdt>
                            <w:sdtPr>
                              <w:id w:val="-1056541138"/>
                              <w:date w:fullDate="2026-03-20T00:00:00Z">
                                <w:dateFormat w:val="d MMMM yyyy"/>
                                <w:lid w:val="nl"/>
                                <w:storeMappedDataAs w:val="dateTime"/>
                                <w:calendar w:val="gregorian"/>
                              </w:date>
                            </w:sdtPr>
                            <w:sdtEndPr/>
                            <w:sdtContent>
                              <w:r w:rsidR="00CB5890">
                                <w:rPr>
                                  <w:lang w:val="nl"/>
                                </w:rPr>
                                <w:t>20 maart 2026</w:t>
                              </w:r>
                            </w:sdtContent>
                          </w:sdt>
                        </w:p>
                        <w:p w14:paraId="23F2AB14" w14:textId="77777777" w:rsidR="00D57CC4" w:rsidRDefault="00D57CC4">
                          <w:pPr>
                            <w:pStyle w:val="WitregelW1"/>
                          </w:pPr>
                        </w:p>
                        <w:p w14:paraId="2F99F63C" w14:textId="77777777" w:rsidR="00D57CC4" w:rsidRDefault="00A529D1">
                          <w:pPr>
                            <w:pStyle w:val="Referentiegegevensbold"/>
                          </w:pPr>
                          <w:r>
                            <w:t>Onze referentie</w:t>
                          </w:r>
                        </w:p>
                        <w:p w14:paraId="408818B7" w14:textId="77777777" w:rsidR="00D57CC4" w:rsidRDefault="00A529D1">
                          <w:pPr>
                            <w:pStyle w:val="Referentiegegevens"/>
                          </w:pPr>
                          <w:r>
                            <w:t>7245896</w:t>
                          </w:r>
                        </w:p>
                      </w:txbxContent>
                    </wps:txbx>
                    <wps:bodyPr vert="horz" wrap="square" lIns="0" tIns="0" rIns="0" bIns="0" anchor="t" anchorCtr="0"/>
                  </wps:wsp>
                </a:graphicData>
              </a:graphic>
            </wp:anchor>
          </w:drawing>
        </mc:Choice>
        <mc:Fallback>
          <w:pict>
            <v:shapetype w14:anchorId="5095D19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96398B4" w14:textId="77777777" w:rsidR="00D57CC4" w:rsidRDefault="00A529D1">
                    <w:pPr>
                      <w:pStyle w:val="Referentiegegevensbold"/>
                    </w:pPr>
                    <w:r>
                      <w:t>Directoraat-Generaal Straffen en Beschermen</w:t>
                    </w:r>
                  </w:p>
                  <w:p w14:paraId="2CE61D4A" w14:textId="77777777" w:rsidR="00D57CC4" w:rsidRDefault="00A529D1">
                    <w:pPr>
                      <w:pStyle w:val="Referentiegegevens"/>
                    </w:pPr>
                    <w:r>
                      <w:t>Directie Sanctie- en Slachtofferbeleid</w:t>
                    </w:r>
                  </w:p>
                  <w:p w14:paraId="12FE68F1" w14:textId="77777777" w:rsidR="00D57CC4" w:rsidRDefault="00A529D1">
                    <w:pPr>
                      <w:pStyle w:val="Referentiegegevens"/>
                    </w:pPr>
                    <w:r>
                      <w:t xml:space="preserve">For. </w:t>
                    </w:r>
                    <w:proofErr w:type="gramStart"/>
                    <w:r>
                      <w:t>zorg</w:t>
                    </w:r>
                    <w:proofErr w:type="gramEnd"/>
                    <w:r>
                      <w:t xml:space="preserve"> en verwarden</w:t>
                    </w:r>
                  </w:p>
                  <w:p w14:paraId="450C9CD9" w14:textId="77777777" w:rsidR="00D57CC4" w:rsidRDefault="00D57CC4">
                    <w:pPr>
                      <w:pStyle w:val="WitregelW2"/>
                    </w:pPr>
                  </w:p>
                  <w:p w14:paraId="0FEA0C9F" w14:textId="77777777" w:rsidR="00D57CC4" w:rsidRDefault="00A529D1">
                    <w:pPr>
                      <w:pStyle w:val="Referentiegegevensbold"/>
                    </w:pPr>
                    <w:r>
                      <w:t>Datum</w:t>
                    </w:r>
                  </w:p>
                  <w:p w14:paraId="20F2F6CC" w14:textId="43316EA3" w:rsidR="00D57CC4" w:rsidRDefault="000324E8">
                    <w:pPr>
                      <w:pStyle w:val="Referentiegegevens"/>
                    </w:pPr>
                    <w:sdt>
                      <w:sdtPr>
                        <w:id w:val="-1056541138"/>
                        <w:date w:fullDate="2026-03-20T00:00:00Z">
                          <w:dateFormat w:val="d MMMM yyyy"/>
                          <w:lid w:val="nl"/>
                          <w:storeMappedDataAs w:val="dateTime"/>
                          <w:calendar w:val="gregorian"/>
                        </w:date>
                      </w:sdtPr>
                      <w:sdtEndPr/>
                      <w:sdtContent>
                        <w:r w:rsidR="00CB5890">
                          <w:rPr>
                            <w:lang w:val="nl"/>
                          </w:rPr>
                          <w:t>20 maart 2026</w:t>
                        </w:r>
                      </w:sdtContent>
                    </w:sdt>
                  </w:p>
                  <w:p w14:paraId="23F2AB14" w14:textId="77777777" w:rsidR="00D57CC4" w:rsidRDefault="00D57CC4">
                    <w:pPr>
                      <w:pStyle w:val="WitregelW1"/>
                    </w:pPr>
                  </w:p>
                  <w:p w14:paraId="2F99F63C" w14:textId="77777777" w:rsidR="00D57CC4" w:rsidRDefault="00A529D1">
                    <w:pPr>
                      <w:pStyle w:val="Referentiegegevensbold"/>
                    </w:pPr>
                    <w:r>
                      <w:t>Onze referentie</w:t>
                    </w:r>
                  </w:p>
                  <w:p w14:paraId="408818B7" w14:textId="77777777" w:rsidR="00D57CC4" w:rsidRDefault="00A529D1">
                    <w:pPr>
                      <w:pStyle w:val="Referentiegegevens"/>
                    </w:pPr>
                    <w:r>
                      <w:t>7245896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494E3A4" wp14:editId="7EEDBF5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DD1570E" w14:textId="77777777" w:rsidR="00A529D1" w:rsidRDefault="00A529D1"/>
                      </w:txbxContent>
                    </wps:txbx>
                    <wps:bodyPr vert="horz" wrap="square" lIns="0" tIns="0" rIns="0" bIns="0" anchor="t" anchorCtr="0"/>
                  </wps:wsp>
                </a:graphicData>
              </a:graphic>
            </wp:anchor>
          </w:drawing>
        </mc:Choice>
        <mc:Fallback>
          <w:pict>
            <v:shape w14:anchorId="2494E3A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DD1570E" w14:textId="77777777" w:rsidR="00A529D1" w:rsidRDefault="00A529D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1D1CE90" wp14:editId="68EE241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77F17D" w14:textId="7D61951B" w:rsidR="00D57CC4" w:rsidRDefault="00A529D1">
                          <w:pPr>
                            <w:pStyle w:val="Referentiegegevens"/>
                          </w:pPr>
                          <w:r>
                            <w:t xml:space="preserve">Pagina </w:t>
                          </w:r>
                          <w:r>
                            <w:fldChar w:fldCharType="begin"/>
                          </w:r>
                          <w:r>
                            <w:instrText>PAGE</w:instrText>
                          </w:r>
                          <w:r>
                            <w:fldChar w:fldCharType="separate"/>
                          </w:r>
                          <w:r w:rsidR="00B328F2">
                            <w:rPr>
                              <w:noProof/>
                            </w:rPr>
                            <w:t>2</w:t>
                          </w:r>
                          <w:r>
                            <w:fldChar w:fldCharType="end"/>
                          </w:r>
                          <w:r>
                            <w:t xml:space="preserve"> van </w:t>
                          </w:r>
                          <w:r>
                            <w:fldChar w:fldCharType="begin"/>
                          </w:r>
                          <w:r>
                            <w:instrText>NUMPAGES</w:instrText>
                          </w:r>
                          <w:r>
                            <w:fldChar w:fldCharType="separate"/>
                          </w:r>
                          <w:r w:rsidR="00E31329">
                            <w:rPr>
                              <w:noProof/>
                            </w:rPr>
                            <w:t>1</w:t>
                          </w:r>
                          <w:r>
                            <w:fldChar w:fldCharType="end"/>
                          </w:r>
                        </w:p>
                      </w:txbxContent>
                    </wps:txbx>
                    <wps:bodyPr vert="horz" wrap="square" lIns="0" tIns="0" rIns="0" bIns="0" anchor="t" anchorCtr="0"/>
                  </wps:wsp>
                </a:graphicData>
              </a:graphic>
            </wp:anchor>
          </w:drawing>
        </mc:Choice>
        <mc:Fallback>
          <w:pict>
            <v:shape w14:anchorId="01D1CE9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C77F17D" w14:textId="7D61951B" w:rsidR="00D57CC4" w:rsidRDefault="00A529D1">
                    <w:pPr>
                      <w:pStyle w:val="Referentiegegevens"/>
                    </w:pPr>
                    <w:r>
                      <w:t xml:space="preserve">Pagina </w:t>
                    </w:r>
                    <w:r>
                      <w:fldChar w:fldCharType="begin"/>
                    </w:r>
                    <w:r>
                      <w:instrText>PAGE</w:instrText>
                    </w:r>
                    <w:r>
                      <w:fldChar w:fldCharType="separate"/>
                    </w:r>
                    <w:r w:rsidR="00B328F2">
                      <w:rPr>
                        <w:noProof/>
                      </w:rPr>
                      <w:t>2</w:t>
                    </w:r>
                    <w:r>
                      <w:fldChar w:fldCharType="end"/>
                    </w:r>
                    <w:r>
                      <w:t xml:space="preserve"> van </w:t>
                    </w:r>
                    <w:r>
                      <w:fldChar w:fldCharType="begin"/>
                    </w:r>
                    <w:r>
                      <w:instrText>NUMPAGES</w:instrText>
                    </w:r>
                    <w:r>
                      <w:fldChar w:fldCharType="separate"/>
                    </w:r>
                    <w:r w:rsidR="00E3132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C07C" w14:textId="70CD30EA" w:rsidR="00D57CC4" w:rsidRDefault="00A529D1">
    <w:pPr>
      <w:spacing w:after="6377" w:line="14" w:lineRule="exact"/>
    </w:pPr>
    <w:r>
      <w:rPr>
        <w:noProof/>
      </w:rPr>
      <mc:AlternateContent>
        <mc:Choice Requires="wps">
          <w:drawing>
            <wp:anchor distT="0" distB="0" distL="0" distR="0" simplePos="0" relativeHeight="251655680" behindDoc="0" locked="1" layoutInCell="1" allowOverlap="1" wp14:anchorId="12EB1532" wp14:editId="5F98E84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163F23" w14:textId="77777777" w:rsidR="00CF5251" w:rsidRDefault="00A529D1">
                          <w:r>
                            <w:t xml:space="preserve">Aan de Voorzitter van de Tweede Kamer </w:t>
                          </w:r>
                        </w:p>
                        <w:p w14:paraId="2DA6CD7A" w14:textId="251BBC5F" w:rsidR="00D57CC4" w:rsidRDefault="00A529D1">
                          <w:proofErr w:type="gramStart"/>
                          <w:r>
                            <w:t>der</w:t>
                          </w:r>
                          <w:proofErr w:type="gramEnd"/>
                          <w:r>
                            <w:t xml:space="preserve"> Staten-Generaal</w:t>
                          </w:r>
                        </w:p>
                        <w:p w14:paraId="7325849A" w14:textId="77777777" w:rsidR="00D57CC4" w:rsidRDefault="00A529D1">
                          <w:r>
                            <w:t xml:space="preserve">Postbus 20018 </w:t>
                          </w:r>
                        </w:p>
                        <w:p w14:paraId="015D0C7F" w14:textId="77777777" w:rsidR="00D57CC4" w:rsidRDefault="00A529D1">
                          <w:r>
                            <w:t>2500 EA  DEN HAAG</w:t>
                          </w:r>
                        </w:p>
                      </w:txbxContent>
                    </wps:txbx>
                    <wps:bodyPr vert="horz" wrap="square" lIns="0" tIns="0" rIns="0" bIns="0" anchor="t" anchorCtr="0"/>
                  </wps:wsp>
                </a:graphicData>
              </a:graphic>
            </wp:anchor>
          </w:drawing>
        </mc:Choice>
        <mc:Fallback>
          <w:pict>
            <v:shapetype w14:anchorId="12EB153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4163F23" w14:textId="77777777" w:rsidR="00CF5251" w:rsidRDefault="00A529D1">
                    <w:r>
                      <w:t xml:space="preserve">Aan de Voorzitter van de Tweede Kamer </w:t>
                    </w:r>
                  </w:p>
                  <w:p w14:paraId="2DA6CD7A" w14:textId="251BBC5F" w:rsidR="00D57CC4" w:rsidRDefault="00A529D1">
                    <w:proofErr w:type="gramStart"/>
                    <w:r>
                      <w:t>der</w:t>
                    </w:r>
                    <w:proofErr w:type="gramEnd"/>
                    <w:r>
                      <w:t xml:space="preserve"> Staten-Generaal</w:t>
                    </w:r>
                  </w:p>
                  <w:p w14:paraId="7325849A" w14:textId="77777777" w:rsidR="00D57CC4" w:rsidRDefault="00A529D1">
                    <w:r>
                      <w:t xml:space="preserve">Postbus 20018 </w:t>
                    </w:r>
                  </w:p>
                  <w:p w14:paraId="015D0C7F" w14:textId="77777777" w:rsidR="00D57CC4" w:rsidRDefault="00A529D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81469E1" wp14:editId="122E8E0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57CC4" w14:paraId="58C4278A" w14:textId="77777777">
                            <w:trPr>
                              <w:trHeight w:val="240"/>
                            </w:trPr>
                            <w:tc>
                              <w:tcPr>
                                <w:tcW w:w="1140" w:type="dxa"/>
                              </w:tcPr>
                              <w:p w14:paraId="6534DE3D" w14:textId="77777777" w:rsidR="00D57CC4" w:rsidRDefault="00A529D1">
                                <w:r>
                                  <w:t>Datum</w:t>
                                </w:r>
                              </w:p>
                            </w:tc>
                            <w:tc>
                              <w:tcPr>
                                <w:tcW w:w="5918" w:type="dxa"/>
                              </w:tcPr>
                              <w:p w14:paraId="383EB575" w14:textId="3C23FEE7" w:rsidR="00D57CC4" w:rsidRPr="004601D0" w:rsidRDefault="000324E8">
                                <w:sdt>
                                  <w:sdtPr>
                                    <w:id w:val="1884353714"/>
                                    <w:date w:fullDate="2026-03-20T00:00:00Z">
                                      <w:dateFormat w:val="d MMMM yyyy"/>
                                      <w:lid w:val="nl"/>
                                      <w:storeMappedDataAs w:val="dateTime"/>
                                      <w:calendar w:val="gregorian"/>
                                    </w:date>
                                  </w:sdtPr>
                                  <w:sdtEndPr/>
                                  <w:sdtContent>
                                    <w:r w:rsidR="00C75BB5">
                                      <w:rPr>
                                        <w:lang w:val="nl"/>
                                      </w:rPr>
                                      <w:t>20 maart 2026</w:t>
                                    </w:r>
                                  </w:sdtContent>
                                </w:sdt>
                              </w:p>
                            </w:tc>
                          </w:tr>
                          <w:tr w:rsidR="00D57CC4" w14:paraId="47D837C0" w14:textId="77777777">
                            <w:trPr>
                              <w:trHeight w:val="240"/>
                            </w:trPr>
                            <w:tc>
                              <w:tcPr>
                                <w:tcW w:w="1140" w:type="dxa"/>
                              </w:tcPr>
                              <w:p w14:paraId="782DB165" w14:textId="77777777" w:rsidR="00D57CC4" w:rsidRDefault="00A529D1">
                                <w:r>
                                  <w:t>Betreft</w:t>
                                </w:r>
                              </w:p>
                            </w:tc>
                            <w:tc>
                              <w:tcPr>
                                <w:tcW w:w="5918" w:type="dxa"/>
                              </w:tcPr>
                              <w:p w14:paraId="0BFB6ED9" w14:textId="77777777" w:rsidR="00D57CC4" w:rsidRDefault="00A529D1">
                                <w:r>
                                  <w:t>Voortgangsbrief forensische zorg</w:t>
                                </w:r>
                              </w:p>
                            </w:tc>
                          </w:tr>
                        </w:tbl>
                        <w:p w14:paraId="4CDF8E13" w14:textId="77777777" w:rsidR="00A529D1" w:rsidRDefault="00A529D1"/>
                      </w:txbxContent>
                    </wps:txbx>
                    <wps:bodyPr vert="horz" wrap="square" lIns="0" tIns="0" rIns="0" bIns="0" anchor="t" anchorCtr="0"/>
                  </wps:wsp>
                </a:graphicData>
              </a:graphic>
            </wp:anchor>
          </w:drawing>
        </mc:Choice>
        <mc:Fallback>
          <w:pict>
            <v:shape w14:anchorId="081469E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57CC4" w14:paraId="58C4278A" w14:textId="77777777">
                      <w:trPr>
                        <w:trHeight w:val="240"/>
                      </w:trPr>
                      <w:tc>
                        <w:tcPr>
                          <w:tcW w:w="1140" w:type="dxa"/>
                        </w:tcPr>
                        <w:p w14:paraId="6534DE3D" w14:textId="77777777" w:rsidR="00D57CC4" w:rsidRDefault="00A529D1">
                          <w:r>
                            <w:t>Datum</w:t>
                          </w:r>
                        </w:p>
                      </w:tc>
                      <w:tc>
                        <w:tcPr>
                          <w:tcW w:w="5918" w:type="dxa"/>
                        </w:tcPr>
                        <w:p w14:paraId="383EB575" w14:textId="3C23FEE7" w:rsidR="00D57CC4" w:rsidRPr="004601D0" w:rsidRDefault="000324E8">
                          <w:sdt>
                            <w:sdtPr>
                              <w:id w:val="1884353714"/>
                              <w:date w:fullDate="2026-03-20T00:00:00Z">
                                <w:dateFormat w:val="d MMMM yyyy"/>
                                <w:lid w:val="nl"/>
                                <w:storeMappedDataAs w:val="dateTime"/>
                                <w:calendar w:val="gregorian"/>
                              </w:date>
                            </w:sdtPr>
                            <w:sdtEndPr/>
                            <w:sdtContent>
                              <w:r w:rsidR="00C75BB5">
                                <w:rPr>
                                  <w:lang w:val="nl"/>
                                </w:rPr>
                                <w:t>20 maart 2026</w:t>
                              </w:r>
                            </w:sdtContent>
                          </w:sdt>
                        </w:p>
                      </w:tc>
                    </w:tr>
                    <w:tr w:rsidR="00D57CC4" w14:paraId="47D837C0" w14:textId="77777777">
                      <w:trPr>
                        <w:trHeight w:val="240"/>
                      </w:trPr>
                      <w:tc>
                        <w:tcPr>
                          <w:tcW w:w="1140" w:type="dxa"/>
                        </w:tcPr>
                        <w:p w14:paraId="782DB165" w14:textId="77777777" w:rsidR="00D57CC4" w:rsidRDefault="00A529D1">
                          <w:r>
                            <w:t>Betreft</w:t>
                          </w:r>
                        </w:p>
                      </w:tc>
                      <w:tc>
                        <w:tcPr>
                          <w:tcW w:w="5918" w:type="dxa"/>
                        </w:tcPr>
                        <w:p w14:paraId="0BFB6ED9" w14:textId="77777777" w:rsidR="00D57CC4" w:rsidRDefault="00A529D1">
                          <w:r>
                            <w:t>Voortgangsbrief forensische zorg</w:t>
                          </w:r>
                        </w:p>
                      </w:tc>
                    </w:tr>
                  </w:tbl>
                  <w:p w14:paraId="4CDF8E13" w14:textId="77777777" w:rsidR="00A529D1" w:rsidRDefault="00A529D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F0C0368" wp14:editId="2AEB643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4054B2" w14:textId="77777777" w:rsidR="00D57CC4" w:rsidRDefault="00A529D1">
                          <w:pPr>
                            <w:pStyle w:val="Referentiegegevensbold"/>
                          </w:pPr>
                          <w:r>
                            <w:t>Directoraat-Generaal Straffen en Beschermen</w:t>
                          </w:r>
                        </w:p>
                        <w:p w14:paraId="5EFDE6B0" w14:textId="77777777" w:rsidR="00D57CC4" w:rsidRDefault="00A529D1">
                          <w:pPr>
                            <w:pStyle w:val="Referentiegegevens"/>
                          </w:pPr>
                          <w:r>
                            <w:t>Directie Sanctie- en Slachtofferbeleid</w:t>
                          </w:r>
                        </w:p>
                        <w:p w14:paraId="4D87C65A" w14:textId="77777777" w:rsidR="00D57CC4" w:rsidRDefault="00A529D1">
                          <w:pPr>
                            <w:pStyle w:val="Referentiegegevens"/>
                          </w:pPr>
                          <w:r>
                            <w:t xml:space="preserve">For. </w:t>
                          </w:r>
                          <w:proofErr w:type="gramStart"/>
                          <w:r>
                            <w:t>zorg</w:t>
                          </w:r>
                          <w:proofErr w:type="gramEnd"/>
                          <w:r>
                            <w:t xml:space="preserve"> en verwarden</w:t>
                          </w:r>
                        </w:p>
                        <w:p w14:paraId="6CD1516B" w14:textId="77777777" w:rsidR="00D57CC4" w:rsidRDefault="00D57CC4">
                          <w:pPr>
                            <w:pStyle w:val="WitregelW1"/>
                          </w:pPr>
                        </w:p>
                        <w:p w14:paraId="352D7733" w14:textId="77777777" w:rsidR="00D57CC4" w:rsidRDefault="00A529D1">
                          <w:pPr>
                            <w:pStyle w:val="Referentiegegevens"/>
                          </w:pPr>
                          <w:r>
                            <w:t>Turfmarkt 147</w:t>
                          </w:r>
                        </w:p>
                        <w:p w14:paraId="2C42A6C9" w14:textId="77777777" w:rsidR="00D57CC4" w:rsidRPr="00C924F5" w:rsidRDefault="00A529D1">
                          <w:pPr>
                            <w:pStyle w:val="Referentiegegevens"/>
                            <w:rPr>
                              <w:lang w:val="de-DE"/>
                            </w:rPr>
                          </w:pPr>
                          <w:r w:rsidRPr="00C924F5">
                            <w:rPr>
                              <w:lang w:val="de-DE"/>
                            </w:rPr>
                            <w:t>2511 DP   Den Haag</w:t>
                          </w:r>
                        </w:p>
                        <w:p w14:paraId="14053CE5" w14:textId="77777777" w:rsidR="00D57CC4" w:rsidRPr="00C924F5" w:rsidRDefault="00A529D1">
                          <w:pPr>
                            <w:pStyle w:val="Referentiegegevens"/>
                            <w:rPr>
                              <w:lang w:val="de-DE"/>
                            </w:rPr>
                          </w:pPr>
                          <w:r w:rsidRPr="00C924F5">
                            <w:rPr>
                              <w:lang w:val="de-DE"/>
                            </w:rPr>
                            <w:t>Postbus 20301</w:t>
                          </w:r>
                        </w:p>
                        <w:p w14:paraId="27FDE8CC" w14:textId="77777777" w:rsidR="00D57CC4" w:rsidRPr="00C924F5" w:rsidRDefault="00A529D1">
                          <w:pPr>
                            <w:pStyle w:val="Referentiegegevens"/>
                            <w:rPr>
                              <w:lang w:val="de-DE"/>
                            </w:rPr>
                          </w:pPr>
                          <w:r w:rsidRPr="00C924F5">
                            <w:rPr>
                              <w:lang w:val="de-DE"/>
                            </w:rPr>
                            <w:t>2500 EH   Den Haag</w:t>
                          </w:r>
                        </w:p>
                        <w:p w14:paraId="52D89826" w14:textId="77777777" w:rsidR="00D57CC4" w:rsidRPr="00C924F5" w:rsidRDefault="00A529D1">
                          <w:pPr>
                            <w:pStyle w:val="Referentiegegevens"/>
                            <w:rPr>
                              <w:lang w:val="de-DE"/>
                            </w:rPr>
                          </w:pPr>
                          <w:r w:rsidRPr="00C924F5">
                            <w:rPr>
                              <w:lang w:val="de-DE"/>
                            </w:rPr>
                            <w:t>www.rijksoverheid.nl/jenv</w:t>
                          </w:r>
                        </w:p>
                        <w:p w14:paraId="5A51D2EE" w14:textId="77777777" w:rsidR="00D57CC4" w:rsidRPr="00C924F5" w:rsidRDefault="00D57CC4">
                          <w:pPr>
                            <w:pStyle w:val="WitregelW2"/>
                            <w:rPr>
                              <w:lang w:val="de-DE"/>
                            </w:rPr>
                          </w:pPr>
                        </w:p>
                        <w:p w14:paraId="1015C83C" w14:textId="77777777" w:rsidR="00D57CC4" w:rsidRDefault="00A529D1">
                          <w:pPr>
                            <w:pStyle w:val="Referentiegegevensbold"/>
                          </w:pPr>
                          <w:r>
                            <w:t>Onze referentie</w:t>
                          </w:r>
                        </w:p>
                        <w:p w14:paraId="2EAF5C1F" w14:textId="77777777" w:rsidR="00D57CC4" w:rsidRDefault="00A529D1">
                          <w:pPr>
                            <w:pStyle w:val="Referentiegegevens"/>
                          </w:pPr>
                          <w:r>
                            <w:t>7245896</w:t>
                          </w:r>
                        </w:p>
                        <w:p w14:paraId="186DDF31" w14:textId="77777777" w:rsidR="00D57CC4" w:rsidRDefault="00D57CC4">
                          <w:pPr>
                            <w:pStyle w:val="WitregelW1"/>
                          </w:pPr>
                        </w:p>
                        <w:p w14:paraId="175E91AD" w14:textId="78A82D86" w:rsidR="00D57CC4" w:rsidRDefault="00D57CC4">
                          <w:pPr>
                            <w:pStyle w:val="Referentiegegevens"/>
                          </w:pPr>
                        </w:p>
                      </w:txbxContent>
                    </wps:txbx>
                    <wps:bodyPr vert="horz" wrap="square" lIns="0" tIns="0" rIns="0" bIns="0" anchor="t" anchorCtr="0"/>
                  </wps:wsp>
                </a:graphicData>
              </a:graphic>
            </wp:anchor>
          </w:drawing>
        </mc:Choice>
        <mc:Fallback>
          <w:pict>
            <v:shape w14:anchorId="1F0C036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04054B2" w14:textId="77777777" w:rsidR="00D57CC4" w:rsidRDefault="00A529D1">
                    <w:pPr>
                      <w:pStyle w:val="Referentiegegevensbold"/>
                    </w:pPr>
                    <w:r>
                      <w:t>Directoraat-Generaal Straffen en Beschermen</w:t>
                    </w:r>
                  </w:p>
                  <w:p w14:paraId="5EFDE6B0" w14:textId="77777777" w:rsidR="00D57CC4" w:rsidRDefault="00A529D1">
                    <w:pPr>
                      <w:pStyle w:val="Referentiegegevens"/>
                    </w:pPr>
                    <w:r>
                      <w:t>Directie Sanctie- en Slachtofferbeleid</w:t>
                    </w:r>
                  </w:p>
                  <w:p w14:paraId="4D87C65A" w14:textId="77777777" w:rsidR="00D57CC4" w:rsidRDefault="00A529D1">
                    <w:pPr>
                      <w:pStyle w:val="Referentiegegevens"/>
                    </w:pPr>
                    <w:r>
                      <w:t xml:space="preserve">For. </w:t>
                    </w:r>
                    <w:proofErr w:type="gramStart"/>
                    <w:r>
                      <w:t>zorg</w:t>
                    </w:r>
                    <w:proofErr w:type="gramEnd"/>
                    <w:r>
                      <w:t xml:space="preserve"> en verwarden</w:t>
                    </w:r>
                  </w:p>
                  <w:p w14:paraId="6CD1516B" w14:textId="77777777" w:rsidR="00D57CC4" w:rsidRDefault="00D57CC4">
                    <w:pPr>
                      <w:pStyle w:val="WitregelW1"/>
                    </w:pPr>
                  </w:p>
                  <w:p w14:paraId="352D7733" w14:textId="77777777" w:rsidR="00D57CC4" w:rsidRDefault="00A529D1">
                    <w:pPr>
                      <w:pStyle w:val="Referentiegegevens"/>
                    </w:pPr>
                    <w:r>
                      <w:t>Turfmarkt 147</w:t>
                    </w:r>
                  </w:p>
                  <w:p w14:paraId="2C42A6C9" w14:textId="77777777" w:rsidR="00D57CC4" w:rsidRPr="00C924F5" w:rsidRDefault="00A529D1">
                    <w:pPr>
                      <w:pStyle w:val="Referentiegegevens"/>
                      <w:rPr>
                        <w:lang w:val="de-DE"/>
                      </w:rPr>
                    </w:pPr>
                    <w:r w:rsidRPr="00C924F5">
                      <w:rPr>
                        <w:lang w:val="de-DE"/>
                      </w:rPr>
                      <w:t>2511 DP   Den Haag</w:t>
                    </w:r>
                  </w:p>
                  <w:p w14:paraId="14053CE5" w14:textId="77777777" w:rsidR="00D57CC4" w:rsidRPr="00C924F5" w:rsidRDefault="00A529D1">
                    <w:pPr>
                      <w:pStyle w:val="Referentiegegevens"/>
                      <w:rPr>
                        <w:lang w:val="de-DE"/>
                      </w:rPr>
                    </w:pPr>
                    <w:r w:rsidRPr="00C924F5">
                      <w:rPr>
                        <w:lang w:val="de-DE"/>
                      </w:rPr>
                      <w:t>Postbus 20301</w:t>
                    </w:r>
                  </w:p>
                  <w:p w14:paraId="27FDE8CC" w14:textId="77777777" w:rsidR="00D57CC4" w:rsidRPr="00C924F5" w:rsidRDefault="00A529D1">
                    <w:pPr>
                      <w:pStyle w:val="Referentiegegevens"/>
                      <w:rPr>
                        <w:lang w:val="de-DE"/>
                      </w:rPr>
                    </w:pPr>
                    <w:r w:rsidRPr="00C924F5">
                      <w:rPr>
                        <w:lang w:val="de-DE"/>
                      </w:rPr>
                      <w:t>2500 EH   Den Haag</w:t>
                    </w:r>
                  </w:p>
                  <w:p w14:paraId="52D89826" w14:textId="77777777" w:rsidR="00D57CC4" w:rsidRPr="00C924F5" w:rsidRDefault="00A529D1">
                    <w:pPr>
                      <w:pStyle w:val="Referentiegegevens"/>
                      <w:rPr>
                        <w:lang w:val="de-DE"/>
                      </w:rPr>
                    </w:pPr>
                    <w:r w:rsidRPr="00C924F5">
                      <w:rPr>
                        <w:lang w:val="de-DE"/>
                      </w:rPr>
                      <w:t>www.rijksoverheid.nl/jenv</w:t>
                    </w:r>
                  </w:p>
                  <w:p w14:paraId="5A51D2EE" w14:textId="77777777" w:rsidR="00D57CC4" w:rsidRPr="00C924F5" w:rsidRDefault="00D57CC4">
                    <w:pPr>
                      <w:pStyle w:val="WitregelW2"/>
                      <w:rPr>
                        <w:lang w:val="de-DE"/>
                      </w:rPr>
                    </w:pPr>
                  </w:p>
                  <w:p w14:paraId="1015C83C" w14:textId="77777777" w:rsidR="00D57CC4" w:rsidRDefault="00A529D1">
                    <w:pPr>
                      <w:pStyle w:val="Referentiegegevensbold"/>
                    </w:pPr>
                    <w:r>
                      <w:t>Onze referentie</w:t>
                    </w:r>
                  </w:p>
                  <w:p w14:paraId="2EAF5C1F" w14:textId="77777777" w:rsidR="00D57CC4" w:rsidRDefault="00A529D1">
                    <w:pPr>
                      <w:pStyle w:val="Referentiegegevens"/>
                    </w:pPr>
                    <w:r>
                      <w:t>7245896</w:t>
                    </w:r>
                  </w:p>
                  <w:p w14:paraId="186DDF31" w14:textId="77777777" w:rsidR="00D57CC4" w:rsidRDefault="00D57CC4">
                    <w:pPr>
                      <w:pStyle w:val="WitregelW1"/>
                    </w:pPr>
                  </w:p>
                  <w:p w14:paraId="175E91AD" w14:textId="78A82D86" w:rsidR="00D57CC4" w:rsidRDefault="00D57CC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370EECC" wp14:editId="3E85C6E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02F142" w14:textId="77777777" w:rsidR="00A529D1" w:rsidRDefault="00A529D1"/>
                      </w:txbxContent>
                    </wps:txbx>
                    <wps:bodyPr vert="horz" wrap="square" lIns="0" tIns="0" rIns="0" bIns="0" anchor="t" anchorCtr="0"/>
                  </wps:wsp>
                </a:graphicData>
              </a:graphic>
            </wp:anchor>
          </w:drawing>
        </mc:Choice>
        <mc:Fallback>
          <w:pict>
            <v:shape w14:anchorId="2370EEC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E02F142" w14:textId="77777777" w:rsidR="00A529D1" w:rsidRDefault="00A529D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D2C47A3" wp14:editId="16C5092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32C53A" w14:textId="77777777" w:rsidR="00D57CC4" w:rsidRDefault="00A529D1">
                          <w:pPr>
                            <w:pStyle w:val="Referentiegegevens"/>
                          </w:pPr>
                          <w:r>
                            <w:t xml:space="preserve">Pagina </w:t>
                          </w:r>
                          <w:r>
                            <w:fldChar w:fldCharType="begin"/>
                          </w:r>
                          <w:r>
                            <w:instrText>PAGE</w:instrText>
                          </w:r>
                          <w:r>
                            <w:fldChar w:fldCharType="separate"/>
                          </w:r>
                          <w:r w:rsidR="00E31329">
                            <w:rPr>
                              <w:noProof/>
                            </w:rPr>
                            <w:t>1</w:t>
                          </w:r>
                          <w:r>
                            <w:fldChar w:fldCharType="end"/>
                          </w:r>
                          <w:r>
                            <w:t xml:space="preserve"> van </w:t>
                          </w:r>
                          <w:r>
                            <w:fldChar w:fldCharType="begin"/>
                          </w:r>
                          <w:r>
                            <w:instrText>NUMPAGES</w:instrText>
                          </w:r>
                          <w:r>
                            <w:fldChar w:fldCharType="separate"/>
                          </w:r>
                          <w:r w:rsidR="00E31329">
                            <w:rPr>
                              <w:noProof/>
                            </w:rPr>
                            <w:t>1</w:t>
                          </w:r>
                          <w:r>
                            <w:fldChar w:fldCharType="end"/>
                          </w:r>
                        </w:p>
                      </w:txbxContent>
                    </wps:txbx>
                    <wps:bodyPr vert="horz" wrap="square" lIns="0" tIns="0" rIns="0" bIns="0" anchor="t" anchorCtr="0"/>
                  </wps:wsp>
                </a:graphicData>
              </a:graphic>
            </wp:anchor>
          </w:drawing>
        </mc:Choice>
        <mc:Fallback>
          <w:pict>
            <v:shape w14:anchorId="2D2C47A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832C53A" w14:textId="77777777" w:rsidR="00D57CC4" w:rsidRDefault="00A529D1">
                    <w:pPr>
                      <w:pStyle w:val="Referentiegegevens"/>
                    </w:pPr>
                    <w:r>
                      <w:t xml:space="preserve">Pagina </w:t>
                    </w:r>
                    <w:r>
                      <w:fldChar w:fldCharType="begin"/>
                    </w:r>
                    <w:r>
                      <w:instrText>PAGE</w:instrText>
                    </w:r>
                    <w:r>
                      <w:fldChar w:fldCharType="separate"/>
                    </w:r>
                    <w:r w:rsidR="00E31329">
                      <w:rPr>
                        <w:noProof/>
                      </w:rPr>
                      <w:t>1</w:t>
                    </w:r>
                    <w:r>
                      <w:fldChar w:fldCharType="end"/>
                    </w:r>
                    <w:r>
                      <w:t xml:space="preserve"> van </w:t>
                    </w:r>
                    <w:r>
                      <w:fldChar w:fldCharType="begin"/>
                    </w:r>
                    <w:r>
                      <w:instrText>NUMPAGES</w:instrText>
                    </w:r>
                    <w:r>
                      <w:fldChar w:fldCharType="separate"/>
                    </w:r>
                    <w:r w:rsidR="00E3132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FFC6426" wp14:editId="309AD6E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E0D5EC" w14:textId="77777777" w:rsidR="00D57CC4" w:rsidRDefault="00A529D1">
                          <w:pPr>
                            <w:spacing w:line="240" w:lineRule="auto"/>
                          </w:pPr>
                          <w:r>
                            <w:rPr>
                              <w:noProof/>
                            </w:rPr>
                            <w:drawing>
                              <wp:inline distT="0" distB="0" distL="0" distR="0" wp14:anchorId="74CD4E89" wp14:editId="034ACE7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FC642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9E0D5EC" w14:textId="77777777" w:rsidR="00D57CC4" w:rsidRDefault="00A529D1">
                    <w:pPr>
                      <w:spacing w:line="240" w:lineRule="auto"/>
                    </w:pPr>
                    <w:r>
                      <w:rPr>
                        <w:noProof/>
                      </w:rPr>
                      <w:drawing>
                        <wp:inline distT="0" distB="0" distL="0" distR="0" wp14:anchorId="74CD4E89" wp14:editId="034ACE7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323DBF" wp14:editId="0577913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6E1E87" w14:textId="77777777" w:rsidR="00D57CC4" w:rsidRDefault="00A529D1">
                          <w:pPr>
                            <w:spacing w:line="240" w:lineRule="auto"/>
                          </w:pPr>
                          <w:r>
                            <w:rPr>
                              <w:noProof/>
                            </w:rPr>
                            <w:drawing>
                              <wp:inline distT="0" distB="0" distL="0" distR="0" wp14:anchorId="67DF65E6" wp14:editId="00550B0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323DB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C6E1E87" w14:textId="77777777" w:rsidR="00D57CC4" w:rsidRDefault="00A529D1">
                    <w:pPr>
                      <w:spacing w:line="240" w:lineRule="auto"/>
                    </w:pPr>
                    <w:r>
                      <w:rPr>
                        <w:noProof/>
                      </w:rPr>
                      <w:drawing>
                        <wp:inline distT="0" distB="0" distL="0" distR="0" wp14:anchorId="67DF65E6" wp14:editId="00550B0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70ADA19" wp14:editId="565DD93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F27962" w14:textId="77777777" w:rsidR="00D57CC4" w:rsidRDefault="00A529D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70ADA1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AF27962" w14:textId="77777777" w:rsidR="00D57CC4" w:rsidRDefault="00A529D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E85C6B"/>
    <w:multiLevelType w:val="multilevel"/>
    <w:tmpl w:val="75C448E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0E20FBA"/>
    <w:multiLevelType w:val="hybridMultilevel"/>
    <w:tmpl w:val="E9749E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CA5A89"/>
    <w:multiLevelType w:val="hybridMultilevel"/>
    <w:tmpl w:val="691CCD78"/>
    <w:lvl w:ilvl="0" w:tplc="124E87F6">
      <w:start w:val="1"/>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81B1A21"/>
    <w:multiLevelType w:val="hybridMultilevel"/>
    <w:tmpl w:val="9566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EC4393"/>
    <w:multiLevelType w:val="hybridMultilevel"/>
    <w:tmpl w:val="6DD4D00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CB1014"/>
    <w:multiLevelType w:val="hybridMultilevel"/>
    <w:tmpl w:val="B0F2A1CC"/>
    <w:lvl w:ilvl="0" w:tplc="FB9E6792">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C21F0D"/>
    <w:multiLevelType w:val="multilevel"/>
    <w:tmpl w:val="8A4E3F9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37A4141"/>
    <w:multiLevelType w:val="hybridMultilevel"/>
    <w:tmpl w:val="CA4C4F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39D638"/>
    <w:multiLevelType w:val="multilevel"/>
    <w:tmpl w:val="7EB0E8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2748459C"/>
    <w:multiLevelType w:val="multilevel"/>
    <w:tmpl w:val="1804C5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291240A6"/>
    <w:multiLevelType w:val="hybridMultilevel"/>
    <w:tmpl w:val="DBC812B0"/>
    <w:lvl w:ilvl="0" w:tplc="334AE7E6">
      <w:start w:val="1"/>
      <w:numFmt w:val="bullet"/>
      <w:lvlText w:val="•"/>
      <w:lvlJc w:val="left"/>
      <w:pPr>
        <w:tabs>
          <w:tab w:val="num" w:pos="720"/>
        </w:tabs>
        <w:ind w:left="720" w:hanging="360"/>
      </w:pPr>
      <w:rPr>
        <w:rFonts w:ascii="Arial" w:hAnsi="Arial" w:hint="default"/>
      </w:rPr>
    </w:lvl>
    <w:lvl w:ilvl="1" w:tplc="23B09D72" w:tentative="1">
      <w:start w:val="1"/>
      <w:numFmt w:val="bullet"/>
      <w:lvlText w:val="•"/>
      <w:lvlJc w:val="left"/>
      <w:pPr>
        <w:tabs>
          <w:tab w:val="num" w:pos="1440"/>
        </w:tabs>
        <w:ind w:left="1440" w:hanging="360"/>
      </w:pPr>
      <w:rPr>
        <w:rFonts w:ascii="Arial" w:hAnsi="Arial" w:hint="default"/>
      </w:rPr>
    </w:lvl>
    <w:lvl w:ilvl="2" w:tplc="B3C4FE36" w:tentative="1">
      <w:start w:val="1"/>
      <w:numFmt w:val="bullet"/>
      <w:lvlText w:val="•"/>
      <w:lvlJc w:val="left"/>
      <w:pPr>
        <w:tabs>
          <w:tab w:val="num" w:pos="2160"/>
        </w:tabs>
        <w:ind w:left="2160" w:hanging="360"/>
      </w:pPr>
      <w:rPr>
        <w:rFonts w:ascii="Arial" w:hAnsi="Arial" w:hint="default"/>
      </w:rPr>
    </w:lvl>
    <w:lvl w:ilvl="3" w:tplc="02FE21DA" w:tentative="1">
      <w:start w:val="1"/>
      <w:numFmt w:val="bullet"/>
      <w:lvlText w:val="•"/>
      <w:lvlJc w:val="left"/>
      <w:pPr>
        <w:tabs>
          <w:tab w:val="num" w:pos="2880"/>
        </w:tabs>
        <w:ind w:left="2880" w:hanging="360"/>
      </w:pPr>
      <w:rPr>
        <w:rFonts w:ascii="Arial" w:hAnsi="Arial" w:hint="default"/>
      </w:rPr>
    </w:lvl>
    <w:lvl w:ilvl="4" w:tplc="0EF07384" w:tentative="1">
      <w:start w:val="1"/>
      <w:numFmt w:val="bullet"/>
      <w:lvlText w:val="•"/>
      <w:lvlJc w:val="left"/>
      <w:pPr>
        <w:tabs>
          <w:tab w:val="num" w:pos="3600"/>
        </w:tabs>
        <w:ind w:left="3600" w:hanging="360"/>
      </w:pPr>
      <w:rPr>
        <w:rFonts w:ascii="Arial" w:hAnsi="Arial" w:hint="default"/>
      </w:rPr>
    </w:lvl>
    <w:lvl w:ilvl="5" w:tplc="1D5C91B6" w:tentative="1">
      <w:start w:val="1"/>
      <w:numFmt w:val="bullet"/>
      <w:lvlText w:val="•"/>
      <w:lvlJc w:val="left"/>
      <w:pPr>
        <w:tabs>
          <w:tab w:val="num" w:pos="4320"/>
        </w:tabs>
        <w:ind w:left="4320" w:hanging="360"/>
      </w:pPr>
      <w:rPr>
        <w:rFonts w:ascii="Arial" w:hAnsi="Arial" w:hint="default"/>
      </w:rPr>
    </w:lvl>
    <w:lvl w:ilvl="6" w:tplc="6FACA674" w:tentative="1">
      <w:start w:val="1"/>
      <w:numFmt w:val="bullet"/>
      <w:lvlText w:val="•"/>
      <w:lvlJc w:val="left"/>
      <w:pPr>
        <w:tabs>
          <w:tab w:val="num" w:pos="5040"/>
        </w:tabs>
        <w:ind w:left="5040" w:hanging="360"/>
      </w:pPr>
      <w:rPr>
        <w:rFonts w:ascii="Arial" w:hAnsi="Arial" w:hint="default"/>
      </w:rPr>
    </w:lvl>
    <w:lvl w:ilvl="7" w:tplc="6382FB04" w:tentative="1">
      <w:start w:val="1"/>
      <w:numFmt w:val="bullet"/>
      <w:lvlText w:val="•"/>
      <w:lvlJc w:val="left"/>
      <w:pPr>
        <w:tabs>
          <w:tab w:val="num" w:pos="5760"/>
        </w:tabs>
        <w:ind w:left="5760" w:hanging="360"/>
      </w:pPr>
      <w:rPr>
        <w:rFonts w:ascii="Arial" w:hAnsi="Arial" w:hint="default"/>
      </w:rPr>
    </w:lvl>
    <w:lvl w:ilvl="8" w:tplc="8FD677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2220A8"/>
    <w:multiLevelType w:val="hybridMultilevel"/>
    <w:tmpl w:val="EC9CE636"/>
    <w:lvl w:ilvl="0" w:tplc="4126C5F0">
      <w:start w:val="1"/>
      <w:numFmt w:val="decimal"/>
      <w:lvlText w:val="%1."/>
      <w:lvlJc w:val="left"/>
      <w:pPr>
        <w:ind w:left="1020" w:hanging="360"/>
      </w:pPr>
    </w:lvl>
    <w:lvl w:ilvl="1" w:tplc="356E0610">
      <w:start w:val="1"/>
      <w:numFmt w:val="decimal"/>
      <w:lvlText w:val="%2."/>
      <w:lvlJc w:val="left"/>
      <w:pPr>
        <w:ind w:left="1020" w:hanging="360"/>
      </w:pPr>
    </w:lvl>
    <w:lvl w:ilvl="2" w:tplc="0D90BAAE">
      <w:start w:val="1"/>
      <w:numFmt w:val="decimal"/>
      <w:lvlText w:val="%3."/>
      <w:lvlJc w:val="left"/>
      <w:pPr>
        <w:ind w:left="1020" w:hanging="360"/>
      </w:pPr>
    </w:lvl>
    <w:lvl w:ilvl="3" w:tplc="1C9CEC6A">
      <w:start w:val="1"/>
      <w:numFmt w:val="decimal"/>
      <w:lvlText w:val="%4."/>
      <w:lvlJc w:val="left"/>
      <w:pPr>
        <w:ind w:left="1020" w:hanging="360"/>
      </w:pPr>
    </w:lvl>
    <w:lvl w:ilvl="4" w:tplc="56DA45E0">
      <w:start w:val="1"/>
      <w:numFmt w:val="decimal"/>
      <w:lvlText w:val="%5."/>
      <w:lvlJc w:val="left"/>
      <w:pPr>
        <w:ind w:left="1020" w:hanging="360"/>
      </w:pPr>
    </w:lvl>
    <w:lvl w:ilvl="5" w:tplc="32CC217A">
      <w:start w:val="1"/>
      <w:numFmt w:val="decimal"/>
      <w:lvlText w:val="%6."/>
      <w:lvlJc w:val="left"/>
      <w:pPr>
        <w:ind w:left="1020" w:hanging="360"/>
      </w:pPr>
    </w:lvl>
    <w:lvl w:ilvl="6" w:tplc="C3BCA9BC">
      <w:start w:val="1"/>
      <w:numFmt w:val="decimal"/>
      <w:lvlText w:val="%7."/>
      <w:lvlJc w:val="left"/>
      <w:pPr>
        <w:ind w:left="1020" w:hanging="360"/>
      </w:pPr>
    </w:lvl>
    <w:lvl w:ilvl="7" w:tplc="45D466CC">
      <w:start w:val="1"/>
      <w:numFmt w:val="decimal"/>
      <w:lvlText w:val="%8."/>
      <w:lvlJc w:val="left"/>
      <w:pPr>
        <w:ind w:left="1020" w:hanging="360"/>
      </w:pPr>
    </w:lvl>
    <w:lvl w:ilvl="8" w:tplc="1C764334">
      <w:start w:val="1"/>
      <w:numFmt w:val="decimal"/>
      <w:lvlText w:val="%9."/>
      <w:lvlJc w:val="left"/>
      <w:pPr>
        <w:ind w:left="1020" w:hanging="360"/>
      </w:pPr>
    </w:lvl>
  </w:abstractNum>
  <w:abstractNum w:abstractNumId="12" w15:restartNumberingAfterBreak="0">
    <w:nsid w:val="362E4BF7"/>
    <w:multiLevelType w:val="hybridMultilevel"/>
    <w:tmpl w:val="0B5881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FB715A"/>
    <w:multiLevelType w:val="hybridMultilevel"/>
    <w:tmpl w:val="CC2ADBC8"/>
    <w:lvl w:ilvl="0" w:tplc="4AA40AE2">
      <w:start w:val="1"/>
      <w:numFmt w:val="bullet"/>
      <w:lvlText w:val=""/>
      <w:lvlJc w:val="left"/>
      <w:pPr>
        <w:tabs>
          <w:tab w:val="num" w:pos="720"/>
        </w:tabs>
        <w:ind w:left="720" w:hanging="360"/>
      </w:pPr>
      <w:rPr>
        <w:rFonts w:ascii="Wingdings 3" w:hAnsi="Wingdings 3" w:hint="default"/>
      </w:rPr>
    </w:lvl>
    <w:lvl w:ilvl="1" w:tplc="EDAECCA0">
      <w:numFmt w:val="bullet"/>
      <w:lvlText w:val=""/>
      <w:lvlJc w:val="left"/>
      <w:pPr>
        <w:tabs>
          <w:tab w:val="num" w:pos="1440"/>
        </w:tabs>
        <w:ind w:left="1440" w:hanging="360"/>
      </w:pPr>
      <w:rPr>
        <w:rFonts w:ascii="Wingdings 3" w:hAnsi="Wingdings 3" w:hint="default"/>
      </w:rPr>
    </w:lvl>
    <w:lvl w:ilvl="2" w:tplc="C366BCCC" w:tentative="1">
      <w:start w:val="1"/>
      <w:numFmt w:val="bullet"/>
      <w:lvlText w:val=""/>
      <w:lvlJc w:val="left"/>
      <w:pPr>
        <w:tabs>
          <w:tab w:val="num" w:pos="2160"/>
        </w:tabs>
        <w:ind w:left="2160" w:hanging="360"/>
      </w:pPr>
      <w:rPr>
        <w:rFonts w:ascii="Wingdings 3" w:hAnsi="Wingdings 3" w:hint="default"/>
      </w:rPr>
    </w:lvl>
    <w:lvl w:ilvl="3" w:tplc="71E61AD8" w:tentative="1">
      <w:start w:val="1"/>
      <w:numFmt w:val="bullet"/>
      <w:lvlText w:val=""/>
      <w:lvlJc w:val="left"/>
      <w:pPr>
        <w:tabs>
          <w:tab w:val="num" w:pos="2880"/>
        </w:tabs>
        <w:ind w:left="2880" w:hanging="360"/>
      </w:pPr>
      <w:rPr>
        <w:rFonts w:ascii="Wingdings 3" w:hAnsi="Wingdings 3" w:hint="default"/>
      </w:rPr>
    </w:lvl>
    <w:lvl w:ilvl="4" w:tplc="1E9A42AE" w:tentative="1">
      <w:start w:val="1"/>
      <w:numFmt w:val="bullet"/>
      <w:lvlText w:val=""/>
      <w:lvlJc w:val="left"/>
      <w:pPr>
        <w:tabs>
          <w:tab w:val="num" w:pos="3600"/>
        </w:tabs>
        <w:ind w:left="3600" w:hanging="360"/>
      </w:pPr>
      <w:rPr>
        <w:rFonts w:ascii="Wingdings 3" w:hAnsi="Wingdings 3" w:hint="default"/>
      </w:rPr>
    </w:lvl>
    <w:lvl w:ilvl="5" w:tplc="7F4E60D8" w:tentative="1">
      <w:start w:val="1"/>
      <w:numFmt w:val="bullet"/>
      <w:lvlText w:val=""/>
      <w:lvlJc w:val="left"/>
      <w:pPr>
        <w:tabs>
          <w:tab w:val="num" w:pos="4320"/>
        </w:tabs>
        <w:ind w:left="4320" w:hanging="360"/>
      </w:pPr>
      <w:rPr>
        <w:rFonts w:ascii="Wingdings 3" w:hAnsi="Wingdings 3" w:hint="default"/>
      </w:rPr>
    </w:lvl>
    <w:lvl w:ilvl="6" w:tplc="D2D0065C" w:tentative="1">
      <w:start w:val="1"/>
      <w:numFmt w:val="bullet"/>
      <w:lvlText w:val=""/>
      <w:lvlJc w:val="left"/>
      <w:pPr>
        <w:tabs>
          <w:tab w:val="num" w:pos="5040"/>
        </w:tabs>
        <w:ind w:left="5040" w:hanging="360"/>
      </w:pPr>
      <w:rPr>
        <w:rFonts w:ascii="Wingdings 3" w:hAnsi="Wingdings 3" w:hint="default"/>
      </w:rPr>
    </w:lvl>
    <w:lvl w:ilvl="7" w:tplc="3858176E" w:tentative="1">
      <w:start w:val="1"/>
      <w:numFmt w:val="bullet"/>
      <w:lvlText w:val=""/>
      <w:lvlJc w:val="left"/>
      <w:pPr>
        <w:tabs>
          <w:tab w:val="num" w:pos="5760"/>
        </w:tabs>
        <w:ind w:left="5760" w:hanging="360"/>
      </w:pPr>
      <w:rPr>
        <w:rFonts w:ascii="Wingdings 3" w:hAnsi="Wingdings 3" w:hint="default"/>
      </w:rPr>
    </w:lvl>
    <w:lvl w:ilvl="8" w:tplc="14AC51A0"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8B41B1A"/>
    <w:multiLevelType w:val="hybridMultilevel"/>
    <w:tmpl w:val="C958F2EE"/>
    <w:lvl w:ilvl="0" w:tplc="258CBF4E">
      <w:start w:val="1"/>
      <w:numFmt w:val="decimal"/>
      <w:lvlText w:val="%1."/>
      <w:lvlJc w:val="left"/>
      <w:pPr>
        <w:ind w:left="1020" w:hanging="360"/>
      </w:pPr>
    </w:lvl>
    <w:lvl w:ilvl="1" w:tplc="9708B94A">
      <w:start w:val="1"/>
      <w:numFmt w:val="decimal"/>
      <w:lvlText w:val="%2."/>
      <w:lvlJc w:val="left"/>
      <w:pPr>
        <w:ind w:left="1020" w:hanging="360"/>
      </w:pPr>
    </w:lvl>
    <w:lvl w:ilvl="2" w:tplc="F620DB1E">
      <w:start w:val="1"/>
      <w:numFmt w:val="decimal"/>
      <w:lvlText w:val="%3."/>
      <w:lvlJc w:val="left"/>
      <w:pPr>
        <w:ind w:left="1020" w:hanging="360"/>
      </w:pPr>
    </w:lvl>
    <w:lvl w:ilvl="3" w:tplc="95C08890">
      <w:start w:val="1"/>
      <w:numFmt w:val="decimal"/>
      <w:lvlText w:val="%4."/>
      <w:lvlJc w:val="left"/>
      <w:pPr>
        <w:ind w:left="1020" w:hanging="360"/>
      </w:pPr>
    </w:lvl>
    <w:lvl w:ilvl="4" w:tplc="758CEFBA">
      <w:start w:val="1"/>
      <w:numFmt w:val="decimal"/>
      <w:lvlText w:val="%5."/>
      <w:lvlJc w:val="left"/>
      <w:pPr>
        <w:ind w:left="1020" w:hanging="360"/>
      </w:pPr>
    </w:lvl>
    <w:lvl w:ilvl="5" w:tplc="51D030C2">
      <w:start w:val="1"/>
      <w:numFmt w:val="decimal"/>
      <w:lvlText w:val="%6."/>
      <w:lvlJc w:val="left"/>
      <w:pPr>
        <w:ind w:left="1020" w:hanging="360"/>
      </w:pPr>
    </w:lvl>
    <w:lvl w:ilvl="6" w:tplc="D25EDE02">
      <w:start w:val="1"/>
      <w:numFmt w:val="decimal"/>
      <w:lvlText w:val="%7."/>
      <w:lvlJc w:val="left"/>
      <w:pPr>
        <w:ind w:left="1020" w:hanging="360"/>
      </w:pPr>
    </w:lvl>
    <w:lvl w:ilvl="7" w:tplc="A492E972">
      <w:start w:val="1"/>
      <w:numFmt w:val="decimal"/>
      <w:lvlText w:val="%8."/>
      <w:lvlJc w:val="left"/>
      <w:pPr>
        <w:ind w:left="1020" w:hanging="360"/>
      </w:pPr>
    </w:lvl>
    <w:lvl w:ilvl="8" w:tplc="40CA07C4">
      <w:start w:val="1"/>
      <w:numFmt w:val="decimal"/>
      <w:lvlText w:val="%9."/>
      <w:lvlJc w:val="left"/>
      <w:pPr>
        <w:ind w:left="1020" w:hanging="360"/>
      </w:pPr>
    </w:lvl>
  </w:abstractNum>
  <w:abstractNum w:abstractNumId="15" w15:restartNumberingAfterBreak="0">
    <w:nsid w:val="3CD45856"/>
    <w:multiLevelType w:val="multilevel"/>
    <w:tmpl w:val="4640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1647E"/>
    <w:multiLevelType w:val="hybridMultilevel"/>
    <w:tmpl w:val="E3024104"/>
    <w:lvl w:ilvl="0" w:tplc="996670F4">
      <w:start w:val="1"/>
      <w:numFmt w:val="decimal"/>
      <w:lvlText w:val="%1."/>
      <w:lvlJc w:val="left"/>
      <w:pPr>
        <w:ind w:left="1020" w:hanging="360"/>
      </w:pPr>
    </w:lvl>
    <w:lvl w:ilvl="1" w:tplc="DB6688FC">
      <w:start w:val="1"/>
      <w:numFmt w:val="decimal"/>
      <w:lvlText w:val="%2."/>
      <w:lvlJc w:val="left"/>
      <w:pPr>
        <w:ind w:left="1020" w:hanging="360"/>
      </w:pPr>
    </w:lvl>
    <w:lvl w:ilvl="2" w:tplc="A4DADEFA">
      <w:start w:val="1"/>
      <w:numFmt w:val="decimal"/>
      <w:lvlText w:val="%3."/>
      <w:lvlJc w:val="left"/>
      <w:pPr>
        <w:ind w:left="1020" w:hanging="360"/>
      </w:pPr>
    </w:lvl>
    <w:lvl w:ilvl="3" w:tplc="D728AD90">
      <w:start w:val="1"/>
      <w:numFmt w:val="decimal"/>
      <w:lvlText w:val="%4."/>
      <w:lvlJc w:val="left"/>
      <w:pPr>
        <w:ind w:left="1020" w:hanging="360"/>
      </w:pPr>
    </w:lvl>
    <w:lvl w:ilvl="4" w:tplc="1A9425B6">
      <w:start w:val="1"/>
      <w:numFmt w:val="decimal"/>
      <w:lvlText w:val="%5."/>
      <w:lvlJc w:val="left"/>
      <w:pPr>
        <w:ind w:left="1020" w:hanging="360"/>
      </w:pPr>
    </w:lvl>
    <w:lvl w:ilvl="5" w:tplc="10841C6E">
      <w:start w:val="1"/>
      <w:numFmt w:val="decimal"/>
      <w:lvlText w:val="%6."/>
      <w:lvlJc w:val="left"/>
      <w:pPr>
        <w:ind w:left="1020" w:hanging="360"/>
      </w:pPr>
    </w:lvl>
    <w:lvl w:ilvl="6" w:tplc="1BA86552">
      <w:start w:val="1"/>
      <w:numFmt w:val="decimal"/>
      <w:lvlText w:val="%7."/>
      <w:lvlJc w:val="left"/>
      <w:pPr>
        <w:ind w:left="1020" w:hanging="360"/>
      </w:pPr>
    </w:lvl>
    <w:lvl w:ilvl="7" w:tplc="54825906">
      <w:start w:val="1"/>
      <w:numFmt w:val="decimal"/>
      <w:lvlText w:val="%8."/>
      <w:lvlJc w:val="left"/>
      <w:pPr>
        <w:ind w:left="1020" w:hanging="360"/>
      </w:pPr>
    </w:lvl>
    <w:lvl w:ilvl="8" w:tplc="976C7E42">
      <w:start w:val="1"/>
      <w:numFmt w:val="decimal"/>
      <w:lvlText w:val="%9."/>
      <w:lvlJc w:val="left"/>
      <w:pPr>
        <w:ind w:left="1020" w:hanging="360"/>
      </w:pPr>
    </w:lvl>
  </w:abstractNum>
  <w:abstractNum w:abstractNumId="17" w15:restartNumberingAfterBreak="0">
    <w:nsid w:val="43670E20"/>
    <w:multiLevelType w:val="hybridMultilevel"/>
    <w:tmpl w:val="6B68ECC6"/>
    <w:lvl w:ilvl="0" w:tplc="04130013">
      <w:start w:val="1"/>
      <w:numFmt w:val="upperRoman"/>
      <w:lvlText w:val="%1."/>
      <w:lvlJc w:val="righ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B8904D1"/>
    <w:multiLevelType w:val="multilevel"/>
    <w:tmpl w:val="09CA0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B5173"/>
    <w:multiLevelType w:val="hybridMultilevel"/>
    <w:tmpl w:val="95661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AB052ED"/>
    <w:multiLevelType w:val="hybridMultilevel"/>
    <w:tmpl w:val="F02C8E9C"/>
    <w:lvl w:ilvl="0" w:tplc="7FB4A60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EC5C10"/>
    <w:multiLevelType w:val="hybridMultilevel"/>
    <w:tmpl w:val="EBEAFC70"/>
    <w:lvl w:ilvl="0" w:tplc="60249D6E">
      <w:start w:val="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37556E0"/>
    <w:multiLevelType w:val="multilevel"/>
    <w:tmpl w:val="8A4E3F9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5D90C4A"/>
    <w:multiLevelType w:val="hybridMultilevel"/>
    <w:tmpl w:val="1C14706C"/>
    <w:lvl w:ilvl="0" w:tplc="8E94534C">
      <w:start w:val="1"/>
      <w:numFmt w:val="upperRoman"/>
      <w:lvlText w:val="%1.2"/>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6BB51B2"/>
    <w:multiLevelType w:val="hybridMultilevel"/>
    <w:tmpl w:val="F940D000"/>
    <w:lvl w:ilvl="0" w:tplc="FFFFFFFF">
      <w:start w:val="1"/>
      <w:numFmt w:val="decimal"/>
      <w:lvlText w:val="%1."/>
      <w:lvlJc w:val="left"/>
      <w:pPr>
        <w:ind w:left="720" w:hanging="360"/>
      </w:pPr>
      <w:rPr>
        <w:rFonts w:hint="default"/>
      </w:rPr>
    </w:lvl>
    <w:lvl w:ilvl="1" w:tplc="312A7C86">
      <w:start w:val="1"/>
      <w:numFmt w:val="bullet"/>
      <w:lvlText w:val="-"/>
      <w:lvlJc w:val="left"/>
      <w:pPr>
        <w:ind w:left="1440" w:hanging="360"/>
      </w:pPr>
      <w:rPr>
        <w:rFonts w:ascii="Verdana" w:hAnsi="Verdan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334BF8"/>
    <w:multiLevelType w:val="multilevel"/>
    <w:tmpl w:val="C9FE25E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9A929C2"/>
    <w:multiLevelType w:val="multilevel"/>
    <w:tmpl w:val="54AC18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6B8223AC"/>
    <w:multiLevelType w:val="hybridMultilevel"/>
    <w:tmpl w:val="70166F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D034A0E"/>
    <w:multiLevelType w:val="hybridMultilevel"/>
    <w:tmpl w:val="5D7CE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6B3138F"/>
    <w:multiLevelType w:val="hybridMultilevel"/>
    <w:tmpl w:val="1868D29C"/>
    <w:lvl w:ilvl="0" w:tplc="9F144FF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A100FF6"/>
    <w:multiLevelType w:val="hybridMultilevel"/>
    <w:tmpl w:val="F55A08CE"/>
    <w:lvl w:ilvl="0" w:tplc="0413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5D2EBE"/>
    <w:multiLevelType w:val="hybridMultilevel"/>
    <w:tmpl w:val="127A3302"/>
    <w:lvl w:ilvl="0" w:tplc="7E4A39DA">
      <w:start w:val="1"/>
      <w:numFmt w:val="upperRoman"/>
      <w:lvlText w:val="I%1.3"/>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173585"/>
    <w:multiLevelType w:val="multilevel"/>
    <w:tmpl w:val="30FF156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40720128">
    <w:abstractNumId w:val="25"/>
  </w:num>
  <w:num w:numId="2" w16cid:durableId="1564827655">
    <w:abstractNumId w:val="0"/>
  </w:num>
  <w:num w:numId="3" w16cid:durableId="582104323">
    <w:abstractNumId w:val="26"/>
  </w:num>
  <w:num w:numId="4" w16cid:durableId="1376537212">
    <w:abstractNumId w:val="8"/>
  </w:num>
  <w:num w:numId="5" w16cid:durableId="1891111659">
    <w:abstractNumId w:val="32"/>
  </w:num>
  <w:num w:numId="6" w16cid:durableId="899245614">
    <w:abstractNumId w:val="9"/>
  </w:num>
  <w:num w:numId="7" w16cid:durableId="1687826383">
    <w:abstractNumId w:val="22"/>
  </w:num>
  <w:num w:numId="8" w16cid:durableId="1523324816">
    <w:abstractNumId w:val="2"/>
  </w:num>
  <w:num w:numId="9" w16cid:durableId="1631084069">
    <w:abstractNumId w:val="13"/>
  </w:num>
  <w:num w:numId="10" w16cid:durableId="402870227">
    <w:abstractNumId w:val="18"/>
  </w:num>
  <w:num w:numId="11" w16cid:durableId="962619817">
    <w:abstractNumId w:val="21"/>
  </w:num>
  <w:num w:numId="12" w16cid:durableId="1873423054">
    <w:abstractNumId w:val="7"/>
  </w:num>
  <w:num w:numId="13" w16cid:durableId="669211436">
    <w:abstractNumId w:val="28"/>
  </w:num>
  <w:num w:numId="14" w16cid:durableId="1509447590">
    <w:abstractNumId w:val="19"/>
  </w:num>
  <w:num w:numId="15" w16cid:durableId="59015013">
    <w:abstractNumId w:val="4"/>
  </w:num>
  <w:num w:numId="16" w16cid:durableId="784690005">
    <w:abstractNumId w:val="23"/>
  </w:num>
  <w:num w:numId="17" w16cid:durableId="622002912">
    <w:abstractNumId w:val="3"/>
  </w:num>
  <w:num w:numId="18" w16cid:durableId="1887793888">
    <w:abstractNumId w:val="31"/>
  </w:num>
  <w:num w:numId="19" w16cid:durableId="1776947797">
    <w:abstractNumId w:val="1"/>
  </w:num>
  <w:num w:numId="20" w16cid:durableId="1999186477">
    <w:abstractNumId w:val="20"/>
  </w:num>
  <w:num w:numId="21" w16cid:durableId="550190646">
    <w:abstractNumId w:val="27"/>
  </w:num>
  <w:num w:numId="22" w16cid:durableId="710232798">
    <w:abstractNumId w:val="17"/>
  </w:num>
  <w:num w:numId="23" w16cid:durableId="1714698313">
    <w:abstractNumId w:val="24"/>
  </w:num>
  <w:num w:numId="24" w16cid:durableId="320424982">
    <w:abstractNumId w:val="29"/>
  </w:num>
  <w:num w:numId="25" w16cid:durableId="106700224">
    <w:abstractNumId w:val="5"/>
  </w:num>
  <w:num w:numId="26" w16cid:durableId="1682122660">
    <w:abstractNumId w:val="10"/>
  </w:num>
  <w:num w:numId="27" w16cid:durableId="2002585186">
    <w:abstractNumId w:val="6"/>
  </w:num>
  <w:num w:numId="28" w16cid:durableId="35351642">
    <w:abstractNumId w:val="30"/>
  </w:num>
  <w:num w:numId="29" w16cid:durableId="894707102">
    <w:abstractNumId w:val="15"/>
  </w:num>
  <w:num w:numId="30" w16cid:durableId="1192494678">
    <w:abstractNumId w:val="12"/>
  </w:num>
  <w:num w:numId="31" w16cid:durableId="479225034">
    <w:abstractNumId w:val="16"/>
  </w:num>
  <w:num w:numId="32" w16cid:durableId="863400874">
    <w:abstractNumId w:val="14"/>
  </w:num>
  <w:num w:numId="33" w16cid:durableId="1515418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29"/>
    <w:rsid w:val="00002725"/>
    <w:rsid w:val="00004C60"/>
    <w:rsid w:val="000079AE"/>
    <w:rsid w:val="00011E38"/>
    <w:rsid w:val="00012A85"/>
    <w:rsid w:val="00015AF3"/>
    <w:rsid w:val="0002423E"/>
    <w:rsid w:val="0002464F"/>
    <w:rsid w:val="000324E8"/>
    <w:rsid w:val="000353B2"/>
    <w:rsid w:val="0004280B"/>
    <w:rsid w:val="00044164"/>
    <w:rsid w:val="000452E0"/>
    <w:rsid w:val="00050370"/>
    <w:rsid w:val="0005153B"/>
    <w:rsid w:val="00051A44"/>
    <w:rsid w:val="00060B27"/>
    <w:rsid w:val="00063354"/>
    <w:rsid w:val="0006572C"/>
    <w:rsid w:val="00065AE3"/>
    <w:rsid w:val="00066D61"/>
    <w:rsid w:val="000717F6"/>
    <w:rsid w:val="0007677E"/>
    <w:rsid w:val="00082C05"/>
    <w:rsid w:val="0008399A"/>
    <w:rsid w:val="000848C2"/>
    <w:rsid w:val="00090E9C"/>
    <w:rsid w:val="00095298"/>
    <w:rsid w:val="00096E6F"/>
    <w:rsid w:val="00097195"/>
    <w:rsid w:val="000A0F64"/>
    <w:rsid w:val="000A325F"/>
    <w:rsid w:val="000B21E8"/>
    <w:rsid w:val="000B450D"/>
    <w:rsid w:val="000D284B"/>
    <w:rsid w:val="000D3BF1"/>
    <w:rsid w:val="000D5D9A"/>
    <w:rsid w:val="000E1AD9"/>
    <w:rsid w:val="000E37D9"/>
    <w:rsid w:val="000F14FF"/>
    <w:rsid w:val="000F48E5"/>
    <w:rsid w:val="000F682E"/>
    <w:rsid w:val="001000F6"/>
    <w:rsid w:val="0010289B"/>
    <w:rsid w:val="00102DA7"/>
    <w:rsid w:val="001039D2"/>
    <w:rsid w:val="0011693A"/>
    <w:rsid w:val="001205C3"/>
    <w:rsid w:val="00122BAD"/>
    <w:rsid w:val="00126A07"/>
    <w:rsid w:val="00135A18"/>
    <w:rsid w:val="001369ED"/>
    <w:rsid w:val="00136AD3"/>
    <w:rsid w:val="00143241"/>
    <w:rsid w:val="0014408B"/>
    <w:rsid w:val="001440D3"/>
    <w:rsid w:val="00151531"/>
    <w:rsid w:val="00151BDE"/>
    <w:rsid w:val="00155220"/>
    <w:rsid w:val="001559DC"/>
    <w:rsid w:val="00155DB6"/>
    <w:rsid w:val="00165F44"/>
    <w:rsid w:val="00172527"/>
    <w:rsid w:val="001742A6"/>
    <w:rsid w:val="001748D3"/>
    <w:rsid w:val="00194ADB"/>
    <w:rsid w:val="00195819"/>
    <w:rsid w:val="001A2416"/>
    <w:rsid w:val="001A2913"/>
    <w:rsid w:val="001B0003"/>
    <w:rsid w:val="001B0073"/>
    <w:rsid w:val="001B1CDD"/>
    <w:rsid w:val="001B6C4B"/>
    <w:rsid w:val="001B732E"/>
    <w:rsid w:val="001B7B14"/>
    <w:rsid w:val="001C0ADF"/>
    <w:rsid w:val="001C1567"/>
    <w:rsid w:val="001C179F"/>
    <w:rsid w:val="001D625C"/>
    <w:rsid w:val="001E42E6"/>
    <w:rsid w:val="001E700E"/>
    <w:rsid w:val="001F000C"/>
    <w:rsid w:val="001F6458"/>
    <w:rsid w:val="0020408C"/>
    <w:rsid w:val="002108E1"/>
    <w:rsid w:val="0021112F"/>
    <w:rsid w:val="00211493"/>
    <w:rsid w:val="002246B1"/>
    <w:rsid w:val="00242CD5"/>
    <w:rsid w:val="00244AEB"/>
    <w:rsid w:val="00245885"/>
    <w:rsid w:val="002463CC"/>
    <w:rsid w:val="00246B0A"/>
    <w:rsid w:val="002522D1"/>
    <w:rsid w:val="00253E4F"/>
    <w:rsid w:val="0026212B"/>
    <w:rsid w:val="0026376F"/>
    <w:rsid w:val="0026389E"/>
    <w:rsid w:val="00267D52"/>
    <w:rsid w:val="002824DD"/>
    <w:rsid w:val="00287F7F"/>
    <w:rsid w:val="0029590C"/>
    <w:rsid w:val="002A272E"/>
    <w:rsid w:val="002A38D0"/>
    <w:rsid w:val="002B0E13"/>
    <w:rsid w:val="002B114C"/>
    <w:rsid w:val="002B413C"/>
    <w:rsid w:val="002B6877"/>
    <w:rsid w:val="002C4FB5"/>
    <w:rsid w:val="002E0543"/>
    <w:rsid w:val="002F4BF4"/>
    <w:rsid w:val="003014D7"/>
    <w:rsid w:val="00303F21"/>
    <w:rsid w:val="0030667C"/>
    <w:rsid w:val="003074E2"/>
    <w:rsid w:val="003122DC"/>
    <w:rsid w:val="003133C8"/>
    <w:rsid w:val="003164F7"/>
    <w:rsid w:val="00320DC2"/>
    <w:rsid w:val="003279E9"/>
    <w:rsid w:val="003317BF"/>
    <w:rsid w:val="0033633E"/>
    <w:rsid w:val="00337B5A"/>
    <w:rsid w:val="00342BAE"/>
    <w:rsid w:val="00344751"/>
    <w:rsid w:val="003455C6"/>
    <w:rsid w:val="003514E5"/>
    <w:rsid w:val="00354006"/>
    <w:rsid w:val="00354D59"/>
    <w:rsid w:val="00354F91"/>
    <w:rsid w:val="00364A47"/>
    <w:rsid w:val="00370D53"/>
    <w:rsid w:val="00370FCB"/>
    <w:rsid w:val="003760D2"/>
    <w:rsid w:val="00376310"/>
    <w:rsid w:val="00381DB5"/>
    <w:rsid w:val="003822A8"/>
    <w:rsid w:val="003826C5"/>
    <w:rsid w:val="003847C5"/>
    <w:rsid w:val="00384FA8"/>
    <w:rsid w:val="0039101D"/>
    <w:rsid w:val="003970D5"/>
    <w:rsid w:val="003A289A"/>
    <w:rsid w:val="003A2E5D"/>
    <w:rsid w:val="003A5073"/>
    <w:rsid w:val="003A75D3"/>
    <w:rsid w:val="003A7740"/>
    <w:rsid w:val="003A7D41"/>
    <w:rsid w:val="003B00B2"/>
    <w:rsid w:val="003B33DF"/>
    <w:rsid w:val="003B3D2B"/>
    <w:rsid w:val="003B61AA"/>
    <w:rsid w:val="003C0339"/>
    <w:rsid w:val="003C2925"/>
    <w:rsid w:val="003D08E8"/>
    <w:rsid w:val="003D3D96"/>
    <w:rsid w:val="003D6C6F"/>
    <w:rsid w:val="003D79FA"/>
    <w:rsid w:val="003E4CF9"/>
    <w:rsid w:val="003F2E59"/>
    <w:rsid w:val="003F48DA"/>
    <w:rsid w:val="003F4DCA"/>
    <w:rsid w:val="003F7CA5"/>
    <w:rsid w:val="00400482"/>
    <w:rsid w:val="00402E68"/>
    <w:rsid w:val="004074A6"/>
    <w:rsid w:val="00413CE3"/>
    <w:rsid w:val="004145D1"/>
    <w:rsid w:val="004174FE"/>
    <w:rsid w:val="00421AF4"/>
    <w:rsid w:val="0042493F"/>
    <w:rsid w:val="00433050"/>
    <w:rsid w:val="004377D0"/>
    <w:rsid w:val="00437E8D"/>
    <w:rsid w:val="004401C3"/>
    <w:rsid w:val="00441845"/>
    <w:rsid w:val="00441ACD"/>
    <w:rsid w:val="00442207"/>
    <w:rsid w:val="00450974"/>
    <w:rsid w:val="004601D0"/>
    <w:rsid w:val="004639E7"/>
    <w:rsid w:val="004644A2"/>
    <w:rsid w:val="0046610E"/>
    <w:rsid w:val="00474E77"/>
    <w:rsid w:val="0048107A"/>
    <w:rsid w:val="00482BE9"/>
    <w:rsid w:val="00483847"/>
    <w:rsid w:val="00483A72"/>
    <w:rsid w:val="0049186C"/>
    <w:rsid w:val="00491AAB"/>
    <w:rsid w:val="004A3703"/>
    <w:rsid w:val="004B7F5B"/>
    <w:rsid w:val="004C524E"/>
    <w:rsid w:val="004D5C14"/>
    <w:rsid w:val="004D7042"/>
    <w:rsid w:val="004E1F5F"/>
    <w:rsid w:val="004E3C56"/>
    <w:rsid w:val="004F1F93"/>
    <w:rsid w:val="004F25A9"/>
    <w:rsid w:val="005033BE"/>
    <w:rsid w:val="00505D39"/>
    <w:rsid w:val="00510365"/>
    <w:rsid w:val="005173C3"/>
    <w:rsid w:val="00521629"/>
    <w:rsid w:val="005236BA"/>
    <w:rsid w:val="00533BD3"/>
    <w:rsid w:val="00536709"/>
    <w:rsid w:val="00537558"/>
    <w:rsid w:val="00541610"/>
    <w:rsid w:val="005447CD"/>
    <w:rsid w:val="00545564"/>
    <w:rsid w:val="0055353E"/>
    <w:rsid w:val="00557F15"/>
    <w:rsid w:val="005616F3"/>
    <w:rsid w:val="00563D28"/>
    <w:rsid w:val="00563FEC"/>
    <w:rsid w:val="00565116"/>
    <w:rsid w:val="005654E6"/>
    <w:rsid w:val="00565AF0"/>
    <w:rsid w:val="005724E1"/>
    <w:rsid w:val="00574106"/>
    <w:rsid w:val="00574F79"/>
    <w:rsid w:val="005778F1"/>
    <w:rsid w:val="00583E07"/>
    <w:rsid w:val="005847B4"/>
    <w:rsid w:val="00591D63"/>
    <w:rsid w:val="00592B0F"/>
    <w:rsid w:val="0059552D"/>
    <w:rsid w:val="005A517B"/>
    <w:rsid w:val="005A7032"/>
    <w:rsid w:val="005A7968"/>
    <w:rsid w:val="005B338A"/>
    <w:rsid w:val="005B4828"/>
    <w:rsid w:val="005C32A4"/>
    <w:rsid w:val="005C5A16"/>
    <w:rsid w:val="005C70DB"/>
    <w:rsid w:val="005D3216"/>
    <w:rsid w:val="005E1CFE"/>
    <w:rsid w:val="005F40F1"/>
    <w:rsid w:val="006002B1"/>
    <w:rsid w:val="0060673D"/>
    <w:rsid w:val="00606B87"/>
    <w:rsid w:val="00611DC5"/>
    <w:rsid w:val="00612D25"/>
    <w:rsid w:val="00614529"/>
    <w:rsid w:val="0062278F"/>
    <w:rsid w:val="0062362C"/>
    <w:rsid w:val="0062645B"/>
    <w:rsid w:val="00626BBB"/>
    <w:rsid w:val="00630169"/>
    <w:rsid w:val="00631135"/>
    <w:rsid w:val="00640D51"/>
    <w:rsid w:val="006418BD"/>
    <w:rsid w:val="0065138C"/>
    <w:rsid w:val="00654C3E"/>
    <w:rsid w:val="00655E05"/>
    <w:rsid w:val="00656461"/>
    <w:rsid w:val="00666400"/>
    <w:rsid w:val="00666ACC"/>
    <w:rsid w:val="0066702D"/>
    <w:rsid w:val="00672CE7"/>
    <w:rsid w:val="00675A22"/>
    <w:rsid w:val="006852F2"/>
    <w:rsid w:val="00685A0E"/>
    <w:rsid w:val="0068754B"/>
    <w:rsid w:val="006877E0"/>
    <w:rsid w:val="00694F02"/>
    <w:rsid w:val="006958F0"/>
    <w:rsid w:val="006970A8"/>
    <w:rsid w:val="006A4387"/>
    <w:rsid w:val="006A5CE6"/>
    <w:rsid w:val="006A7C41"/>
    <w:rsid w:val="006B5EF6"/>
    <w:rsid w:val="006C06BE"/>
    <w:rsid w:val="006C2C0F"/>
    <w:rsid w:val="006D5389"/>
    <w:rsid w:val="006E07D1"/>
    <w:rsid w:val="006E1F18"/>
    <w:rsid w:val="006E46B7"/>
    <w:rsid w:val="006E7F93"/>
    <w:rsid w:val="006F4ADC"/>
    <w:rsid w:val="00700589"/>
    <w:rsid w:val="007142F8"/>
    <w:rsid w:val="0071519E"/>
    <w:rsid w:val="0071546F"/>
    <w:rsid w:val="00716730"/>
    <w:rsid w:val="007204AD"/>
    <w:rsid w:val="007267A6"/>
    <w:rsid w:val="00740A71"/>
    <w:rsid w:val="007424E8"/>
    <w:rsid w:val="00742AA6"/>
    <w:rsid w:val="0074747B"/>
    <w:rsid w:val="00747947"/>
    <w:rsid w:val="00747A90"/>
    <w:rsid w:val="00750D64"/>
    <w:rsid w:val="00760B5F"/>
    <w:rsid w:val="007715A3"/>
    <w:rsid w:val="00771671"/>
    <w:rsid w:val="0077440A"/>
    <w:rsid w:val="00774CFA"/>
    <w:rsid w:val="00775187"/>
    <w:rsid w:val="00775A00"/>
    <w:rsid w:val="007814A5"/>
    <w:rsid w:val="007879B4"/>
    <w:rsid w:val="00791E9E"/>
    <w:rsid w:val="007976FA"/>
    <w:rsid w:val="007A5AB3"/>
    <w:rsid w:val="007B0FBA"/>
    <w:rsid w:val="007C54C7"/>
    <w:rsid w:val="007D5D22"/>
    <w:rsid w:val="007E1B77"/>
    <w:rsid w:val="007E1EAB"/>
    <w:rsid w:val="007E4DB2"/>
    <w:rsid w:val="007E5581"/>
    <w:rsid w:val="007E7F58"/>
    <w:rsid w:val="007F018C"/>
    <w:rsid w:val="007F1D2D"/>
    <w:rsid w:val="00806263"/>
    <w:rsid w:val="00812FDE"/>
    <w:rsid w:val="00813F12"/>
    <w:rsid w:val="00826D9D"/>
    <w:rsid w:val="00834903"/>
    <w:rsid w:val="00835A78"/>
    <w:rsid w:val="00840EB8"/>
    <w:rsid w:val="00841C14"/>
    <w:rsid w:val="00843499"/>
    <w:rsid w:val="00843859"/>
    <w:rsid w:val="00853AC3"/>
    <w:rsid w:val="00862BB4"/>
    <w:rsid w:val="00873380"/>
    <w:rsid w:val="00875D85"/>
    <w:rsid w:val="00876FA3"/>
    <w:rsid w:val="00876FC3"/>
    <w:rsid w:val="00877F01"/>
    <w:rsid w:val="00880D73"/>
    <w:rsid w:val="0088380D"/>
    <w:rsid w:val="008852CF"/>
    <w:rsid w:val="0088710F"/>
    <w:rsid w:val="00887807"/>
    <w:rsid w:val="00896679"/>
    <w:rsid w:val="00896A6D"/>
    <w:rsid w:val="008A087A"/>
    <w:rsid w:val="008A3748"/>
    <w:rsid w:val="008B2D6A"/>
    <w:rsid w:val="008B5C94"/>
    <w:rsid w:val="008B7CA0"/>
    <w:rsid w:val="008C1CE7"/>
    <w:rsid w:val="008C2410"/>
    <w:rsid w:val="008C3952"/>
    <w:rsid w:val="008C5703"/>
    <w:rsid w:val="008C65B4"/>
    <w:rsid w:val="008E2282"/>
    <w:rsid w:val="008E3CD0"/>
    <w:rsid w:val="008E485C"/>
    <w:rsid w:val="008F2490"/>
    <w:rsid w:val="008F798F"/>
    <w:rsid w:val="00900BE9"/>
    <w:rsid w:val="00905ABC"/>
    <w:rsid w:val="0090682E"/>
    <w:rsid w:val="009174ED"/>
    <w:rsid w:val="009249CF"/>
    <w:rsid w:val="00931240"/>
    <w:rsid w:val="00931C88"/>
    <w:rsid w:val="00932F02"/>
    <w:rsid w:val="00935A64"/>
    <w:rsid w:val="0093765C"/>
    <w:rsid w:val="00940855"/>
    <w:rsid w:val="00942378"/>
    <w:rsid w:val="009527E1"/>
    <w:rsid w:val="00952AC5"/>
    <w:rsid w:val="00954090"/>
    <w:rsid w:val="009545A4"/>
    <w:rsid w:val="00957914"/>
    <w:rsid w:val="009601CD"/>
    <w:rsid w:val="0096338E"/>
    <w:rsid w:val="009635F3"/>
    <w:rsid w:val="00966ECE"/>
    <w:rsid w:val="00987162"/>
    <w:rsid w:val="00990E2E"/>
    <w:rsid w:val="00990E5B"/>
    <w:rsid w:val="00995888"/>
    <w:rsid w:val="00997EF2"/>
    <w:rsid w:val="009A3C32"/>
    <w:rsid w:val="009B6793"/>
    <w:rsid w:val="009C57DB"/>
    <w:rsid w:val="009C7F7F"/>
    <w:rsid w:val="009D1CA7"/>
    <w:rsid w:val="009E4F56"/>
    <w:rsid w:val="009F1CDC"/>
    <w:rsid w:val="009F2C2B"/>
    <w:rsid w:val="009F71E5"/>
    <w:rsid w:val="00A05366"/>
    <w:rsid w:val="00A07BB5"/>
    <w:rsid w:val="00A11589"/>
    <w:rsid w:val="00A159F7"/>
    <w:rsid w:val="00A17066"/>
    <w:rsid w:val="00A200F3"/>
    <w:rsid w:val="00A2430B"/>
    <w:rsid w:val="00A26DD0"/>
    <w:rsid w:val="00A34267"/>
    <w:rsid w:val="00A40378"/>
    <w:rsid w:val="00A40F8C"/>
    <w:rsid w:val="00A42642"/>
    <w:rsid w:val="00A4772C"/>
    <w:rsid w:val="00A5045E"/>
    <w:rsid w:val="00A529D1"/>
    <w:rsid w:val="00A64E74"/>
    <w:rsid w:val="00A721BA"/>
    <w:rsid w:val="00A726BE"/>
    <w:rsid w:val="00A7286B"/>
    <w:rsid w:val="00A73D4E"/>
    <w:rsid w:val="00A74D09"/>
    <w:rsid w:val="00A80BAC"/>
    <w:rsid w:val="00A8121E"/>
    <w:rsid w:val="00A854AD"/>
    <w:rsid w:val="00A860EC"/>
    <w:rsid w:val="00A865D0"/>
    <w:rsid w:val="00A86B0B"/>
    <w:rsid w:val="00A873CB"/>
    <w:rsid w:val="00A87D4B"/>
    <w:rsid w:val="00A931CE"/>
    <w:rsid w:val="00A96616"/>
    <w:rsid w:val="00A96B79"/>
    <w:rsid w:val="00A97842"/>
    <w:rsid w:val="00AA1E0A"/>
    <w:rsid w:val="00AA2E10"/>
    <w:rsid w:val="00AA6481"/>
    <w:rsid w:val="00AB1460"/>
    <w:rsid w:val="00AB3C76"/>
    <w:rsid w:val="00AB452E"/>
    <w:rsid w:val="00AC085D"/>
    <w:rsid w:val="00AC2375"/>
    <w:rsid w:val="00AC4AB9"/>
    <w:rsid w:val="00AD73D9"/>
    <w:rsid w:val="00AD79EE"/>
    <w:rsid w:val="00AE12D2"/>
    <w:rsid w:val="00AE2E8C"/>
    <w:rsid w:val="00AE5DA0"/>
    <w:rsid w:val="00AF100C"/>
    <w:rsid w:val="00AF3D37"/>
    <w:rsid w:val="00AF6098"/>
    <w:rsid w:val="00AF7E87"/>
    <w:rsid w:val="00B05FCD"/>
    <w:rsid w:val="00B06714"/>
    <w:rsid w:val="00B1197E"/>
    <w:rsid w:val="00B12951"/>
    <w:rsid w:val="00B13F93"/>
    <w:rsid w:val="00B16FB6"/>
    <w:rsid w:val="00B17999"/>
    <w:rsid w:val="00B24CE5"/>
    <w:rsid w:val="00B328F2"/>
    <w:rsid w:val="00B32F6F"/>
    <w:rsid w:val="00B33CCB"/>
    <w:rsid w:val="00B350B8"/>
    <w:rsid w:val="00B35913"/>
    <w:rsid w:val="00B36AFB"/>
    <w:rsid w:val="00B4150B"/>
    <w:rsid w:val="00B41D6D"/>
    <w:rsid w:val="00B43A18"/>
    <w:rsid w:val="00B47C3B"/>
    <w:rsid w:val="00B5011A"/>
    <w:rsid w:val="00B769CA"/>
    <w:rsid w:val="00B7724C"/>
    <w:rsid w:val="00B8447E"/>
    <w:rsid w:val="00B87E77"/>
    <w:rsid w:val="00BA2FA2"/>
    <w:rsid w:val="00BA6E0E"/>
    <w:rsid w:val="00BA784C"/>
    <w:rsid w:val="00BB76D0"/>
    <w:rsid w:val="00BC1C05"/>
    <w:rsid w:val="00BC46F9"/>
    <w:rsid w:val="00BC5BF0"/>
    <w:rsid w:val="00BD1076"/>
    <w:rsid w:val="00BD2BFC"/>
    <w:rsid w:val="00BD73F2"/>
    <w:rsid w:val="00BD7BFB"/>
    <w:rsid w:val="00BE010B"/>
    <w:rsid w:val="00BE38AC"/>
    <w:rsid w:val="00BE631B"/>
    <w:rsid w:val="00BE646E"/>
    <w:rsid w:val="00BE73E0"/>
    <w:rsid w:val="00BF257B"/>
    <w:rsid w:val="00BF2B11"/>
    <w:rsid w:val="00BF4A6D"/>
    <w:rsid w:val="00BF7459"/>
    <w:rsid w:val="00C01F52"/>
    <w:rsid w:val="00C03D7A"/>
    <w:rsid w:val="00C04408"/>
    <w:rsid w:val="00C05E47"/>
    <w:rsid w:val="00C07BAF"/>
    <w:rsid w:val="00C13BF3"/>
    <w:rsid w:val="00C16861"/>
    <w:rsid w:val="00C21D44"/>
    <w:rsid w:val="00C22A4D"/>
    <w:rsid w:val="00C24F7D"/>
    <w:rsid w:val="00C3092B"/>
    <w:rsid w:val="00C342DE"/>
    <w:rsid w:val="00C40957"/>
    <w:rsid w:val="00C417A8"/>
    <w:rsid w:val="00C452AC"/>
    <w:rsid w:val="00C47B7C"/>
    <w:rsid w:val="00C51136"/>
    <w:rsid w:val="00C533F8"/>
    <w:rsid w:val="00C619E9"/>
    <w:rsid w:val="00C75705"/>
    <w:rsid w:val="00C75BB5"/>
    <w:rsid w:val="00C777E8"/>
    <w:rsid w:val="00C80B1D"/>
    <w:rsid w:val="00C924F5"/>
    <w:rsid w:val="00C955D2"/>
    <w:rsid w:val="00C96444"/>
    <w:rsid w:val="00CA006F"/>
    <w:rsid w:val="00CA0C0E"/>
    <w:rsid w:val="00CA43D3"/>
    <w:rsid w:val="00CA45C7"/>
    <w:rsid w:val="00CB0238"/>
    <w:rsid w:val="00CB15C0"/>
    <w:rsid w:val="00CB1F74"/>
    <w:rsid w:val="00CB5890"/>
    <w:rsid w:val="00CB7C33"/>
    <w:rsid w:val="00CC097B"/>
    <w:rsid w:val="00CC6BEA"/>
    <w:rsid w:val="00CC6FD9"/>
    <w:rsid w:val="00CC7511"/>
    <w:rsid w:val="00CD099F"/>
    <w:rsid w:val="00CD1096"/>
    <w:rsid w:val="00CD3C5E"/>
    <w:rsid w:val="00CD4EBB"/>
    <w:rsid w:val="00CD5679"/>
    <w:rsid w:val="00CE3621"/>
    <w:rsid w:val="00CF4A7A"/>
    <w:rsid w:val="00CF5251"/>
    <w:rsid w:val="00D006D5"/>
    <w:rsid w:val="00D01988"/>
    <w:rsid w:val="00D10366"/>
    <w:rsid w:val="00D10C41"/>
    <w:rsid w:val="00D12C37"/>
    <w:rsid w:val="00D1433E"/>
    <w:rsid w:val="00D168A6"/>
    <w:rsid w:val="00D16C65"/>
    <w:rsid w:val="00D223AC"/>
    <w:rsid w:val="00D23A8A"/>
    <w:rsid w:val="00D35268"/>
    <w:rsid w:val="00D36570"/>
    <w:rsid w:val="00D377FE"/>
    <w:rsid w:val="00D4412B"/>
    <w:rsid w:val="00D451F7"/>
    <w:rsid w:val="00D540DC"/>
    <w:rsid w:val="00D57CC4"/>
    <w:rsid w:val="00D60DBC"/>
    <w:rsid w:val="00D61E1F"/>
    <w:rsid w:val="00D63791"/>
    <w:rsid w:val="00D648DB"/>
    <w:rsid w:val="00D652C7"/>
    <w:rsid w:val="00D73398"/>
    <w:rsid w:val="00D83585"/>
    <w:rsid w:val="00D845BF"/>
    <w:rsid w:val="00D854FE"/>
    <w:rsid w:val="00D871DC"/>
    <w:rsid w:val="00D9298E"/>
    <w:rsid w:val="00DA660E"/>
    <w:rsid w:val="00DD5524"/>
    <w:rsid w:val="00DE1247"/>
    <w:rsid w:val="00DE1F58"/>
    <w:rsid w:val="00DE206D"/>
    <w:rsid w:val="00DF3007"/>
    <w:rsid w:val="00E026B1"/>
    <w:rsid w:val="00E033DD"/>
    <w:rsid w:val="00E05A1F"/>
    <w:rsid w:val="00E11D27"/>
    <w:rsid w:val="00E147CC"/>
    <w:rsid w:val="00E14B28"/>
    <w:rsid w:val="00E15E15"/>
    <w:rsid w:val="00E16D63"/>
    <w:rsid w:val="00E179CA"/>
    <w:rsid w:val="00E209C9"/>
    <w:rsid w:val="00E2439E"/>
    <w:rsid w:val="00E25A17"/>
    <w:rsid w:val="00E2750C"/>
    <w:rsid w:val="00E31329"/>
    <w:rsid w:val="00E4336D"/>
    <w:rsid w:val="00E43725"/>
    <w:rsid w:val="00E44158"/>
    <w:rsid w:val="00E44823"/>
    <w:rsid w:val="00E44C84"/>
    <w:rsid w:val="00E52345"/>
    <w:rsid w:val="00E54B5E"/>
    <w:rsid w:val="00E555AE"/>
    <w:rsid w:val="00E57919"/>
    <w:rsid w:val="00E63A68"/>
    <w:rsid w:val="00E65246"/>
    <w:rsid w:val="00E66089"/>
    <w:rsid w:val="00EA2E95"/>
    <w:rsid w:val="00EA4C1D"/>
    <w:rsid w:val="00EA4F6E"/>
    <w:rsid w:val="00EA6FFB"/>
    <w:rsid w:val="00EB758D"/>
    <w:rsid w:val="00EC4153"/>
    <w:rsid w:val="00EC58E3"/>
    <w:rsid w:val="00EC71A2"/>
    <w:rsid w:val="00ED0398"/>
    <w:rsid w:val="00ED2BEF"/>
    <w:rsid w:val="00ED3B26"/>
    <w:rsid w:val="00ED6329"/>
    <w:rsid w:val="00ED74C5"/>
    <w:rsid w:val="00EE10B7"/>
    <w:rsid w:val="00EE2975"/>
    <w:rsid w:val="00EE5FB3"/>
    <w:rsid w:val="00EE771C"/>
    <w:rsid w:val="00EF544C"/>
    <w:rsid w:val="00EF610F"/>
    <w:rsid w:val="00F01CB6"/>
    <w:rsid w:val="00F06CDC"/>
    <w:rsid w:val="00F13B9F"/>
    <w:rsid w:val="00F16A4B"/>
    <w:rsid w:val="00F2065B"/>
    <w:rsid w:val="00F20BB1"/>
    <w:rsid w:val="00F20E1E"/>
    <w:rsid w:val="00F23AE0"/>
    <w:rsid w:val="00F23C87"/>
    <w:rsid w:val="00F2498D"/>
    <w:rsid w:val="00F27B04"/>
    <w:rsid w:val="00F32DDC"/>
    <w:rsid w:val="00F34EDD"/>
    <w:rsid w:val="00F3573C"/>
    <w:rsid w:val="00F40F31"/>
    <w:rsid w:val="00F41BA4"/>
    <w:rsid w:val="00F469FE"/>
    <w:rsid w:val="00F5042C"/>
    <w:rsid w:val="00F55F63"/>
    <w:rsid w:val="00F604BF"/>
    <w:rsid w:val="00F677DF"/>
    <w:rsid w:val="00F7203E"/>
    <w:rsid w:val="00F8079B"/>
    <w:rsid w:val="00F809A4"/>
    <w:rsid w:val="00F81EBD"/>
    <w:rsid w:val="00F822D7"/>
    <w:rsid w:val="00F832BF"/>
    <w:rsid w:val="00F90D17"/>
    <w:rsid w:val="00FA078D"/>
    <w:rsid w:val="00FB4ED6"/>
    <w:rsid w:val="00FB6B24"/>
    <w:rsid w:val="00FB78EB"/>
    <w:rsid w:val="00FC667F"/>
    <w:rsid w:val="00FC6C25"/>
    <w:rsid w:val="00FC70D4"/>
    <w:rsid w:val="00FD48C4"/>
    <w:rsid w:val="00FE063E"/>
    <w:rsid w:val="00FE0826"/>
    <w:rsid w:val="00FE1242"/>
    <w:rsid w:val="00FE1FD8"/>
    <w:rsid w:val="00FE64F7"/>
    <w:rsid w:val="00FF13BC"/>
    <w:rsid w:val="00FF35A8"/>
    <w:rsid w:val="00FF3A32"/>
    <w:rsid w:val="00FF54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7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link w:val="LijstalineaChar"/>
    <w:uiPriority w:val="34"/>
    <w:qFormat/>
    <w:rsid w:val="00B328F2"/>
    <w:pPr>
      <w:ind w:left="720"/>
      <w:contextualSpacing/>
    </w:pPr>
  </w:style>
  <w:style w:type="character" w:styleId="Verwijzingopmerking">
    <w:name w:val="annotation reference"/>
    <w:basedOn w:val="Standaardalinea-lettertype"/>
    <w:uiPriority w:val="99"/>
    <w:semiHidden/>
    <w:unhideWhenUsed/>
    <w:rsid w:val="00563D28"/>
    <w:rPr>
      <w:sz w:val="16"/>
      <w:szCs w:val="16"/>
    </w:rPr>
  </w:style>
  <w:style w:type="paragraph" w:styleId="Tekstopmerking">
    <w:name w:val="annotation text"/>
    <w:basedOn w:val="Standaard"/>
    <w:link w:val="TekstopmerkingChar"/>
    <w:uiPriority w:val="99"/>
    <w:unhideWhenUsed/>
    <w:rsid w:val="00563D28"/>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563D28"/>
    <w:rPr>
      <w:rFonts w:asciiTheme="minorHAnsi" w:eastAsiaTheme="minorHAnsi" w:hAnsiTheme="minorHAnsi" w:cstheme="minorBidi"/>
      <w:lang w:eastAsia="en-US"/>
    </w:rPr>
  </w:style>
  <w:style w:type="paragraph" w:styleId="Koptekst">
    <w:name w:val="header"/>
    <w:basedOn w:val="Standaard"/>
    <w:link w:val="KoptekstChar"/>
    <w:uiPriority w:val="99"/>
    <w:unhideWhenUsed/>
    <w:rsid w:val="0005153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5153B"/>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60B27"/>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060B27"/>
    <w:rPr>
      <w:rFonts w:ascii="Verdana" w:eastAsiaTheme="minorHAnsi" w:hAnsi="Verdana" w:cstheme="minorBidi"/>
      <w:b/>
      <w:bCs/>
      <w:color w:val="000000"/>
      <w:lang w:eastAsia="en-US"/>
    </w:rPr>
  </w:style>
  <w:style w:type="paragraph" w:styleId="Voetnoottekst">
    <w:name w:val="footnote text"/>
    <w:basedOn w:val="Standaard"/>
    <w:link w:val="VoetnoottekstChar"/>
    <w:uiPriority w:val="99"/>
    <w:semiHidden/>
    <w:unhideWhenUsed/>
    <w:rsid w:val="001E42E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1E42E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1E42E6"/>
    <w:rPr>
      <w:vertAlign w:val="superscript"/>
    </w:rPr>
  </w:style>
  <w:style w:type="paragraph" w:styleId="Revisie">
    <w:name w:val="Revision"/>
    <w:hidden/>
    <w:uiPriority w:val="99"/>
    <w:semiHidden/>
    <w:rsid w:val="00370D53"/>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B17999"/>
    <w:rPr>
      <w:color w:val="605E5C"/>
      <w:shd w:val="clear" w:color="auto" w:fill="E1DFDD"/>
    </w:rPr>
  </w:style>
  <w:style w:type="paragraph" w:styleId="Geenafstand">
    <w:name w:val="No Spacing"/>
    <w:uiPriority w:val="1"/>
    <w:qFormat/>
    <w:rsid w:val="0002464F"/>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LijstalineaChar">
    <w:name w:val="Lijstalinea Char"/>
    <w:link w:val="Lijstalinea"/>
    <w:uiPriority w:val="34"/>
    <w:locked/>
    <w:rsid w:val="00096E6F"/>
    <w:rPr>
      <w:rFonts w:ascii="Verdana" w:hAnsi="Verdana"/>
      <w:color w:val="000000"/>
      <w:sz w:val="18"/>
      <w:szCs w:val="18"/>
    </w:rPr>
  </w:style>
  <w:style w:type="character" w:styleId="GevolgdeHyperlink">
    <w:name w:val="FollowedHyperlink"/>
    <w:basedOn w:val="Standaardalinea-lettertype"/>
    <w:uiPriority w:val="99"/>
    <w:semiHidden/>
    <w:unhideWhenUsed/>
    <w:rsid w:val="004D5C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0292">
      <w:bodyDiv w:val="1"/>
      <w:marLeft w:val="0"/>
      <w:marRight w:val="0"/>
      <w:marTop w:val="0"/>
      <w:marBottom w:val="0"/>
      <w:divBdr>
        <w:top w:val="none" w:sz="0" w:space="0" w:color="auto"/>
        <w:left w:val="none" w:sz="0" w:space="0" w:color="auto"/>
        <w:bottom w:val="none" w:sz="0" w:space="0" w:color="auto"/>
        <w:right w:val="none" w:sz="0" w:space="0" w:color="auto"/>
      </w:divBdr>
    </w:div>
    <w:div w:id="88548183">
      <w:bodyDiv w:val="1"/>
      <w:marLeft w:val="0"/>
      <w:marRight w:val="0"/>
      <w:marTop w:val="0"/>
      <w:marBottom w:val="0"/>
      <w:divBdr>
        <w:top w:val="none" w:sz="0" w:space="0" w:color="auto"/>
        <w:left w:val="none" w:sz="0" w:space="0" w:color="auto"/>
        <w:bottom w:val="none" w:sz="0" w:space="0" w:color="auto"/>
        <w:right w:val="none" w:sz="0" w:space="0" w:color="auto"/>
      </w:divBdr>
    </w:div>
    <w:div w:id="129832255">
      <w:bodyDiv w:val="1"/>
      <w:marLeft w:val="0"/>
      <w:marRight w:val="0"/>
      <w:marTop w:val="0"/>
      <w:marBottom w:val="0"/>
      <w:divBdr>
        <w:top w:val="none" w:sz="0" w:space="0" w:color="auto"/>
        <w:left w:val="none" w:sz="0" w:space="0" w:color="auto"/>
        <w:bottom w:val="none" w:sz="0" w:space="0" w:color="auto"/>
        <w:right w:val="none" w:sz="0" w:space="0" w:color="auto"/>
      </w:divBdr>
    </w:div>
    <w:div w:id="373970367">
      <w:bodyDiv w:val="1"/>
      <w:marLeft w:val="0"/>
      <w:marRight w:val="0"/>
      <w:marTop w:val="0"/>
      <w:marBottom w:val="0"/>
      <w:divBdr>
        <w:top w:val="none" w:sz="0" w:space="0" w:color="auto"/>
        <w:left w:val="none" w:sz="0" w:space="0" w:color="auto"/>
        <w:bottom w:val="none" w:sz="0" w:space="0" w:color="auto"/>
        <w:right w:val="none" w:sz="0" w:space="0" w:color="auto"/>
      </w:divBdr>
    </w:div>
    <w:div w:id="535698999">
      <w:bodyDiv w:val="1"/>
      <w:marLeft w:val="0"/>
      <w:marRight w:val="0"/>
      <w:marTop w:val="0"/>
      <w:marBottom w:val="0"/>
      <w:divBdr>
        <w:top w:val="none" w:sz="0" w:space="0" w:color="auto"/>
        <w:left w:val="none" w:sz="0" w:space="0" w:color="auto"/>
        <w:bottom w:val="none" w:sz="0" w:space="0" w:color="auto"/>
        <w:right w:val="none" w:sz="0" w:space="0" w:color="auto"/>
      </w:divBdr>
    </w:div>
    <w:div w:id="631640661">
      <w:bodyDiv w:val="1"/>
      <w:marLeft w:val="0"/>
      <w:marRight w:val="0"/>
      <w:marTop w:val="0"/>
      <w:marBottom w:val="0"/>
      <w:divBdr>
        <w:top w:val="none" w:sz="0" w:space="0" w:color="auto"/>
        <w:left w:val="none" w:sz="0" w:space="0" w:color="auto"/>
        <w:bottom w:val="none" w:sz="0" w:space="0" w:color="auto"/>
        <w:right w:val="none" w:sz="0" w:space="0" w:color="auto"/>
      </w:divBdr>
    </w:div>
    <w:div w:id="656614277">
      <w:bodyDiv w:val="1"/>
      <w:marLeft w:val="0"/>
      <w:marRight w:val="0"/>
      <w:marTop w:val="0"/>
      <w:marBottom w:val="0"/>
      <w:divBdr>
        <w:top w:val="none" w:sz="0" w:space="0" w:color="auto"/>
        <w:left w:val="none" w:sz="0" w:space="0" w:color="auto"/>
        <w:bottom w:val="none" w:sz="0" w:space="0" w:color="auto"/>
        <w:right w:val="none" w:sz="0" w:space="0" w:color="auto"/>
      </w:divBdr>
    </w:div>
    <w:div w:id="702709465">
      <w:bodyDiv w:val="1"/>
      <w:marLeft w:val="0"/>
      <w:marRight w:val="0"/>
      <w:marTop w:val="0"/>
      <w:marBottom w:val="0"/>
      <w:divBdr>
        <w:top w:val="none" w:sz="0" w:space="0" w:color="auto"/>
        <w:left w:val="none" w:sz="0" w:space="0" w:color="auto"/>
        <w:bottom w:val="none" w:sz="0" w:space="0" w:color="auto"/>
        <w:right w:val="none" w:sz="0" w:space="0" w:color="auto"/>
      </w:divBdr>
    </w:div>
    <w:div w:id="751389644">
      <w:bodyDiv w:val="1"/>
      <w:marLeft w:val="0"/>
      <w:marRight w:val="0"/>
      <w:marTop w:val="0"/>
      <w:marBottom w:val="0"/>
      <w:divBdr>
        <w:top w:val="none" w:sz="0" w:space="0" w:color="auto"/>
        <w:left w:val="none" w:sz="0" w:space="0" w:color="auto"/>
        <w:bottom w:val="none" w:sz="0" w:space="0" w:color="auto"/>
        <w:right w:val="none" w:sz="0" w:space="0" w:color="auto"/>
      </w:divBdr>
    </w:div>
    <w:div w:id="753018864">
      <w:bodyDiv w:val="1"/>
      <w:marLeft w:val="0"/>
      <w:marRight w:val="0"/>
      <w:marTop w:val="0"/>
      <w:marBottom w:val="0"/>
      <w:divBdr>
        <w:top w:val="none" w:sz="0" w:space="0" w:color="auto"/>
        <w:left w:val="none" w:sz="0" w:space="0" w:color="auto"/>
        <w:bottom w:val="none" w:sz="0" w:space="0" w:color="auto"/>
        <w:right w:val="none" w:sz="0" w:space="0" w:color="auto"/>
      </w:divBdr>
    </w:div>
    <w:div w:id="755979371">
      <w:bodyDiv w:val="1"/>
      <w:marLeft w:val="0"/>
      <w:marRight w:val="0"/>
      <w:marTop w:val="0"/>
      <w:marBottom w:val="0"/>
      <w:divBdr>
        <w:top w:val="none" w:sz="0" w:space="0" w:color="auto"/>
        <w:left w:val="none" w:sz="0" w:space="0" w:color="auto"/>
        <w:bottom w:val="none" w:sz="0" w:space="0" w:color="auto"/>
        <w:right w:val="none" w:sz="0" w:space="0" w:color="auto"/>
      </w:divBdr>
      <w:divsChild>
        <w:div w:id="362563286">
          <w:marLeft w:val="446"/>
          <w:marRight w:val="0"/>
          <w:marTop w:val="200"/>
          <w:marBottom w:val="0"/>
          <w:divBdr>
            <w:top w:val="none" w:sz="0" w:space="0" w:color="auto"/>
            <w:left w:val="none" w:sz="0" w:space="0" w:color="auto"/>
            <w:bottom w:val="none" w:sz="0" w:space="0" w:color="auto"/>
            <w:right w:val="none" w:sz="0" w:space="0" w:color="auto"/>
          </w:divBdr>
        </w:div>
        <w:div w:id="164327736">
          <w:marLeft w:val="446"/>
          <w:marRight w:val="0"/>
          <w:marTop w:val="200"/>
          <w:marBottom w:val="0"/>
          <w:divBdr>
            <w:top w:val="none" w:sz="0" w:space="0" w:color="auto"/>
            <w:left w:val="none" w:sz="0" w:space="0" w:color="auto"/>
            <w:bottom w:val="none" w:sz="0" w:space="0" w:color="auto"/>
            <w:right w:val="none" w:sz="0" w:space="0" w:color="auto"/>
          </w:divBdr>
        </w:div>
      </w:divsChild>
    </w:div>
    <w:div w:id="796722985">
      <w:bodyDiv w:val="1"/>
      <w:marLeft w:val="0"/>
      <w:marRight w:val="0"/>
      <w:marTop w:val="0"/>
      <w:marBottom w:val="0"/>
      <w:divBdr>
        <w:top w:val="none" w:sz="0" w:space="0" w:color="auto"/>
        <w:left w:val="none" w:sz="0" w:space="0" w:color="auto"/>
        <w:bottom w:val="none" w:sz="0" w:space="0" w:color="auto"/>
        <w:right w:val="none" w:sz="0" w:space="0" w:color="auto"/>
      </w:divBdr>
    </w:div>
    <w:div w:id="807627284">
      <w:bodyDiv w:val="1"/>
      <w:marLeft w:val="0"/>
      <w:marRight w:val="0"/>
      <w:marTop w:val="0"/>
      <w:marBottom w:val="0"/>
      <w:divBdr>
        <w:top w:val="none" w:sz="0" w:space="0" w:color="auto"/>
        <w:left w:val="none" w:sz="0" w:space="0" w:color="auto"/>
        <w:bottom w:val="none" w:sz="0" w:space="0" w:color="auto"/>
        <w:right w:val="none" w:sz="0" w:space="0" w:color="auto"/>
      </w:divBdr>
    </w:div>
    <w:div w:id="811097480">
      <w:bodyDiv w:val="1"/>
      <w:marLeft w:val="0"/>
      <w:marRight w:val="0"/>
      <w:marTop w:val="0"/>
      <w:marBottom w:val="0"/>
      <w:divBdr>
        <w:top w:val="none" w:sz="0" w:space="0" w:color="auto"/>
        <w:left w:val="none" w:sz="0" w:space="0" w:color="auto"/>
        <w:bottom w:val="none" w:sz="0" w:space="0" w:color="auto"/>
        <w:right w:val="none" w:sz="0" w:space="0" w:color="auto"/>
      </w:divBdr>
      <w:divsChild>
        <w:div w:id="282689413">
          <w:marLeft w:val="0"/>
          <w:marRight w:val="0"/>
          <w:marTop w:val="0"/>
          <w:marBottom w:val="0"/>
          <w:divBdr>
            <w:top w:val="none" w:sz="0" w:space="0" w:color="auto"/>
            <w:left w:val="none" w:sz="0" w:space="0" w:color="auto"/>
            <w:bottom w:val="none" w:sz="0" w:space="0" w:color="auto"/>
            <w:right w:val="none" w:sz="0" w:space="0" w:color="auto"/>
          </w:divBdr>
        </w:div>
      </w:divsChild>
    </w:div>
    <w:div w:id="812865210">
      <w:bodyDiv w:val="1"/>
      <w:marLeft w:val="0"/>
      <w:marRight w:val="0"/>
      <w:marTop w:val="0"/>
      <w:marBottom w:val="0"/>
      <w:divBdr>
        <w:top w:val="none" w:sz="0" w:space="0" w:color="auto"/>
        <w:left w:val="none" w:sz="0" w:space="0" w:color="auto"/>
        <w:bottom w:val="none" w:sz="0" w:space="0" w:color="auto"/>
        <w:right w:val="none" w:sz="0" w:space="0" w:color="auto"/>
      </w:divBdr>
    </w:div>
    <w:div w:id="890842881">
      <w:bodyDiv w:val="1"/>
      <w:marLeft w:val="0"/>
      <w:marRight w:val="0"/>
      <w:marTop w:val="0"/>
      <w:marBottom w:val="0"/>
      <w:divBdr>
        <w:top w:val="none" w:sz="0" w:space="0" w:color="auto"/>
        <w:left w:val="none" w:sz="0" w:space="0" w:color="auto"/>
        <w:bottom w:val="none" w:sz="0" w:space="0" w:color="auto"/>
        <w:right w:val="none" w:sz="0" w:space="0" w:color="auto"/>
      </w:divBdr>
    </w:div>
    <w:div w:id="920606545">
      <w:bodyDiv w:val="1"/>
      <w:marLeft w:val="0"/>
      <w:marRight w:val="0"/>
      <w:marTop w:val="0"/>
      <w:marBottom w:val="0"/>
      <w:divBdr>
        <w:top w:val="none" w:sz="0" w:space="0" w:color="auto"/>
        <w:left w:val="none" w:sz="0" w:space="0" w:color="auto"/>
        <w:bottom w:val="none" w:sz="0" w:space="0" w:color="auto"/>
        <w:right w:val="none" w:sz="0" w:space="0" w:color="auto"/>
      </w:divBdr>
    </w:div>
    <w:div w:id="923028778">
      <w:bodyDiv w:val="1"/>
      <w:marLeft w:val="0"/>
      <w:marRight w:val="0"/>
      <w:marTop w:val="0"/>
      <w:marBottom w:val="0"/>
      <w:divBdr>
        <w:top w:val="none" w:sz="0" w:space="0" w:color="auto"/>
        <w:left w:val="none" w:sz="0" w:space="0" w:color="auto"/>
        <w:bottom w:val="none" w:sz="0" w:space="0" w:color="auto"/>
        <w:right w:val="none" w:sz="0" w:space="0" w:color="auto"/>
      </w:divBdr>
    </w:div>
    <w:div w:id="924613031">
      <w:bodyDiv w:val="1"/>
      <w:marLeft w:val="0"/>
      <w:marRight w:val="0"/>
      <w:marTop w:val="0"/>
      <w:marBottom w:val="0"/>
      <w:divBdr>
        <w:top w:val="none" w:sz="0" w:space="0" w:color="auto"/>
        <w:left w:val="none" w:sz="0" w:space="0" w:color="auto"/>
        <w:bottom w:val="none" w:sz="0" w:space="0" w:color="auto"/>
        <w:right w:val="none" w:sz="0" w:space="0" w:color="auto"/>
      </w:divBdr>
    </w:div>
    <w:div w:id="969826990">
      <w:bodyDiv w:val="1"/>
      <w:marLeft w:val="0"/>
      <w:marRight w:val="0"/>
      <w:marTop w:val="0"/>
      <w:marBottom w:val="0"/>
      <w:divBdr>
        <w:top w:val="none" w:sz="0" w:space="0" w:color="auto"/>
        <w:left w:val="none" w:sz="0" w:space="0" w:color="auto"/>
        <w:bottom w:val="none" w:sz="0" w:space="0" w:color="auto"/>
        <w:right w:val="none" w:sz="0" w:space="0" w:color="auto"/>
      </w:divBdr>
    </w:div>
    <w:div w:id="1023171082">
      <w:bodyDiv w:val="1"/>
      <w:marLeft w:val="0"/>
      <w:marRight w:val="0"/>
      <w:marTop w:val="0"/>
      <w:marBottom w:val="0"/>
      <w:divBdr>
        <w:top w:val="none" w:sz="0" w:space="0" w:color="auto"/>
        <w:left w:val="none" w:sz="0" w:space="0" w:color="auto"/>
        <w:bottom w:val="none" w:sz="0" w:space="0" w:color="auto"/>
        <w:right w:val="none" w:sz="0" w:space="0" w:color="auto"/>
      </w:divBdr>
    </w:div>
    <w:div w:id="1023677108">
      <w:bodyDiv w:val="1"/>
      <w:marLeft w:val="0"/>
      <w:marRight w:val="0"/>
      <w:marTop w:val="0"/>
      <w:marBottom w:val="0"/>
      <w:divBdr>
        <w:top w:val="none" w:sz="0" w:space="0" w:color="auto"/>
        <w:left w:val="none" w:sz="0" w:space="0" w:color="auto"/>
        <w:bottom w:val="none" w:sz="0" w:space="0" w:color="auto"/>
        <w:right w:val="none" w:sz="0" w:space="0" w:color="auto"/>
      </w:divBdr>
      <w:divsChild>
        <w:div w:id="219175824">
          <w:marLeft w:val="0"/>
          <w:marRight w:val="0"/>
          <w:marTop w:val="0"/>
          <w:marBottom w:val="0"/>
          <w:divBdr>
            <w:top w:val="none" w:sz="0" w:space="0" w:color="auto"/>
            <w:left w:val="none" w:sz="0" w:space="0" w:color="auto"/>
            <w:bottom w:val="none" w:sz="0" w:space="0" w:color="auto"/>
            <w:right w:val="none" w:sz="0" w:space="0" w:color="auto"/>
          </w:divBdr>
        </w:div>
      </w:divsChild>
    </w:div>
    <w:div w:id="1048187400">
      <w:bodyDiv w:val="1"/>
      <w:marLeft w:val="0"/>
      <w:marRight w:val="0"/>
      <w:marTop w:val="0"/>
      <w:marBottom w:val="0"/>
      <w:divBdr>
        <w:top w:val="none" w:sz="0" w:space="0" w:color="auto"/>
        <w:left w:val="none" w:sz="0" w:space="0" w:color="auto"/>
        <w:bottom w:val="none" w:sz="0" w:space="0" w:color="auto"/>
        <w:right w:val="none" w:sz="0" w:space="0" w:color="auto"/>
      </w:divBdr>
    </w:div>
    <w:div w:id="1048604833">
      <w:bodyDiv w:val="1"/>
      <w:marLeft w:val="0"/>
      <w:marRight w:val="0"/>
      <w:marTop w:val="0"/>
      <w:marBottom w:val="0"/>
      <w:divBdr>
        <w:top w:val="none" w:sz="0" w:space="0" w:color="auto"/>
        <w:left w:val="none" w:sz="0" w:space="0" w:color="auto"/>
        <w:bottom w:val="none" w:sz="0" w:space="0" w:color="auto"/>
        <w:right w:val="none" w:sz="0" w:space="0" w:color="auto"/>
      </w:divBdr>
    </w:div>
    <w:div w:id="1080105951">
      <w:bodyDiv w:val="1"/>
      <w:marLeft w:val="0"/>
      <w:marRight w:val="0"/>
      <w:marTop w:val="0"/>
      <w:marBottom w:val="0"/>
      <w:divBdr>
        <w:top w:val="none" w:sz="0" w:space="0" w:color="auto"/>
        <w:left w:val="none" w:sz="0" w:space="0" w:color="auto"/>
        <w:bottom w:val="none" w:sz="0" w:space="0" w:color="auto"/>
        <w:right w:val="none" w:sz="0" w:space="0" w:color="auto"/>
      </w:divBdr>
      <w:divsChild>
        <w:div w:id="222832414">
          <w:marLeft w:val="0"/>
          <w:marRight w:val="0"/>
          <w:marTop w:val="0"/>
          <w:marBottom w:val="0"/>
          <w:divBdr>
            <w:top w:val="none" w:sz="0" w:space="0" w:color="auto"/>
            <w:left w:val="none" w:sz="0" w:space="0" w:color="auto"/>
            <w:bottom w:val="none" w:sz="0" w:space="0" w:color="auto"/>
            <w:right w:val="none" w:sz="0" w:space="0" w:color="auto"/>
          </w:divBdr>
          <w:divsChild>
            <w:div w:id="1998652580">
              <w:marLeft w:val="0"/>
              <w:marRight w:val="0"/>
              <w:marTop w:val="0"/>
              <w:marBottom w:val="0"/>
              <w:divBdr>
                <w:top w:val="none" w:sz="0" w:space="0" w:color="auto"/>
                <w:left w:val="none" w:sz="0" w:space="0" w:color="auto"/>
                <w:bottom w:val="none" w:sz="0" w:space="0" w:color="auto"/>
                <w:right w:val="none" w:sz="0" w:space="0" w:color="auto"/>
              </w:divBdr>
            </w:div>
          </w:divsChild>
        </w:div>
        <w:div w:id="1173691025">
          <w:marLeft w:val="0"/>
          <w:marRight w:val="0"/>
          <w:marTop w:val="0"/>
          <w:marBottom w:val="0"/>
          <w:divBdr>
            <w:top w:val="none" w:sz="0" w:space="0" w:color="auto"/>
            <w:left w:val="none" w:sz="0" w:space="0" w:color="auto"/>
            <w:bottom w:val="none" w:sz="0" w:space="0" w:color="auto"/>
            <w:right w:val="none" w:sz="0" w:space="0" w:color="auto"/>
          </w:divBdr>
        </w:div>
      </w:divsChild>
    </w:div>
    <w:div w:id="1199930517">
      <w:bodyDiv w:val="1"/>
      <w:marLeft w:val="0"/>
      <w:marRight w:val="0"/>
      <w:marTop w:val="0"/>
      <w:marBottom w:val="0"/>
      <w:divBdr>
        <w:top w:val="none" w:sz="0" w:space="0" w:color="auto"/>
        <w:left w:val="none" w:sz="0" w:space="0" w:color="auto"/>
        <w:bottom w:val="none" w:sz="0" w:space="0" w:color="auto"/>
        <w:right w:val="none" w:sz="0" w:space="0" w:color="auto"/>
      </w:divBdr>
      <w:divsChild>
        <w:div w:id="1622878656">
          <w:marLeft w:val="0"/>
          <w:marRight w:val="0"/>
          <w:marTop w:val="0"/>
          <w:marBottom w:val="0"/>
          <w:divBdr>
            <w:top w:val="none" w:sz="0" w:space="0" w:color="auto"/>
            <w:left w:val="none" w:sz="0" w:space="0" w:color="auto"/>
            <w:bottom w:val="none" w:sz="0" w:space="0" w:color="auto"/>
            <w:right w:val="none" w:sz="0" w:space="0" w:color="auto"/>
          </w:divBdr>
        </w:div>
      </w:divsChild>
    </w:div>
    <w:div w:id="1268343239">
      <w:bodyDiv w:val="1"/>
      <w:marLeft w:val="0"/>
      <w:marRight w:val="0"/>
      <w:marTop w:val="0"/>
      <w:marBottom w:val="0"/>
      <w:divBdr>
        <w:top w:val="none" w:sz="0" w:space="0" w:color="auto"/>
        <w:left w:val="none" w:sz="0" w:space="0" w:color="auto"/>
        <w:bottom w:val="none" w:sz="0" w:space="0" w:color="auto"/>
        <w:right w:val="none" w:sz="0" w:space="0" w:color="auto"/>
      </w:divBdr>
    </w:div>
    <w:div w:id="1271010702">
      <w:bodyDiv w:val="1"/>
      <w:marLeft w:val="0"/>
      <w:marRight w:val="0"/>
      <w:marTop w:val="0"/>
      <w:marBottom w:val="0"/>
      <w:divBdr>
        <w:top w:val="none" w:sz="0" w:space="0" w:color="auto"/>
        <w:left w:val="none" w:sz="0" w:space="0" w:color="auto"/>
        <w:bottom w:val="none" w:sz="0" w:space="0" w:color="auto"/>
        <w:right w:val="none" w:sz="0" w:space="0" w:color="auto"/>
      </w:divBdr>
    </w:div>
    <w:div w:id="1350451412">
      <w:bodyDiv w:val="1"/>
      <w:marLeft w:val="0"/>
      <w:marRight w:val="0"/>
      <w:marTop w:val="0"/>
      <w:marBottom w:val="0"/>
      <w:divBdr>
        <w:top w:val="none" w:sz="0" w:space="0" w:color="auto"/>
        <w:left w:val="none" w:sz="0" w:space="0" w:color="auto"/>
        <w:bottom w:val="none" w:sz="0" w:space="0" w:color="auto"/>
        <w:right w:val="none" w:sz="0" w:space="0" w:color="auto"/>
      </w:divBdr>
    </w:div>
    <w:div w:id="1407066859">
      <w:bodyDiv w:val="1"/>
      <w:marLeft w:val="0"/>
      <w:marRight w:val="0"/>
      <w:marTop w:val="0"/>
      <w:marBottom w:val="0"/>
      <w:divBdr>
        <w:top w:val="none" w:sz="0" w:space="0" w:color="auto"/>
        <w:left w:val="none" w:sz="0" w:space="0" w:color="auto"/>
        <w:bottom w:val="none" w:sz="0" w:space="0" w:color="auto"/>
        <w:right w:val="none" w:sz="0" w:space="0" w:color="auto"/>
      </w:divBdr>
    </w:div>
    <w:div w:id="1443450424">
      <w:bodyDiv w:val="1"/>
      <w:marLeft w:val="0"/>
      <w:marRight w:val="0"/>
      <w:marTop w:val="0"/>
      <w:marBottom w:val="0"/>
      <w:divBdr>
        <w:top w:val="none" w:sz="0" w:space="0" w:color="auto"/>
        <w:left w:val="none" w:sz="0" w:space="0" w:color="auto"/>
        <w:bottom w:val="none" w:sz="0" w:space="0" w:color="auto"/>
        <w:right w:val="none" w:sz="0" w:space="0" w:color="auto"/>
      </w:divBdr>
    </w:div>
    <w:div w:id="1471170150">
      <w:bodyDiv w:val="1"/>
      <w:marLeft w:val="0"/>
      <w:marRight w:val="0"/>
      <w:marTop w:val="0"/>
      <w:marBottom w:val="0"/>
      <w:divBdr>
        <w:top w:val="none" w:sz="0" w:space="0" w:color="auto"/>
        <w:left w:val="none" w:sz="0" w:space="0" w:color="auto"/>
        <w:bottom w:val="none" w:sz="0" w:space="0" w:color="auto"/>
        <w:right w:val="none" w:sz="0" w:space="0" w:color="auto"/>
      </w:divBdr>
    </w:div>
    <w:div w:id="1523547872">
      <w:bodyDiv w:val="1"/>
      <w:marLeft w:val="0"/>
      <w:marRight w:val="0"/>
      <w:marTop w:val="0"/>
      <w:marBottom w:val="0"/>
      <w:divBdr>
        <w:top w:val="none" w:sz="0" w:space="0" w:color="auto"/>
        <w:left w:val="none" w:sz="0" w:space="0" w:color="auto"/>
        <w:bottom w:val="none" w:sz="0" w:space="0" w:color="auto"/>
        <w:right w:val="none" w:sz="0" w:space="0" w:color="auto"/>
      </w:divBdr>
    </w:div>
    <w:div w:id="1612937033">
      <w:bodyDiv w:val="1"/>
      <w:marLeft w:val="0"/>
      <w:marRight w:val="0"/>
      <w:marTop w:val="0"/>
      <w:marBottom w:val="0"/>
      <w:divBdr>
        <w:top w:val="none" w:sz="0" w:space="0" w:color="auto"/>
        <w:left w:val="none" w:sz="0" w:space="0" w:color="auto"/>
        <w:bottom w:val="none" w:sz="0" w:space="0" w:color="auto"/>
        <w:right w:val="none" w:sz="0" w:space="0" w:color="auto"/>
      </w:divBdr>
      <w:divsChild>
        <w:div w:id="1299653443">
          <w:marLeft w:val="0"/>
          <w:marRight w:val="0"/>
          <w:marTop w:val="0"/>
          <w:marBottom w:val="0"/>
          <w:divBdr>
            <w:top w:val="none" w:sz="0" w:space="0" w:color="auto"/>
            <w:left w:val="none" w:sz="0" w:space="0" w:color="auto"/>
            <w:bottom w:val="none" w:sz="0" w:space="0" w:color="auto"/>
            <w:right w:val="none" w:sz="0" w:space="0" w:color="auto"/>
          </w:divBdr>
          <w:divsChild>
            <w:div w:id="224604876">
              <w:marLeft w:val="0"/>
              <w:marRight w:val="0"/>
              <w:marTop w:val="0"/>
              <w:marBottom w:val="0"/>
              <w:divBdr>
                <w:top w:val="none" w:sz="0" w:space="0" w:color="auto"/>
                <w:left w:val="none" w:sz="0" w:space="0" w:color="auto"/>
                <w:bottom w:val="none" w:sz="0" w:space="0" w:color="auto"/>
                <w:right w:val="none" w:sz="0" w:space="0" w:color="auto"/>
              </w:divBdr>
            </w:div>
          </w:divsChild>
        </w:div>
        <w:div w:id="1581981207">
          <w:marLeft w:val="0"/>
          <w:marRight w:val="0"/>
          <w:marTop w:val="0"/>
          <w:marBottom w:val="0"/>
          <w:divBdr>
            <w:top w:val="none" w:sz="0" w:space="0" w:color="auto"/>
            <w:left w:val="none" w:sz="0" w:space="0" w:color="auto"/>
            <w:bottom w:val="none" w:sz="0" w:space="0" w:color="auto"/>
            <w:right w:val="none" w:sz="0" w:space="0" w:color="auto"/>
          </w:divBdr>
        </w:div>
      </w:divsChild>
    </w:div>
    <w:div w:id="1614946676">
      <w:bodyDiv w:val="1"/>
      <w:marLeft w:val="0"/>
      <w:marRight w:val="0"/>
      <w:marTop w:val="0"/>
      <w:marBottom w:val="0"/>
      <w:divBdr>
        <w:top w:val="none" w:sz="0" w:space="0" w:color="auto"/>
        <w:left w:val="none" w:sz="0" w:space="0" w:color="auto"/>
        <w:bottom w:val="none" w:sz="0" w:space="0" w:color="auto"/>
        <w:right w:val="none" w:sz="0" w:space="0" w:color="auto"/>
      </w:divBdr>
    </w:div>
    <w:div w:id="1664121467">
      <w:bodyDiv w:val="1"/>
      <w:marLeft w:val="0"/>
      <w:marRight w:val="0"/>
      <w:marTop w:val="0"/>
      <w:marBottom w:val="0"/>
      <w:divBdr>
        <w:top w:val="none" w:sz="0" w:space="0" w:color="auto"/>
        <w:left w:val="none" w:sz="0" w:space="0" w:color="auto"/>
        <w:bottom w:val="none" w:sz="0" w:space="0" w:color="auto"/>
        <w:right w:val="none" w:sz="0" w:space="0" w:color="auto"/>
      </w:divBdr>
    </w:div>
    <w:div w:id="1678847473">
      <w:bodyDiv w:val="1"/>
      <w:marLeft w:val="0"/>
      <w:marRight w:val="0"/>
      <w:marTop w:val="0"/>
      <w:marBottom w:val="0"/>
      <w:divBdr>
        <w:top w:val="none" w:sz="0" w:space="0" w:color="auto"/>
        <w:left w:val="none" w:sz="0" w:space="0" w:color="auto"/>
        <w:bottom w:val="none" w:sz="0" w:space="0" w:color="auto"/>
        <w:right w:val="none" w:sz="0" w:space="0" w:color="auto"/>
      </w:divBdr>
      <w:divsChild>
        <w:div w:id="276061109">
          <w:marLeft w:val="446"/>
          <w:marRight w:val="0"/>
          <w:marTop w:val="96"/>
          <w:marBottom w:val="120"/>
          <w:divBdr>
            <w:top w:val="none" w:sz="0" w:space="0" w:color="auto"/>
            <w:left w:val="none" w:sz="0" w:space="0" w:color="auto"/>
            <w:bottom w:val="none" w:sz="0" w:space="0" w:color="auto"/>
            <w:right w:val="none" w:sz="0" w:space="0" w:color="auto"/>
          </w:divBdr>
        </w:div>
        <w:div w:id="1423794121">
          <w:marLeft w:val="1166"/>
          <w:marRight w:val="0"/>
          <w:marTop w:val="91"/>
          <w:marBottom w:val="120"/>
          <w:divBdr>
            <w:top w:val="none" w:sz="0" w:space="0" w:color="auto"/>
            <w:left w:val="none" w:sz="0" w:space="0" w:color="auto"/>
            <w:bottom w:val="none" w:sz="0" w:space="0" w:color="auto"/>
            <w:right w:val="none" w:sz="0" w:space="0" w:color="auto"/>
          </w:divBdr>
        </w:div>
        <w:div w:id="1919442267">
          <w:marLeft w:val="1166"/>
          <w:marRight w:val="0"/>
          <w:marTop w:val="91"/>
          <w:marBottom w:val="120"/>
          <w:divBdr>
            <w:top w:val="none" w:sz="0" w:space="0" w:color="auto"/>
            <w:left w:val="none" w:sz="0" w:space="0" w:color="auto"/>
            <w:bottom w:val="none" w:sz="0" w:space="0" w:color="auto"/>
            <w:right w:val="none" w:sz="0" w:space="0" w:color="auto"/>
          </w:divBdr>
        </w:div>
        <w:div w:id="1613704648">
          <w:marLeft w:val="1166"/>
          <w:marRight w:val="0"/>
          <w:marTop w:val="91"/>
          <w:marBottom w:val="120"/>
          <w:divBdr>
            <w:top w:val="none" w:sz="0" w:space="0" w:color="auto"/>
            <w:left w:val="none" w:sz="0" w:space="0" w:color="auto"/>
            <w:bottom w:val="none" w:sz="0" w:space="0" w:color="auto"/>
            <w:right w:val="none" w:sz="0" w:space="0" w:color="auto"/>
          </w:divBdr>
        </w:div>
      </w:divsChild>
    </w:div>
    <w:div w:id="1763574270">
      <w:bodyDiv w:val="1"/>
      <w:marLeft w:val="0"/>
      <w:marRight w:val="0"/>
      <w:marTop w:val="0"/>
      <w:marBottom w:val="0"/>
      <w:divBdr>
        <w:top w:val="none" w:sz="0" w:space="0" w:color="auto"/>
        <w:left w:val="none" w:sz="0" w:space="0" w:color="auto"/>
        <w:bottom w:val="none" w:sz="0" w:space="0" w:color="auto"/>
        <w:right w:val="none" w:sz="0" w:space="0" w:color="auto"/>
      </w:divBdr>
    </w:div>
    <w:div w:id="1764032664">
      <w:bodyDiv w:val="1"/>
      <w:marLeft w:val="0"/>
      <w:marRight w:val="0"/>
      <w:marTop w:val="0"/>
      <w:marBottom w:val="0"/>
      <w:divBdr>
        <w:top w:val="none" w:sz="0" w:space="0" w:color="auto"/>
        <w:left w:val="none" w:sz="0" w:space="0" w:color="auto"/>
        <w:bottom w:val="none" w:sz="0" w:space="0" w:color="auto"/>
        <w:right w:val="none" w:sz="0" w:space="0" w:color="auto"/>
      </w:divBdr>
    </w:div>
    <w:div w:id="1841191716">
      <w:bodyDiv w:val="1"/>
      <w:marLeft w:val="0"/>
      <w:marRight w:val="0"/>
      <w:marTop w:val="0"/>
      <w:marBottom w:val="0"/>
      <w:divBdr>
        <w:top w:val="none" w:sz="0" w:space="0" w:color="auto"/>
        <w:left w:val="none" w:sz="0" w:space="0" w:color="auto"/>
        <w:bottom w:val="none" w:sz="0" w:space="0" w:color="auto"/>
        <w:right w:val="none" w:sz="0" w:space="0" w:color="auto"/>
      </w:divBdr>
    </w:div>
    <w:div w:id="1858233472">
      <w:bodyDiv w:val="1"/>
      <w:marLeft w:val="0"/>
      <w:marRight w:val="0"/>
      <w:marTop w:val="0"/>
      <w:marBottom w:val="0"/>
      <w:divBdr>
        <w:top w:val="none" w:sz="0" w:space="0" w:color="auto"/>
        <w:left w:val="none" w:sz="0" w:space="0" w:color="auto"/>
        <w:bottom w:val="none" w:sz="0" w:space="0" w:color="auto"/>
        <w:right w:val="none" w:sz="0" w:space="0" w:color="auto"/>
      </w:divBdr>
      <w:divsChild>
        <w:div w:id="888103455">
          <w:marLeft w:val="0"/>
          <w:marRight w:val="0"/>
          <w:marTop w:val="0"/>
          <w:marBottom w:val="0"/>
          <w:divBdr>
            <w:top w:val="none" w:sz="0" w:space="0" w:color="auto"/>
            <w:left w:val="none" w:sz="0" w:space="0" w:color="auto"/>
            <w:bottom w:val="none" w:sz="0" w:space="0" w:color="auto"/>
            <w:right w:val="none" w:sz="0" w:space="0" w:color="auto"/>
          </w:divBdr>
        </w:div>
      </w:divsChild>
    </w:div>
    <w:div w:id="1875268330">
      <w:bodyDiv w:val="1"/>
      <w:marLeft w:val="0"/>
      <w:marRight w:val="0"/>
      <w:marTop w:val="0"/>
      <w:marBottom w:val="0"/>
      <w:divBdr>
        <w:top w:val="none" w:sz="0" w:space="0" w:color="auto"/>
        <w:left w:val="none" w:sz="0" w:space="0" w:color="auto"/>
        <w:bottom w:val="none" w:sz="0" w:space="0" w:color="auto"/>
        <w:right w:val="none" w:sz="0" w:space="0" w:color="auto"/>
      </w:divBdr>
    </w:div>
    <w:div w:id="1887327490">
      <w:bodyDiv w:val="1"/>
      <w:marLeft w:val="0"/>
      <w:marRight w:val="0"/>
      <w:marTop w:val="0"/>
      <w:marBottom w:val="0"/>
      <w:divBdr>
        <w:top w:val="none" w:sz="0" w:space="0" w:color="auto"/>
        <w:left w:val="none" w:sz="0" w:space="0" w:color="auto"/>
        <w:bottom w:val="none" w:sz="0" w:space="0" w:color="auto"/>
        <w:right w:val="none" w:sz="0" w:space="0" w:color="auto"/>
      </w:divBdr>
    </w:div>
    <w:div w:id="1935162352">
      <w:bodyDiv w:val="1"/>
      <w:marLeft w:val="0"/>
      <w:marRight w:val="0"/>
      <w:marTop w:val="0"/>
      <w:marBottom w:val="0"/>
      <w:divBdr>
        <w:top w:val="none" w:sz="0" w:space="0" w:color="auto"/>
        <w:left w:val="none" w:sz="0" w:space="0" w:color="auto"/>
        <w:bottom w:val="none" w:sz="0" w:space="0" w:color="auto"/>
        <w:right w:val="none" w:sz="0" w:space="0" w:color="auto"/>
      </w:divBdr>
    </w:div>
    <w:div w:id="1948736946">
      <w:bodyDiv w:val="1"/>
      <w:marLeft w:val="0"/>
      <w:marRight w:val="0"/>
      <w:marTop w:val="0"/>
      <w:marBottom w:val="0"/>
      <w:divBdr>
        <w:top w:val="none" w:sz="0" w:space="0" w:color="auto"/>
        <w:left w:val="none" w:sz="0" w:space="0" w:color="auto"/>
        <w:bottom w:val="none" w:sz="0" w:space="0" w:color="auto"/>
        <w:right w:val="none" w:sz="0" w:space="0" w:color="auto"/>
      </w:divBdr>
    </w:div>
    <w:div w:id="1996685381">
      <w:bodyDiv w:val="1"/>
      <w:marLeft w:val="0"/>
      <w:marRight w:val="0"/>
      <w:marTop w:val="0"/>
      <w:marBottom w:val="0"/>
      <w:divBdr>
        <w:top w:val="none" w:sz="0" w:space="0" w:color="auto"/>
        <w:left w:val="none" w:sz="0" w:space="0" w:color="auto"/>
        <w:bottom w:val="none" w:sz="0" w:space="0" w:color="auto"/>
        <w:right w:val="none" w:sz="0" w:space="0" w:color="auto"/>
      </w:divBdr>
    </w:div>
    <w:div w:id="2001805506">
      <w:bodyDiv w:val="1"/>
      <w:marLeft w:val="0"/>
      <w:marRight w:val="0"/>
      <w:marTop w:val="0"/>
      <w:marBottom w:val="0"/>
      <w:divBdr>
        <w:top w:val="none" w:sz="0" w:space="0" w:color="auto"/>
        <w:left w:val="none" w:sz="0" w:space="0" w:color="auto"/>
        <w:bottom w:val="none" w:sz="0" w:space="0" w:color="auto"/>
        <w:right w:val="none" w:sz="0" w:space="0" w:color="auto"/>
      </w:divBdr>
    </w:div>
    <w:div w:id="2011634907">
      <w:bodyDiv w:val="1"/>
      <w:marLeft w:val="0"/>
      <w:marRight w:val="0"/>
      <w:marTop w:val="0"/>
      <w:marBottom w:val="0"/>
      <w:divBdr>
        <w:top w:val="none" w:sz="0" w:space="0" w:color="auto"/>
        <w:left w:val="none" w:sz="0" w:space="0" w:color="auto"/>
        <w:bottom w:val="none" w:sz="0" w:space="0" w:color="auto"/>
        <w:right w:val="none" w:sz="0" w:space="0" w:color="auto"/>
      </w:divBdr>
    </w:div>
    <w:div w:id="2034722016">
      <w:bodyDiv w:val="1"/>
      <w:marLeft w:val="0"/>
      <w:marRight w:val="0"/>
      <w:marTop w:val="0"/>
      <w:marBottom w:val="0"/>
      <w:divBdr>
        <w:top w:val="none" w:sz="0" w:space="0" w:color="auto"/>
        <w:left w:val="none" w:sz="0" w:space="0" w:color="auto"/>
        <w:bottom w:val="none" w:sz="0" w:space="0" w:color="auto"/>
        <w:right w:val="none" w:sz="0" w:space="0" w:color="auto"/>
      </w:divBdr>
    </w:div>
    <w:div w:id="211971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zn.nl/dossier/langdurige-zorg/digitale-en-niet-digitale-innovati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3185</ap:Words>
  <ap:Characters>17519</ap:Characters>
  <ap:DocSecurity>0</ap:DocSecurity>
  <ap:Lines>145</ap:Lines>
  <ap:Paragraphs>41</ap:Paragraphs>
  <ap:ScaleCrop>false</ap:ScaleCrop>
  <ap:LinksUpToDate>false</ap:LinksUpToDate>
  <ap:CharactersWithSpaces>20663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2026-03-20T14:57:00.0000000Z</dcterms:created>
  <dcterms:modified xsi:type="dcterms:W3CDTF">2026-03-20T14:57:00.0000000Z</dcterms:modified>
  <dc:description>------------------------</dc:description>
  <dc:subject/>
  <keywords/>
  <version/>
  <category/>
</coreProperties>
</file>