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FAE" w:rsidP="007D6FAE" w:rsidRDefault="006C75C3" w14:paraId="4545D4E8" w14:textId="77777777">
      <w:pPr>
        <w:pStyle w:val="ArialBold"/>
        <w:rPr>
          <w:bCs/>
          <w:noProof w:val="0"/>
          <w:sz w:val="18"/>
          <w:szCs w:val="18"/>
        </w:rPr>
      </w:pPr>
      <w:r>
        <mc:AlternateContent>
          <mc:Choice Requires="wps">
            <w:drawing>
              <wp:anchor distT="0" distB="0" distL="114300" distR="114300" simplePos="0" relativeHeight="251658240" behindDoc="0" locked="0" layoutInCell="1" allowOverlap="1" wp14:editId="1BDB8D98" wp14:anchorId="252F1F96">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5471B9F8"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2F1F96">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5471B9F8" w14:textId="77777777"/>
                  </w:txbxContent>
                </v:textbox>
              </v:shape>
            </w:pict>
          </mc:Fallback>
        </mc:AlternateContent>
      </w:r>
      <w:r>
        <mc:AlternateContent>
          <mc:Choice Requires="wps">
            <w:drawing>
              <wp:anchor distT="0" distB="0" distL="114300" distR="114300" simplePos="0" relativeHeight="251660288" behindDoc="0" locked="0" layoutInCell="1" allowOverlap="1" wp14:editId="65A159D3" wp14:anchorId="50D3BA5D">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3425898E"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50D3BA5D">
                <v:textbox style="layout-flow:vertical;mso-layout-flow-alt:bottom-to-top">
                  <w:txbxContent>
                    <w:p w:rsidR="007D6FAE" w:rsidP="007D6FAE" w:rsidRDefault="007D6FAE" w14:paraId="3425898E" w14:textId="77777777"/>
                  </w:txbxContent>
                </v:textbox>
              </v:shape>
            </w:pict>
          </mc:Fallback>
        </mc:AlternateContent>
      </w:r>
      <w:r>
        <w:rPr>
          <w:bCs/>
          <w:sz w:val="18"/>
          <w:szCs w:val="18"/>
        </w:rPr>
        <w:t>TWEEDE KAMER DER STATEN-GENERAAL</w:t>
      </w:r>
    </w:p>
    <w:p w:rsidR="007D6FAE" w:rsidP="007D6FAE" w:rsidRDefault="007D6FAE" w14:paraId="2305AF03" w14:textId="77777777">
      <w:pPr>
        <w:rPr>
          <w:sz w:val="18"/>
          <w:szCs w:val="18"/>
        </w:rPr>
      </w:pPr>
    </w:p>
    <w:p w:rsidR="007D6FAE" w:rsidP="007D6FAE" w:rsidRDefault="006C75C3" w14:paraId="2C17BAB1" w14:textId="52581260">
      <w:pPr>
        <w:spacing w:line="260" w:lineRule="atLeast"/>
        <w:rPr>
          <w:sz w:val="18"/>
          <w:szCs w:val="18"/>
        </w:rPr>
      </w:pPr>
      <w:r>
        <w:rPr>
          <w:sz w:val="18"/>
          <w:szCs w:val="18"/>
        </w:rPr>
        <w:t>Vergaderjaar 20</w:t>
      </w:r>
      <w:r w:rsidR="00961EDD">
        <w:rPr>
          <w:sz w:val="18"/>
          <w:szCs w:val="18"/>
        </w:rPr>
        <w:t>25</w:t>
      </w:r>
      <w:r>
        <w:rPr>
          <w:sz w:val="18"/>
          <w:szCs w:val="18"/>
        </w:rPr>
        <w:t>/</w:t>
      </w:r>
      <w:r w:rsidR="00961EDD">
        <w:rPr>
          <w:sz w:val="18"/>
          <w:szCs w:val="18"/>
        </w:rPr>
        <w:t>26</w:t>
      </w:r>
    </w:p>
    <w:p w:rsidR="007D6FAE" w:rsidP="007D6FAE" w:rsidRDefault="007D6FAE" w14:paraId="2561DF69" w14:textId="77777777">
      <w:pPr>
        <w:spacing w:line="260" w:lineRule="atLeast"/>
        <w:rPr>
          <w:sz w:val="18"/>
          <w:szCs w:val="18"/>
        </w:rPr>
      </w:pPr>
    </w:p>
    <w:p w:rsidR="007D6FAE" w:rsidP="007D6FAE" w:rsidRDefault="007D6FAE" w14:paraId="36C48115" w14:textId="77777777">
      <w:pPr>
        <w:spacing w:line="260" w:lineRule="atLeast"/>
        <w:rPr>
          <w:sz w:val="18"/>
          <w:szCs w:val="18"/>
        </w:rPr>
      </w:pPr>
    </w:p>
    <w:p w:rsidR="007D6FAE" w:rsidP="007D6FAE" w:rsidRDefault="00961EDD" w14:paraId="2168C39D" w14:textId="127B936E">
      <w:pPr>
        <w:spacing w:line="260" w:lineRule="atLeast"/>
        <w:ind w:hanging="1134"/>
        <w:rPr>
          <w:sz w:val="18"/>
          <w:szCs w:val="18"/>
        </w:rPr>
      </w:pPr>
      <w:r>
        <w:rPr>
          <w:b/>
          <w:sz w:val="18"/>
          <w:szCs w:val="18"/>
        </w:rPr>
        <w:t xml:space="preserve">36 </w:t>
      </w:r>
      <w:r w:rsidR="009D1825">
        <w:rPr>
          <w:b/>
          <w:sz w:val="18"/>
          <w:szCs w:val="18"/>
        </w:rPr>
        <w:t>889</w:t>
      </w:r>
      <w:r w:rsidR="006C75C3">
        <w:rPr>
          <w:sz w:val="18"/>
          <w:szCs w:val="18"/>
        </w:rPr>
        <w:tab/>
      </w:r>
      <w:r w:rsidRPr="00A70CC3">
        <w:rPr>
          <w:b/>
          <w:sz w:val="18"/>
          <w:szCs w:val="18"/>
        </w:rPr>
        <w:t>Wijziging van de Archiefwet 1995 ter verruiming van de mogelijkheden om archiefbescheiden die in een archiefbewaarplaats berusten en die persoonsgegevens bevatten, ter raadpleging en gebruik beschikbaar te stellen</w:t>
      </w:r>
    </w:p>
    <w:p w:rsidR="007D6FAE" w:rsidP="007D6FAE" w:rsidRDefault="007D6FAE" w14:paraId="4B2527D7" w14:textId="77777777">
      <w:pPr>
        <w:spacing w:line="260" w:lineRule="atLeast"/>
        <w:ind w:hanging="1134"/>
        <w:rPr>
          <w:sz w:val="18"/>
          <w:szCs w:val="18"/>
        </w:rPr>
      </w:pPr>
    </w:p>
    <w:p w:rsidRPr="005F5645" w:rsidR="007D6FAE" w:rsidP="005F5645" w:rsidRDefault="006C75C3" w14:paraId="6B7639B8" w14:textId="617936F3">
      <w:pPr>
        <w:spacing w:line="260" w:lineRule="atLeast"/>
        <w:ind w:hanging="1134"/>
        <w:rPr>
          <w:b/>
          <w:color w:val="0D0D0D" w:themeColor="text1" w:themeTint="F2"/>
          <w:sz w:val="18"/>
          <w:szCs w:val="18"/>
        </w:rPr>
      </w:pPr>
      <w:r>
        <w:rPr>
          <w:b/>
          <w:sz w:val="18"/>
          <w:szCs w:val="18"/>
        </w:rPr>
        <w:t>Nr. xxx</w:t>
      </w:r>
      <w:r>
        <w:rPr>
          <w:b/>
          <w:sz w:val="18"/>
          <w:szCs w:val="18"/>
        </w:rPr>
        <w:tab/>
      </w:r>
      <w:r w:rsidRPr="005F5645" w:rsidR="005F5645">
        <w:rPr>
          <w:b/>
          <w:bCs/>
          <w:color w:val="0D0D0D" w:themeColor="text1" w:themeTint="F2"/>
          <w:sz w:val="18"/>
          <w:szCs w:val="18"/>
        </w:rPr>
        <w:t>NOTA VAN WIJZIGING</w:t>
      </w:r>
    </w:p>
    <w:p w:rsidR="007D6FAE" w:rsidP="007D6FAE" w:rsidRDefault="007D6FAE" w14:paraId="31914726" w14:textId="77777777">
      <w:pPr>
        <w:spacing w:line="260" w:lineRule="atLeast"/>
        <w:rPr>
          <w:sz w:val="18"/>
          <w:szCs w:val="18"/>
        </w:rPr>
      </w:pPr>
    </w:p>
    <w:p w:rsidR="007D6FAE" w:rsidP="007D6FAE" w:rsidRDefault="007D6FAE" w14:paraId="2D6347A9" w14:textId="77777777">
      <w:pPr>
        <w:spacing w:line="260" w:lineRule="atLeast"/>
        <w:rPr>
          <w:sz w:val="18"/>
          <w:szCs w:val="18"/>
        </w:rPr>
      </w:pPr>
    </w:p>
    <w:p w:rsidR="007D6FAE" w:rsidP="007D6FAE" w:rsidRDefault="006C75C3" w14:paraId="54C0E37A" w14:textId="77777777">
      <w:pPr>
        <w:pStyle w:val="Koptekst"/>
        <w:tabs>
          <w:tab w:val="left" w:pos="720"/>
        </w:tabs>
        <w:spacing w:line="260" w:lineRule="atLeast"/>
        <w:rPr>
          <w:sz w:val="18"/>
          <w:szCs w:val="18"/>
        </w:rPr>
      </w:pPr>
      <w:r>
        <w:rPr>
          <w:sz w:val="18"/>
          <w:szCs w:val="18"/>
        </w:rPr>
        <w:t>Ontvangen</w:t>
      </w:r>
    </w:p>
    <w:p w:rsidR="007D6FAE" w:rsidP="007D6FAE" w:rsidRDefault="007D6FAE" w14:paraId="06E3AB4C" w14:textId="77777777">
      <w:pPr>
        <w:spacing w:line="260" w:lineRule="atLeast"/>
        <w:rPr>
          <w:sz w:val="18"/>
          <w:szCs w:val="18"/>
        </w:rPr>
      </w:pPr>
    </w:p>
    <w:p w:rsidR="007D6FAE" w:rsidP="007D6FAE" w:rsidRDefault="006C75C3" w14:paraId="672F2C44" w14:textId="77777777">
      <w:pPr>
        <w:spacing w:line="260" w:lineRule="atLeast"/>
        <w:rPr>
          <w:sz w:val="18"/>
          <w:szCs w:val="18"/>
        </w:rPr>
      </w:pPr>
      <w:r>
        <w:rPr>
          <w:sz w:val="18"/>
          <w:szCs w:val="18"/>
        </w:rPr>
        <w:t>Het voorstel van wet wordt als volgt gewijzigd:</w:t>
      </w:r>
    </w:p>
    <w:p w:rsidR="007D6FAE" w:rsidP="007D6FAE" w:rsidRDefault="007D6FAE" w14:paraId="17C22C9C" w14:textId="77777777">
      <w:pPr>
        <w:spacing w:line="260" w:lineRule="atLeast"/>
        <w:rPr>
          <w:sz w:val="18"/>
          <w:szCs w:val="18"/>
        </w:rPr>
      </w:pPr>
    </w:p>
    <w:p w:rsidR="007D6FAE" w:rsidP="007D6FAE" w:rsidRDefault="006C75C3" w14:paraId="0F361279" w14:textId="77777777">
      <w:pPr>
        <w:spacing w:line="260" w:lineRule="atLeast"/>
        <w:rPr>
          <w:sz w:val="18"/>
          <w:szCs w:val="18"/>
        </w:rPr>
      </w:pPr>
      <w:r>
        <w:rPr>
          <w:sz w:val="18"/>
          <w:szCs w:val="18"/>
        </w:rPr>
        <w:t>A</w:t>
      </w:r>
    </w:p>
    <w:p w:rsidR="006B3230" w:rsidP="007D6FAE" w:rsidRDefault="006B3230" w14:paraId="7BDA3753" w14:textId="77777777">
      <w:pPr>
        <w:spacing w:line="260" w:lineRule="atLeast"/>
        <w:rPr>
          <w:sz w:val="18"/>
          <w:szCs w:val="18"/>
        </w:rPr>
      </w:pPr>
    </w:p>
    <w:p w:rsidR="00961EDD" w:rsidP="007D6FAE" w:rsidRDefault="00961EDD" w14:paraId="64455544" w14:textId="0EE58424">
      <w:pPr>
        <w:spacing w:line="260" w:lineRule="atLeast"/>
        <w:rPr>
          <w:sz w:val="18"/>
          <w:szCs w:val="18"/>
        </w:rPr>
      </w:pPr>
      <w:r w:rsidRPr="00961EDD">
        <w:rPr>
          <w:sz w:val="18"/>
          <w:szCs w:val="18"/>
        </w:rPr>
        <w:t>In artikel I, onderdeel B</w:t>
      </w:r>
      <w:r>
        <w:rPr>
          <w:sz w:val="18"/>
          <w:szCs w:val="18"/>
        </w:rPr>
        <w:t>, onder 3, wordt</w:t>
      </w:r>
      <w:r w:rsidR="001A3D9C">
        <w:rPr>
          <w:sz w:val="18"/>
          <w:szCs w:val="18"/>
        </w:rPr>
        <w:t xml:space="preserve"> in het voorgestelde tweede lid, onderdeel b,</w:t>
      </w:r>
      <w:r>
        <w:rPr>
          <w:sz w:val="18"/>
          <w:szCs w:val="18"/>
        </w:rPr>
        <w:t xml:space="preserve"> ‘artikel 17a, vierde lid’ vervangen door ‘artikel 17a, vijfde lid’.</w:t>
      </w:r>
    </w:p>
    <w:p w:rsidR="007A2E93" w:rsidRDefault="007A2E93" w14:paraId="2DE5A9B3" w14:textId="77777777">
      <w:pPr>
        <w:spacing w:line="240" w:lineRule="auto"/>
        <w:rPr>
          <w:bCs/>
          <w:sz w:val="18"/>
          <w:szCs w:val="18"/>
        </w:rPr>
      </w:pPr>
    </w:p>
    <w:p w:rsidRPr="006429FF" w:rsidR="007A2E93" w:rsidP="007A2E93" w:rsidRDefault="007A2E93" w14:paraId="5EAC1666" w14:textId="77777777">
      <w:pPr>
        <w:spacing w:line="240" w:lineRule="auto"/>
        <w:rPr>
          <w:bCs/>
          <w:sz w:val="18"/>
          <w:szCs w:val="18"/>
        </w:rPr>
      </w:pPr>
      <w:r w:rsidRPr="006429FF">
        <w:rPr>
          <w:bCs/>
          <w:sz w:val="18"/>
          <w:szCs w:val="18"/>
        </w:rPr>
        <w:t>B</w:t>
      </w:r>
    </w:p>
    <w:p w:rsidRPr="006429FF" w:rsidR="007A2E93" w:rsidP="007A2E93" w:rsidRDefault="007A2E93" w14:paraId="0AE43700" w14:textId="77777777">
      <w:pPr>
        <w:spacing w:line="240" w:lineRule="auto"/>
        <w:rPr>
          <w:bCs/>
          <w:sz w:val="18"/>
          <w:szCs w:val="18"/>
        </w:rPr>
      </w:pPr>
    </w:p>
    <w:p w:rsidR="007A2E93" w:rsidP="007A2E93" w:rsidRDefault="007A2E93" w14:paraId="701EBCB6" w14:textId="33245D52">
      <w:pPr>
        <w:spacing w:line="240" w:lineRule="auto"/>
        <w:rPr>
          <w:bCs/>
          <w:sz w:val="18"/>
          <w:szCs w:val="18"/>
        </w:rPr>
      </w:pPr>
      <w:r w:rsidRPr="00961EDD">
        <w:rPr>
          <w:bCs/>
          <w:sz w:val="18"/>
          <w:szCs w:val="18"/>
        </w:rPr>
        <w:t xml:space="preserve">In artikel I, onderdeel C, onder 1, </w:t>
      </w:r>
      <w:r>
        <w:rPr>
          <w:bCs/>
          <w:sz w:val="18"/>
          <w:szCs w:val="18"/>
        </w:rPr>
        <w:t>wordt in de aanhef van het voorgestelde tweede lid</w:t>
      </w:r>
      <w:r w:rsidR="00537B3C">
        <w:rPr>
          <w:bCs/>
          <w:sz w:val="18"/>
          <w:szCs w:val="18"/>
        </w:rPr>
        <w:t>, tweede volzin,</w:t>
      </w:r>
      <w:r w:rsidRPr="00961EDD">
        <w:rPr>
          <w:bCs/>
          <w:sz w:val="18"/>
          <w:szCs w:val="18"/>
        </w:rPr>
        <w:t xml:space="preserve"> na ‘</w:t>
      </w:r>
      <w:r>
        <w:rPr>
          <w:bCs/>
          <w:sz w:val="18"/>
          <w:szCs w:val="18"/>
        </w:rPr>
        <w:t>de openbaarheid van archiefbescheiden’ ingevoegd ‘waarvoor de Uitvoeringswet Algemene verordening gegevensbescherming ingevolge artikel 2, eerste lid, van die wet van toepassing is of zou zijn’.</w:t>
      </w:r>
    </w:p>
    <w:p w:rsidR="007A2E93" w:rsidP="007A2E93" w:rsidRDefault="007A2E93" w14:paraId="663A776B" w14:textId="77777777">
      <w:pPr>
        <w:spacing w:line="240" w:lineRule="auto"/>
        <w:rPr>
          <w:bCs/>
          <w:sz w:val="18"/>
          <w:szCs w:val="18"/>
        </w:rPr>
      </w:pPr>
    </w:p>
    <w:p w:rsidR="007A2E93" w:rsidP="007A2E93" w:rsidRDefault="007A2E93" w14:paraId="6C0433E3" w14:textId="77777777">
      <w:pPr>
        <w:spacing w:line="240" w:lineRule="auto"/>
        <w:rPr>
          <w:bCs/>
          <w:sz w:val="18"/>
          <w:szCs w:val="18"/>
        </w:rPr>
      </w:pPr>
      <w:r>
        <w:rPr>
          <w:bCs/>
          <w:sz w:val="18"/>
          <w:szCs w:val="18"/>
        </w:rPr>
        <w:t>C</w:t>
      </w:r>
    </w:p>
    <w:p w:rsidR="007A2E93" w:rsidP="007A2E93" w:rsidRDefault="007A2E93" w14:paraId="78477A81" w14:textId="77777777">
      <w:pPr>
        <w:spacing w:line="240" w:lineRule="auto"/>
        <w:rPr>
          <w:bCs/>
          <w:sz w:val="18"/>
          <w:szCs w:val="18"/>
        </w:rPr>
      </w:pPr>
    </w:p>
    <w:p w:rsidR="007A2E93" w:rsidP="007A2E93" w:rsidRDefault="007A2E93" w14:paraId="6933AE8E" w14:textId="77777777">
      <w:pPr>
        <w:spacing w:line="240" w:lineRule="auto"/>
        <w:rPr>
          <w:bCs/>
          <w:sz w:val="18"/>
          <w:szCs w:val="18"/>
        </w:rPr>
      </w:pPr>
      <w:r>
        <w:rPr>
          <w:bCs/>
          <w:sz w:val="18"/>
          <w:szCs w:val="18"/>
        </w:rPr>
        <w:t>In artikel II, onderdeel 1, onder a, wordt na het voorgestelde artikel I, onderdeel C, een onderdeel ingevoegd, dat luidt:</w:t>
      </w:r>
    </w:p>
    <w:p w:rsidR="007A2E93" w:rsidP="007A2E93" w:rsidRDefault="007A2E93" w14:paraId="7EBC7BFD" w14:textId="77777777">
      <w:pPr>
        <w:spacing w:line="240" w:lineRule="auto"/>
        <w:rPr>
          <w:bCs/>
          <w:sz w:val="18"/>
          <w:szCs w:val="18"/>
        </w:rPr>
      </w:pPr>
    </w:p>
    <w:p w:rsidR="007A2E93" w:rsidP="007A2E93" w:rsidRDefault="007A2E93" w14:paraId="1FED8329" w14:textId="77777777">
      <w:pPr>
        <w:spacing w:line="240" w:lineRule="auto"/>
        <w:rPr>
          <w:bCs/>
          <w:sz w:val="18"/>
          <w:szCs w:val="18"/>
        </w:rPr>
      </w:pPr>
      <w:r>
        <w:rPr>
          <w:bCs/>
          <w:sz w:val="18"/>
          <w:szCs w:val="18"/>
        </w:rPr>
        <w:t>Ca</w:t>
      </w:r>
    </w:p>
    <w:p w:rsidR="007A2E93" w:rsidP="007A2E93" w:rsidRDefault="007A2E93" w14:paraId="75CD853F" w14:textId="77777777">
      <w:pPr>
        <w:spacing w:line="240" w:lineRule="auto"/>
        <w:rPr>
          <w:bCs/>
          <w:sz w:val="18"/>
          <w:szCs w:val="18"/>
        </w:rPr>
      </w:pPr>
    </w:p>
    <w:p w:rsidR="007A2E93" w:rsidP="007A2E93" w:rsidRDefault="007A2E93" w14:paraId="687DBB6B" w14:textId="77777777">
      <w:pPr>
        <w:spacing w:line="240" w:lineRule="auto"/>
        <w:rPr>
          <w:bCs/>
          <w:sz w:val="18"/>
          <w:szCs w:val="18"/>
        </w:rPr>
      </w:pPr>
      <w:r>
        <w:rPr>
          <w:bCs/>
          <w:sz w:val="18"/>
          <w:szCs w:val="18"/>
        </w:rPr>
        <w:t xml:space="preserve">Artikel 7.2, eerste lid, wordt als volgt gewijzigd: </w:t>
      </w:r>
    </w:p>
    <w:p w:rsidR="007A2E93" w:rsidP="007A2E93" w:rsidRDefault="007A2E93" w14:paraId="3A8BE9B0" w14:textId="77777777">
      <w:pPr>
        <w:spacing w:line="240" w:lineRule="auto"/>
        <w:rPr>
          <w:bCs/>
          <w:sz w:val="18"/>
          <w:szCs w:val="18"/>
        </w:rPr>
      </w:pPr>
      <w:r>
        <w:rPr>
          <w:bCs/>
          <w:sz w:val="18"/>
          <w:szCs w:val="18"/>
        </w:rPr>
        <w:t xml:space="preserve">1. In onderdeel d wordt na ‘paragraaf 3.2 van de Uitvoeringswet Algemene verordening gegevensbescherming’ ingevoegd ‘waarvoor die wet ingevolge artikel 2, eerste lid, van die wet van toepassing is of zou zijn’. </w:t>
      </w:r>
    </w:p>
    <w:p w:rsidR="007A2E93" w:rsidP="007A2E93" w:rsidRDefault="007A2E93" w14:paraId="2490DB68" w14:textId="77777777">
      <w:pPr>
        <w:spacing w:line="240" w:lineRule="auto"/>
        <w:rPr>
          <w:bCs/>
          <w:sz w:val="18"/>
          <w:szCs w:val="18"/>
        </w:rPr>
      </w:pPr>
      <w:r>
        <w:rPr>
          <w:bCs/>
          <w:sz w:val="18"/>
          <w:szCs w:val="18"/>
        </w:rPr>
        <w:t>2. In onderdeel e wordt na ‘artikel 46 van de Uitvoeringswet Algemene verordening gegevensbescherming’ ingevoegd ‘waarvoor die wet ingevolge artikel 2, eerste lid, van die wet van toepassing is of zou zijn’.</w:t>
      </w:r>
    </w:p>
    <w:p w:rsidR="007A2E93" w:rsidP="007A2E93" w:rsidRDefault="007A2E93" w14:paraId="643DEFC8" w14:textId="77777777">
      <w:pPr>
        <w:spacing w:line="240" w:lineRule="auto"/>
        <w:rPr>
          <w:bCs/>
          <w:sz w:val="18"/>
          <w:szCs w:val="18"/>
        </w:rPr>
      </w:pPr>
    </w:p>
    <w:p w:rsidR="007A2E93" w:rsidP="007A2E93" w:rsidRDefault="007A2E93" w14:paraId="3724C50A" w14:textId="77777777">
      <w:pPr>
        <w:spacing w:line="240" w:lineRule="auto"/>
        <w:rPr>
          <w:bCs/>
          <w:sz w:val="18"/>
          <w:szCs w:val="18"/>
        </w:rPr>
      </w:pPr>
      <w:r>
        <w:rPr>
          <w:bCs/>
          <w:sz w:val="18"/>
          <w:szCs w:val="18"/>
        </w:rPr>
        <w:t>D</w:t>
      </w:r>
    </w:p>
    <w:p w:rsidR="007A2E93" w:rsidP="007A2E93" w:rsidRDefault="007A2E93" w14:paraId="18A7F45D" w14:textId="77777777">
      <w:pPr>
        <w:spacing w:line="240" w:lineRule="auto"/>
        <w:rPr>
          <w:bCs/>
          <w:sz w:val="18"/>
          <w:szCs w:val="18"/>
        </w:rPr>
      </w:pPr>
    </w:p>
    <w:p w:rsidR="007A2E93" w:rsidP="007A2E93" w:rsidRDefault="007A2E93" w14:paraId="7E56648E" w14:textId="77777777">
      <w:pPr>
        <w:spacing w:line="240" w:lineRule="auto"/>
        <w:rPr>
          <w:bCs/>
          <w:sz w:val="18"/>
          <w:szCs w:val="18"/>
        </w:rPr>
      </w:pPr>
      <w:r>
        <w:rPr>
          <w:bCs/>
          <w:sz w:val="18"/>
          <w:szCs w:val="18"/>
        </w:rPr>
        <w:t>In artikel II, onderdeel 1, onder b, wordt na het voorgestelde onderdeel C een onderdeel ingevoegd, dat luidt:</w:t>
      </w:r>
    </w:p>
    <w:p w:rsidR="007A2E93" w:rsidP="007A2E93" w:rsidRDefault="007A2E93" w14:paraId="535C9472" w14:textId="77777777">
      <w:pPr>
        <w:spacing w:line="240" w:lineRule="auto"/>
        <w:rPr>
          <w:bCs/>
          <w:sz w:val="18"/>
          <w:szCs w:val="18"/>
        </w:rPr>
      </w:pPr>
    </w:p>
    <w:p w:rsidR="007A2E93" w:rsidP="007A2E93" w:rsidRDefault="007A2E93" w14:paraId="21B7B2CE" w14:textId="77777777">
      <w:pPr>
        <w:spacing w:line="240" w:lineRule="auto"/>
        <w:rPr>
          <w:bCs/>
          <w:sz w:val="18"/>
          <w:szCs w:val="18"/>
        </w:rPr>
      </w:pPr>
      <w:r>
        <w:rPr>
          <w:bCs/>
          <w:sz w:val="18"/>
          <w:szCs w:val="18"/>
        </w:rPr>
        <w:t>Ca</w:t>
      </w:r>
    </w:p>
    <w:p w:rsidR="007A2E93" w:rsidP="007A2E93" w:rsidRDefault="007A2E93" w14:paraId="1F535710" w14:textId="77777777">
      <w:pPr>
        <w:spacing w:line="240" w:lineRule="auto"/>
        <w:rPr>
          <w:bCs/>
          <w:sz w:val="18"/>
          <w:szCs w:val="18"/>
        </w:rPr>
      </w:pPr>
    </w:p>
    <w:p w:rsidR="007A2E93" w:rsidP="007A2E93" w:rsidRDefault="007A2E93" w14:paraId="5B3FCC90" w14:textId="77777777">
      <w:pPr>
        <w:spacing w:line="240" w:lineRule="auto"/>
        <w:rPr>
          <w:bCs/>
          <w:sz w:val="18"/>
          <w:szCs w:val="18"/>
        </w:rPr>
      </w:pPr>
      <w:r>
        <w:rPr>
          <w:bCs/>
          <w:sz w:val="18"/>
          <w:szCs w:val="18"/>
        </w:rPr>
        <w:t xml:space="preserve">Artikel 7.2, eerste lid, wordt als volgt gewijzigd: </w:t>
      </w:r>
    </w:p>
    <w:p w:rsidR="007A2E93" w:rsidP="007A2E93" w:rsidRDefault="007A2E93" w14:paraId="3997A2A7" w14:textId="77777777">
      <w:pPr>
        <w:spacing w:line="240" w:lineRule="auto"/>
        <w:rPr>
          <w:bCs/>
          <w:sz w:val="18"/>
          <w:szCs w:val="18"/>
        </w:rPr>
      </w:pPr>
      <w:r>
        <w:rPr>
          <w:bCs/>
          <w:sz w:val="18"/>
          <w:szCs w:val="18"/>
        </w:rPr>
        <w:t xml:space="preserve">1. In onderdeel d wordt na ‘paragraaf 3.2 van de Uitvoeringswet Algemene verordening gegevensbescherming’ ingevoegd ‘waarvoor die wet ingevolge artikel 2, eerste lid, van die wet van toepassing is of zou zijn’. </w:t>
      </w:r>
    </w:p>
    <w:p w:rsidR="007A2E93" w:rsidP="007A2E93" w:rsidRDefault="007A2E93" w14:paraId="0947C18E" w14:textId="77777777">
      <w:pPr>
        <w:spacing w:line="240" w:lineRule="auto"/>
        <w:rPr>
          <w:bCs/>
          <w:sz w:val="18"/>
          <w:szCs w:val="18"/>
        </w:rPr>
      </w:pPr>
      <w:r>
        <w:rPr>
          <w:bCs/>
          <w:sz w:val="18"/>
          <w:szCs w:val="18"/>
        </w:rPr>
        <w:t>2. In onderdeel e wordt na ‘artikel 46 van de Uitvoeringswet Algemene verordening gegevensbescherming’ ingevoegd ‘waarvoor die wet ingevolge artikel 2, eerste lid, van die wet van toepassing is of zou zijn’.</w:t>
      </w:r>
    </w:p>
    <w:p w:rsidR="00A215D1" w:rsidRDefault="00A215D1" w14:paraId="0C714899" w14:textId="0190DFC8">
      <w:pPr>
        <w:spacing w:line="240" w:lineRule="auto"/>
        <w:rPr>
          <w:b/>
          <w:bCs/>
          <w:sz w:val="18"/>
          <w:szCs w:val="18"/>
        </w:rPr>
      </w:pPr>
      <w:r>
        <w:rPr>
          <w:bCs/>
          <w:sz w:val="18"/>
          <w:szCs w:val="18"/>
        </w:rPr>
        <w:br w:type="page"/>
      </w:r>
    </w:p>
    <w:p w:rsidR="007A2E93" w:rsidP="007A2E93" w:rsidRDefault="007A2E93" w14:paraId="10C3908A" w14:textId="77777777">
      <w:pPr>
        <w:pStyle w:val="ArialBold"/>
        <w:spacing w:line="260" w:lineRule="atLeast"/>
        <w:rPr>
          <w:bCs/>
          <w:sz w:val="18"/>
          <w:szCs w:val="18"/>
        </w:rPr>
      </w:pPr>
      <w:r>
        <w:rPr>
          <w:bCs/>
          <w:sz w:val="18"/>
          <w:szCs w:val="18"/>
        </w:rPr>
        <w:lastRenderedPageBreak/>
        <w:t>Toelichting</w:t>
      </w:r>
    </w:p>
    <w:p w:rsidR="007A2E93" w:rsidP="007A2E93" w:rsidRDefault="007A2E93" w14:paraId="33B1F786" w14:textId="77777777">
      <w:pPr>
        <w:pStyle w:val="Koptekst"/>
        <w:tabs>
          <w:tab w:val="left" w:pos="720"/>
        </w:tabs>
        <w:spacing w:line="260" w:lineRule="atLeast"/>
        <w:rPr>
          <w:sz w:val="18"/>
          <w:szCs w:val="18"/>
        </w:rPr>
      </w:pPr>
    </w:p>
    <w:p w:rsidR="007A2E93" w:rsidP="007A2E93" w:rsidRDefault="007A2E93" w14:paraId="398CB9ED" w14:textId="30D698D5">
      <w:pPr>
        <w:pStyle w:val="Koptekst"/>
        <w:tabs>
          <w:tab w:val="left" w:pos="720"/>
        </w:tabs>
        <w:spacing w:line="260" w:lineRule="atLeast"/>
        <w:rPr>
          <w:sz w:val="18"/>
          <w:szCs w:val="18"/>
        </w:rPr>
      </w:pPr>
      <w:r>
        <w:rPr>
          <w:sz w:val="18"/>
          <w:szCs w:val="18"/>
        </w:rPr>
        <w:t>Deze nota van wijziging brengt een tweetal technische verbeteringen aan in het wetsvoorstel. Beide wijzigingen worden hieronder afzonderlijk toegelicht.</w:t>
      </w:r>
    </w:p>
    <w:p w:rsidR="007A2E93" w:rsidP="007A2E93" w:rsidRDefault="007A2E93" w14:paraId="66C590FD" w14:textId="77777777">
      <w:pPr>
        <w:pStyle w:val="Koptekst"/>
        <w:tabs>
          <w:tab w:val="left" w:pos="720"/>
        </w:tabs>
        <w:spacing w:line="260" w:lineRule="atLeast"/>
        <w:rPr>
          <w:sz w:val="18"/>
          <w:szCs w:val="18"/>
        </w:rPr>
      </w:pPr>
    </w:p>
    <w:p w:rsidR="007A2E93" w:rsidP="007A2E93" w:rsidRDefault="007A2E93" w14:paraId="44581639" w14:textId="77777777">
      <w:pPr>
        <w:pStyle w:val="Koptekst"/>
        <w:tabs>
          <w:tab w:val="left" w:pos="720"/>
        </w:tabs>
        <w:spacing w:line="260" w:lineRule="atLeast"/>
        <w:rPr>
          <w:sz w:val="18"/>
          <w:szCs w:val="18"/>
        </w:rPr>
      </w:pPr>
      <w:r>
        <w:rPr>
          <w:i/>
          <w:iCs/>
          <w:sz w:val="18"/>
          <w:szCs w:val="18"/>
        </w:rPr>
        <w:t>Onderdeel A</w:t>
      </w:r>
    </w:p>
    <w:p w:rsidR="007A2E93" w:rsidP="007A2E93" w:rsidRDefault="007A2E93" w14:paraId="02595A28" w14:textId="58EBDE05">
      <w:pPr>
        <w:pStyle w:val="Koptekst"/>
        <w:tabs>
          <w:tab w:val="left" w:pos="720"/>
        </w:tabs>
        <w:spacing w:line="260" w:lineRule="atLeast"/>
        <w:rPr>
          <w:sz w:val="18"/>
          <w:szCs w:val="18"/>
        </w:rPr>
      </w:pPr>
      <w:r>
        <w:rPr>
          <w:sz w:val="18"/>
          <w:szCs w:val="18"/>
        </w:rPr>
        <w:t xml:space="preserve">In het verslag van de vaste kamercommissie voor Onderwijs Cultuur en Wetenschap over het wetsvoorstel wezen de leden van de CDA-fractie op een foutieve verwijzing in het wetsvoorstel. In het voorgestelde artikel 2a, tweede lid, onderdeel b, werd abusievelijk verwezen naar artikel 17a, vierde lid, terwijl dit artikel 17a, vijfde lid, had moeten zijn. Met deze wijziging wordt dit hersteld. </w:t>
      </w:r>
    </w:p>
    <w:p w:rsidR="007A2E93" w:rsidP="007A2E93" w:rsidRDefault="007A2E93" w14:paraId="38E47504" w14:textId="77777777">
      <w:pPr>
        <w:pStyle w:val="Koptekst"/>
        <w:tabs>
          <w:tab w:val="left" w:pos="720"/>
        </w:tabs>
        <w:spacing w:line="260" w:lineRule="atLeast"/>
        <w:rPr>
          <w:sz w:val="18"/>
          <w:szCs w:val="18"/>
        </w:rPr>
      </w:pPr>
    </w:p>
    <w:p w:rsidR="007A2E93" w:rsidP="007A2E93" w:rsidRDefault="007A2E93" w14:paraId="2F69F50C" w14:textId="77777777">
      <w:pPr>
        <w:pStyle w:val="Koptekst"/>
        <w:tabs>
          <w:tab w:val="left" w:pos="720"/>
        </w:tabs>
        <w:spacing w:line="260" w:lineRule="atLeast"/>
        <w:rPr>
          <w:i/>
          <w:iCs/>
          <w:sz w:val="18"/>
          <w:szCs w:val="18"/>
        </w:rPr>
      </w:pPr>
      <w:r>
        <w:rPr>
          <w:i/>
          <w:iCs/>
          <w:sz w:val="18"/>
          <w:szCs w:val="18"/>
        </w:rPr>
        <w:t>Onderdelen B, C en D</w:t>
      </w:r>
    </w:p>
    <w:p w:rsidR="007A2E93" w:rsidP="007A2E93" w:rsidRDefault="007A2E93" w14:paraId="0EEA88A2" w14:textId="77777777">
      <w:pPr>
        <w:pStyle w:val="Koptekst"/>
        <w:tabs>
          <w:tab w:val="left" w:pos="720"/>
        </w:tabs>
        <w:spacing w:line="260" w:lineRule="atLeast"/>
        <w:rPr>
          <w:sz w:val="18"/>
          <w:szCs w:val="18"/>
        </w:rPr>
      </w:pPr>
      <w:r>
        <w:rPr>
          <w:sz w:val="18"/>
          <w:szCs w:val="18"/>
        </w:rPr>
        <w:t>De onderdelen B, C en D bevatten een aanscherping van het wetsvoorstel met betrekking tot de toepassingssfeer van de Algemene verordening gegevensbescherming (hierna: AVG). Op grond van artikel 2, eerste lid, van deze verordening, is de verordening van toepassing op “</w:t>
      </w:r>
      <w:r w:rsidRPr="00535351">
        <w:rPr>
          <w:i/>
          <w:iCs/>
          <w:sz w:val="18"/>
          <w:szCs w:val="18"/>
        </w:rPr>
        <w:t>geheel of gedeeltelijk geautomatiseerde verwerking, alsmede op de verwerking van persoonsgegevens die in een bestand zijn opgenomen of die bestemd zijn om daarin te worden opgenomen</w:t>
      </w:r>
      <w:r>
        <w:rPr>
          <w:sz w:val="18"/>
          <w:szCs w:val="18"/>
        </w:rPr>
        <w:t>”. Dit brengt mee dat de AVG niet van toepassing is op “</w:t>
      </w:r>
      <w:r w:rsidRPr="006A3817">
        <w:rPr>
          <w:i/>
          <w:iCs/>
          <w:sz w:val="18"/>
          <w:szCs w:val="18"/>
        </w:rPr>
        <w:t>papieren archieven die niet op het niveau van persoonsgegevens zijn ontsloten en voor namen en andere gewone persoonsgegevens die incidenteel voorkomen in documenten en hierop niet eenvoudig digitaal kunnen worden doorzocht en ontsloten</w:t>
      </w:r>
      <w:r>
        <w:rPr>
          <w:sz w:val="18"/>
          <w:szCs w:val="18"/>
        </w:rPr>
        <w:t>”.</w:t>
      </w:r>
      <w:r>
        <w:rPr>
          <w:rStyle w:val="Voetnootmarkering"/>
          <w:sz w:val="18"/>
          <w:szCs w:val="18"/>
        </w:rPr>
        <w:footnoteReference w:id="1"/>
      </w:r>
      <w:r>
        <w:rPr>
          <w:sz w:val="18"/>
          <w:szCs w:val="18"/>
        </w:rPr>
        <w:t xml:space="preserve"> </w:t>
      </w:r>
    </w:p>
    <w:p w:rsidR="007A2E93" w:rsidP="007A2E93" w:rsidRDefault="007A2E93" w14:paraId="568855F7" w14:textId="77777777">
      <w:pPr>
        <w:pStyle w:val="Koptekst"/>
        <w:tabs>
          <w:tab w:val="left" w:pos="720"/>
        </w:tabs>
        <w:spacing w:line="260" w:lineRule="atLeast"/>
        <w:rPr>
          <w:sz w:val="18"/>
          <w:szCs w:val="18"/>
        </w:rPr>
      </w:pPr>
    </w:p>
    <w:p w:rsidR="007A2E93" w:rsidP="007A2E93" w:rsidRDefault="007A2E93" w14:paraId="4756B787" w14:textId="77777777">
      <w:pPr>
        <w:pStyle w:val="Koptekst"/>
        <w:tabs>
          <w:tab w:val="left" w:pos="720"/>
        </w:tabs>
        <w:spacing w:line="260" w:lineRule="atLeast"/>
        <w:rPr>
          <w:sz w:val="18"/>
          <w:szCs w:val="18"/>
        </w:rPr>
      </w:pPr>
      <w:r>
        <w:rPr>
          <w:sz w:val="18"/>
          <w:szCs w:val="18"/>
        </w:rPr>
        <w:t xml:space="preserve">In het wetsvoorstel zoals dat bij de Tweede Kamer aanhangig is gemaakt, was de verplichting om na overbrenging alsnog een beperking te stellen, opgenomen in het voorgestelde artikel 15, tweede lid, per abuis te strikt geformuleerd. Op basis van die bepaling zou de zorgdrager er namelijk toe verplicht zijn om na overbrenging altijd  alsnog een beperking te stellen als archiefbescheiden bijzondere of strafrechtelijke persoonsgegevens of BSN-nummers bevatten, ook als die persoonsgegevens zijn opgenomen in papieren archieven die niet onder de reikwijdte van de AVG vallen. Met onderdeel B is dit hersteld. Deze aanpassing heeft geen consequenties voor de mogelijkheden voor het online toegankelijk maken van archieven, en de drempels die daarbij gelden worden niet verlaagd. Voor het online toegankelijk maken van archieven is immers randvoorwaardelijk dat de archieven worden gedigitaliseerd, hetgeen ertoe leidt dat voor de AVG sprake is van een ‘geautomatiseerde verwerking’. De AVG is dan op deze archieven van toepassing, ongeacht de precieze ordening van het archief. </w:t>
      </w:r>
    </w:p>
    <w:p w:rsidR="007A2E93" w:rsidP="007A2E93" w:rsidRDefault="007A2E93" w14:paraId="64CB84DE" w14:textId="77777777">
      <w:pPr>
        <w:pStyle w:val="Koptekst"/>
        <w:tabs>
          <w:tab w:val="left" w:pos="720"/>
        </w:tabs>
        <w:spacing w:line="260" w:lineRule="atLeast"/>
        <w:rPr>
          <w:sz w:val="18"/>
          <w:szCs w:val="18"/>
        </w:rPr>
      </w:pPr>
    </w:p>
    <w:p w:rsidR="007A2E93" w:rsidP="007A2E93" w:rsidRDefault="007A2E93" w14:paraId="1C674628" w14:textId="30331E35">
      <w:pPr>
        <w:pStyle w:val="Koptekst"/>
        <w:tabs>
          <w:tab w:val="left" w:pos="720"/>
        </w:tabs>
        <w:spacing w:line="260" w:lineRule="atLeast"/>
        <w:rPr>
          <w:sz w:val="18"/>
          <w:szCs w:val="18"/>
        </w:rPr>
      </w:pPr>
      <w:r>
        <w:rPr>
          <w:sz w:val="18"/>
          <w:szCs w:val="18"/>
        </w:rPr>
        <w:t xml:space="preserve">De onderdelen C en D voorzien in een soortgelijke aanpassing van de Archiefwet 20... </w:t>
      </w:r>
      <w:r>
        <w:rPr>
          <w:sz w:val="18"/>
          <w:szCs w:val="18"/>
        </w:rPr>
        <w:br/>
        <w:t xml:space="preserve">Om aan te sluiten bij de systematiek van deze wet en het onderscheid tussen absolute en relatieve beperkingsgronden, is voorzien in een wijziging van artikel 7.2, eerste lid, van de Archiefwet 20... Deze wijziging brengt mee dat het </w:t>
      </w:r>
      <w:r w:rsidR="00FC6903">
        <w:rPr>
          <w:sz w:val="18"/>
          <w:szCs w:val="18"/>
        </w:rPr>
        <w:t>voor het verantwoordelijke overheidsorgaan</w:t>
      </w:r>
      <w:r>
        <w:rPr>
          <w:sz w:val="18"/>
          <w:szCs w:val="18"/>
        </w:rPr>
        <w:t xml:space="preserve"> niet langer verplicht is om bij overbrenging een openbaarheidsbeperking te stellen voor documenten die </w:t>
      </w:r>
      <w:r w:rsidR="0055599E">
        <w:rPr>
          <w:sz w:val="18"/>
          <w:szCs w:val="18"/>
        </w:rPr>
        <w:t xml:space="preserve">bijzondere of strafrechtelijke persoonsgegevens of BSN-nummers bevatten, maar die </w:t>
      </w:r>
      <w:r>
        <w:rPr>
          <w:sz w:val="18"/>
          <w:szCs w:val="18"/>
        </w:rPr>
        <w:t xml:space="preserve">niet geautomatiseerd worden verwerkt in de zin van de AVG en die niet als bestand in de zin van de AVG kunnen worden aangemerkt (bijvoorbeeld omdat daarin slechts incidenteel bijzondere of strafrechtelijke persoonsgegevens of BSN-nummers voorkomen). </w:t>
      </w:r>
    </w:p>
    <w:p w:rsidR="007A2E93" w:rsidRDefault="007A2E93" w14:paraId="7CC5A15F" w14:textId="77777777">
      <w:pPr>
        <w:spacing w:line="240" w:lineRule="auto"/>
        <w:rPr>
          <w:sz w:val="18"/>
          <w:szCs w:val="18"/>
        </w:rPr>
      </w:pPr>
      <w:r>
        <w:rPr>
          <w:sz w:val="18"/>
          <w:szCs w:val="18"/>
        </w:rPr>
        <w:br w:type="page"/>
      </w:r>
    </w:p>
    <w:p w:rsidR="007A2E93" w:rsidP="007A2E93" w:rsidRDefault="007A2E93" w14:paraId="6EB515C8" w14:textId="341A9D76">
      <w:pPr>
        <w:pStyle w:val="Koptekst"/>
        <w:tabs>
          <w:tab w:val="left" w:pos="720"/>
        </w:tabs>
        <w:spacing w:line="260" w:lineRule="atLeast"/>
        <w:rPr>
          <w:sz w:val="18"/>
          <w:szCs w:val="18"/>
        </w:rPr>
      </w:pPr>
      <w:r>
        <w:rPr>
          <w:sz w:val="18"/>
          <w:szCs w:val="18"/>
        </w:rPr>
        <w:lastRenderedPageBreak/>
        <w:t>Dit laat echter onverlet dat het verantwoordelijk overheidsorgaan wel zal moeten bezien of het – gelet op het belang van de bescherming van de persoonlijke levenssfeer</w:t>
      </w:r>
      <w:r w:rsidR="00FC6903">
        <w:rPr>
          <w:sz w:val="18"/>
          <w:szCs w:val="18"/>
        </w:rPr>
        <w:t xml:space="preserve"> </w:t>
      </w:r>
      <w:r>
        <w:rPr>
          <w:sz w:val="18"/>
          <w:szCs w:val="18"/>
        </w:rPr>
        <w:t>– toelaatbaar is om de desbetreffende documenten als openbaar naar de archiefdienst over te brengen.</w:t>
      </w:r>
      <w:r>
        <w:rPr>
          <w:rStyle w:val="Voetnootmarkering"/>
          <w:sz w:val="18"/>
          <w:szCs w:val="18"/>
        </w:rPr>
        <w:footnoteReference w:id="2"/>
      </w:r>
      <w:r>
        <w:rPr>
          <w:sz w:val="18"/>
          <w:szCs w:val="18"/>
        </w:rPr>
        <w:t xml:space="preserve">  </w:t>
      </w:r>
    </w:p>
    <w:p w:rsidRPr="003719E3" w:rsidR="007A2E93" w:rsidP="007A2E93" w:rsidRDefault="007A2E93" w14:paraId="34119165" w14:textId="77777777">
      <w:pPr>
        <w:pStyle w:val="Koptekst"/>
        <w:tabs>
          <w:tab w:val="left" w:pos="720"/>
        </w:tabs>
        <w:spacing w:line="260" w:lineRule="atLeast"/>
        <w:rPr>
          <w:noProof w:val="0"/>
          <w:sz w:val="18"/>
          <w:szCs w:val="18"/>
        </w:rPr>
      </w:pPr>
    </w:p>
    <w:p w:rsidRPr="007D6FAE" w:rsidR="007A2E93" w:rsidP="007A2E93" w:rsidRDefault="007A2E93" w14:paraId="21038D5C" w14:textId="77777777">
      <w:pPr>
        <w:pStyle w:val="ArialBold"/>
        <w:rPr>
          <w:b w:val="0"/>
          <w:bCs/>
          <w:noProof w:val="0"/>
          <w:sz w:val="18"/>
          <w:szCs w:val="18"/>
        </w:rPr>
      </w:pPr>
      <w:r w:rsidRPr="00491AC0">
        <w:rPr>
          <w:b w:val="0"/>
          <w:bCs/>
          <w:noProof w:val="0"/>
          <w:sz w:val="18"/>
          <w:szCs w:val="18"/>
        </w:rPr>
        <w:t>De Minister van Onderwijs, Cultuur en Wetenschap,</w:t>
      </w:r>
    </w:p>
    <w:p w:rsidR="007A2E93" w:rsidP="007A2E93" w:rsidRDefault="007A2E93" w14:paraId="22EA89C5" w14:textId="77777777"/>
    <w:p w:rsidR="007A2E93" w:rsidP="007A2E93" w:rsidRDefault="007A2E93" w14:paraId="79E1371F" w14:textId="77777777"/>
    <w:p w:rsidR="007A2E93" w:rsidP="007A2E93" w:rsidRDefault="007A2E93" w14:paraId="1012DFF1" w14:textId="77777777"/>
    <w:p w:rsidRPr="00491AC0" w:rsidR="007A2E93" w:rsidP="007A2E93" w:rsidRDefault="007A2E93" w14:paraId="2BD064DC" w14:textId="77777777"/>
    <w:p w:rsidRPr="008919F5" w:rsidR="000F521E" w:rsidP="007A2E93" w:rsidRDefault="007A2E93" w14:paraId="1FDCAA01" w14:textId="12E8450C">
      <w:pPr>
        <w:rPr>
          <w:sz w:val="18"/>
          <w:szCs w:val="22"/>
        </w:rPr>
      </w:pPr>
      <w:r w:rsidRPr="008919F5">
        <w:rPr>
          <w:sz w:val="18"/>
          <w:szCs w:val="22"/>
        </w:rPr>
        <w:t>Rianne Letschert</w:t>
      </w:r>
    </w:p>
    <w:sectPr w:rsidRPr="008919F5" w:rsidR="000F521E" w:rsidSect="009D1825">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C2F1" w14:textId="77777777" w:rsidR="006C67D2" w:rsidRDefault="006C67D2">
      <w:pPr>
        <w:spacing w:line="240" w:lineRule="auto"/>
      </w:pPr>
      <w:r>
        <w:separator/>
      </w:r>
    </w:p>
  </w:endnote>
  <w:endnote w:type="continuationSeparator" w:id="0">
    <w:p w14:paraId="2BBCBCC6" w14:textId="77777777" w:rsidR="006C67D2" w:rsidRDefault="006C6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3746" w14:textId="77777777" w:rsidR="001E61E4" w:rsidRPr="00603C68" w:rsidRDefault="006C75C3">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7BD145AD" w14:textId="77777777" w:rsidR="001E61E4" w:rsidRDefault="006C75C3">
    <w:pPr>
      <w:framePr w:hSpace="142" w:wrap="around" w:vAnchor="page" w:hAnchor="page" w:x="449" w:y="15174" w:anchorLock="1"/>
      <w:textDirection w:val="btLr"/>
      <w:rPr>
        <w:sz w:val="14"/>
      </w:rPr>
    </w:pPr>
    <w:r>
      <w:rPr>
        <w:sz w:val="12"/>
      </w:rPr>
      <w:t>OCW 10928</w:t>
    </w:r>
  </w:p>
  <w:p w14:paraId="266B0878"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AAD2" w14:textId="77777777" w:rsidR="006C67D2" w:rsidRDefault="006C67D2">
      <w:pPr>
        <w:spacing w:line="240" w:lineRule="auto"/>
      </w:pPr>
      <w:r>
        <w:separator/>
      </w:r>
    </w:p>
  </w:footnote>
  <w:footnote w:type="continuationSeparator" w:id="0">
    <w:p w14:paraId="3A181F75" w14:textId="77777777" w:rsidR="006C67D2" w:rsidRDefault="006C67D2">
      <w:pPr>
        <w:spacing w:line="240" w:lineRule="auto"/>
      </w:pPr>
      <w:r>
        <w:continuationSeparator/>
      </w:r>
    </w:p>
  </w:footnote>
  <w:footnote w:id="1">
    <w:p w14:paraId="064B1BFE" w14:textId="77777777" w:rsidR="007A2E93" w:rsidRPr="007A2E93" w:rsidRDefault="007A2E93" w:rsidP="007A2E93">
      <w:pPr>
        <w:pStyle w:val="Voetnoottekst"/>
        <w:rPr>
          <w:sz w:val="16"/>
          <w:szCs w:val="16"/>
        </w:rPr>
      </w:pPr>
      <w:r w:rsidRPr="007A2E93">
        <w:rPr>
          <w:rStyle w:val="Voetnootmarkering"/>
          <w:sz w:val="16"/>
          <w:szCs w:val="16"/>
        </w:rPr>
        <w:footnoteRef/>
      </w:r>
      <w:r w:rsidRPr="007A2E93">
        <w:rPr>
          <w:sz w:val="16"/>
          <w:szCs w:val="16"/>
        </w:rPr>
        <w:t xml:space="preserve"> </w:t>
      </w:r>
      <w:r w:rsidRPr="007A2E93">
        <w:rPr>
          <w:i/>
          <w:iCs/>
          <w:sz w:val="16"/>
          <w:szCs w:val="16"/>
        </w:rPr>
        <w:t>Kamerstukken II</w:t>
      </w:r>
      <w:r w:rsidRPr="007A2E93">
        <w:rPr>
          <w:sz w:val="16"/>
          <w:szCs w:val="16"/>
        </w:rPr>
        <w:t xml:space="preserve"> 2021/22, 35968, nr. 3, p. 54. </w:t>
      </w:r>
    </w:p>
  </w:footnote>
  <w:footnote w:id="2">
    <w:p w14:paraId="407DD113" w14:textId="42B9F55B" w:rsidR="007A2E93" w:rsidRPr="007A2E93" w:rsidRDefault="007A2E93" w:rsidP="007A2E93">
      <w:pPr>
        <w:pStyle w:val="Voetnoottekst"/>
        <w:rPr>
          <w:sz w:val="16"/>
          <w:szCs w:val="16"/>
        </w:rPr>
      </w:pPr>
      <w:r w:rsidRPr="007A2E93">
        <w:rPr>
          <w:rStyle w:val="Voetnootmarkering"/>
          <w:sz w:val="16"/>
          <w:szCs w:val="16"/>
        </w:rPr>
        <w:footnoteRef/>
      </w:r>
      <w:r w:rsidRPr="007A2E93">
        <w:rPr>
          <w:sz w:val="16"/>
          <w:szCs w:val="16"/>
        </w:rPr>
        <w:t xml:space="preserve"> </w:t>
      </w:r>
      <w:r>
        <w:rPr>
          <w:sz w:val="16"/>
          <w:szCs w:val="16"/>
        </w:rPr>
        <w:t>De eerbiediging van de persoonlijke levenssfeer</w:t>
      </w:r>
      <w:r w:rsidRPr="007A2E93">
        <w:rPr>
          <w:sz w:val="16"/>
          <w:szCs w:val="16"/>
        </w:rPr>
        <w:t xml:space="preserve"> is een relatieve beperkingsgrond die is opgenomen in artikel 7.2, tweede lid, onderdeel e, van de Archiefwet 20... Het verantwoordelijke overheidsorgaan </w:t>
      </w:r>
      <w:r>
        <w:rPr>
          <w:sz w:val="16"/>
          <w:szCs w:val="16"/>
        </w:rPr>
        <w:t xml:space="preserve">is op grond van artikel 7.2, tweede lid, van de Archiefwet 20.. gehouden om de openbaarheid op basis van deze grond te beperken, indien </w:t>
      </w:r>
      <w:r w:rsidRPr="007A2E93">
        <w:rPr>
          <w:sz w:val="16"/>
          <w:szCs w:val="16"/>
        </w:rPr>
        <w:t xml:space="preserve">het belang van de openbaarheid van de in de documenten opgenomen informatie niet opweegt tegen </w:t>
      </w:r>
      <w:r>
        <w:rPr>
          <w:sz w:val="16"/>
          <w:szCs w:val="16"/>
        </w:rPr>
        <w:t xml:space="preserve">het belang van de </w:t>
      </w:r>
      <w:r w:rsidR="00517117">
        <w:rPr>
          <w:sz w:val="16"/>
          <w:szCs w:val="16"/>
        </w:rPr>
        <w:t xml:space="preserve">eerbiediging </w:t>
      </w:r>
      <w:r>
        <w:rPr>
          <w:sz w:val="16"/>
          <w:szCs w:val="16"/>
        </w:rPr>
        <w:t>van de persoonlijke levenssfeer.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F42034C2">
      <w:start w:val="1"/>
      <w:numFmt w:val="bullet"/>
      <w:pStyle w:val="Lijstopsomteken"/>
      <w:lvlText w:val="•"/>
      <w:lvlJc w:val="left"/>
      <w:pPr>
        <w:tabs>
          <w:tab w:val="num" w:pos="227"/>
        </w:tabs>
        <w:ind w:left="227" w:hanging="227"/>
      </w:pPr>
      <w:rPr>
        <w:rFonts w:ascii="Verdana" w:hAnsi="Verdana" w:hint="default"/>
        <w:sz w:val="18"/>
        <w:szCs w:val="18"/>
      </w:rPr>
    </w:lvl>
    <w:lvl w:ilvl="1" w:tplc="699E6F88" w:tentative="1">
      <w:start w:val="1"/>
      <w:numFmt w:val="bullet"/>
      <w:lvlText w:val="o"/>
      <w:lvlJc w:val="left"/>
      <w:pPr>
        <w:tabs>
          <w:tab w:val="num" w:pos="1440"/>
        </w:tabs>
        <w:ind w:left="1440" w:hanging="360"/>
      </w:pPr>
      <w:rPr>
        <w:rFonts w:ascii="Courier New" w:hAnsi="Courier New" w:cs="Courier New" w:hint="default"/>
      </w:rPr>
    </w:lvl>
    <w:lvl w:ilvl="2" w:tplc="180E1D34" w:tentative="1">
      <w:start w:val="1"/>
      <w:numFmt w:val="bullet"/>
      <w:lvlText w:val=""/>
      <w:lvlJc w:val="left"/>
      <w:pPr>
        <w:tabs>
          <w:tab w:val="num" w:pos="2160"/>
        </w:tabs>
        <w:ind w:left="2160" w:hanging="360"/>
      </w:pPr>
      <w:rPr>
        <w:rFonts w:ascii="Wingdings" w:hAnsi="Wingdings" w:hint="default"/>
      </w:rPr>
    </w:lvl>
    <w:lvl w:ilvl="3" w:tplc="C8806AB8" w:tentative="1">
      <w:start w:val="1"/>
      <w:numFmt w:val="bullet"/>
      <w:lvlText w:val=""/>
      <w:lvlJc w:val="left"/>
      <w:pPr>
        <w:tabs>
          <w:tab w:val="num" w:pos="2880"/>
        </w:tabs>
        <w:ind w:left="2880" w:hanging="360"/>
      </w:pPr>
      <w:rPr>
        <w:rFonts w:ascii="Symbol" w:hAnsi="Symbol" w:hint="default"/>
      </w:rPr>
    </w:lvl>
    <w:lvl w:ilvl="4" w:tplc="88DCD1D0" w:tentative="1">
      <w:start w:val="1"/>
      <w:numFmt w:val="bullet"/>
      <w:lvlText w:val="o"/>
      <w:lvlJc w:val="left"/>
      <w:pPr>
        <w:tabs>
          <w:tab w:val="num" w:pos="3600"/>
        </w:tabs>
        <w:ind w:left="3600" w:hanging="360"/>
      </w:pPr>
      <w:rPr>
        <w:rFonts w:ascii="Courier New" w:hAnsi="Courier New" w:cs="Courier New" w:hint="default"/>
      </w:rPr>
    </w:lvl>
    <w:lvl w:ilvl="5" w:tplc="C21C49BC" w:tentative="1">
      <w:start w:val="1"/>
      <w:numFmt w:val="bullet"/>
      <w:lvlText w:val=""/>
      <w:lvlJc w:val="left"/>
      <w:pPr>
        <w:tabs>
          <w:tab w:val="num" w:pos="4320"/>
        </w:tabs>
        <w:ind w:left="4320" w:hanging="360"/>
      </w:pPr>
      <w:rPr>
        <w:rFonts w:ascii="Wingdings" w:hAnsi="Wingdings" w:hint="default"/>
      </w:rPr>
    </w:lvl>
    <w:lvl w:ilvl="6" w:tplc="21229E8A" w:tentative="1">
      <w:start w:val="1"/>
      <w:numFmt w:val="bullet"/>
      <w:lvlText w:val=""/>
      <w:lvlJc w:val="left"/>
      <w:pPr>
        <w:tabs>
          <w:tab w:val="num" w:pos="5040"/>
        </w:tabs>
        <w:ind w:left="5040" w:hanging="360"/>
      </w:pPr>
      <w:rPr>
        <w:rFonts w:ascii="Symbol" w:hAnsi="Symbol" w:hint="default"/>
      </w:rPr>
    </w:lvl>
    <w:lvl w:ilvl="7" w:tplc="8E62C800" w:tentative="1">
      <w:start w:val="1"/>
      <w:numFmt w:val="bullet"/>
      <w:lvlText w:val="o"/>
      <w:lvlJc w:val="left"/>
      <w:pPr>
        <w:tabs>
          <w:tab w:val="num" w:pos="5760"/>
        </w:tabs>
        <w:ind w:left="5760" w:hanging="360"/>
      </w:pPr>
      <w:rPr>
        <w:rFonts w:ascii="Courier New" w:hAnsi="Courier New" w:cs="Courier New" w:hint="default"/>
      </w:rPr>
    </w:lvl>
    <w:lvl w:ilvl="8" w:tplc="2DD6BD8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62D0587C">
      <w:start w:val="1"/>
      <w:numFmt w:val="bullet"/>
      <w:pStyle w:val="Lijstopsomteken2"/>
      <w:lvlText w:val="–"/>
      <w:lvlJc w:val="left"/>
      <w:pPr>
        <w:tabs>
          <w:tab w:val="num" w:pos="227"/>
        </w:tabs>
        <w:ind w:left="227" w:firstLine="0"/>
      </w:pPr>
      <w:rPr>
        <w:rFonts w:ascii="Verdana" w:hAnsi="Verdana" w:hint="default"/>
      </w:rPr>
    </w:lvl>
    <w:lvl w:ilvl="1" w:tplc="0B3651D0" w:tentative="1">
      <w:start w:val="1"/>
      <w:numFmt w:val="bullet"/>
      <w:lvlText w:val="o"/>
      <w:lvlJc w:val="left"/>
      <w:pPr>
        <w:tabs>
          <w:tab w:val="num" w:pos="1440"/>
        </w:tabs>
        <w:ind w:left="1440" w:hanging="360"/>
      </w:pPr>
      <w:rPr>
        <w:rFonts w:ascii="Courier New" w:hAnsi="Courier New" w:cs="Courier New" w:hint="default"/>
      </w:rPr>
    </w:lvl>
    <w:lvl w:ilvl="2" w:tplc="01DEFD1C" w:tentative="1">
      <w:start w:val="1"/>
      <w:numFmt w:val="bullet"/>
      <w:lvlText w:val=""/>
      <w:lvlJc w:val="left"/>
      <w:pPr>
        <w:tabs>
          <w:tab w:val="num" w:pos="2160"/>
        </w:tabs>
        <w:ind w:left="2160" w:hanging="360"/>
      </w:pPr>
      <w:rPr>
        <w:rFonts w:ascii="Wingdings" w:hAnsi="Wingdings" w:hint="default"/>
      </w:rPr>
    </w:lvl>
    <w:lvl w:ilvl="3" w:tplc="A596F866" w:tentative="1">
      <w:start w:val="1"/>
      <w:numFmt w:val="bullet"/>
      <w:lvlText w:val=""/>
      <w:lvlJc w:val="left"/>
      <w:pPr>
        <w:tabs>
          <w:tab w:val="num" w:pos="2880"/>
        </w:tabs>
        <w:ind w:left="2880" w:hanging="360"/>
      </w:pPr>
      <w:rPr>
        <w:rFonts w:ascii="Symbol" w:hAnsi="Symbol" w:hint="default"/>
      </w:rPr>
    </w:lvl>
    <w:lvl w:ilvl="4" w:tplc="E4F08D9C" w:tentative="1">
      <w:start w:val="1"/>
      <w:numFmt w:val="bullet"/>
      <w:lvlText w:val="o"/>
      <w:lvlJc w:val="left"/>
      <w:pPr>
        <w:tabs>
          <w:tab w:val="num" w:pos="3600"/>
        </w:tabs>
        <w:ind w:left="3600" w:hanging="360"/>
      </w:pPr>
      <w:rPr>
        <w:rFonts w:ascii="Courier New" w:hAnsi="Courier New" w:cs="Courier New" w:hint="default"/>
      </w:rPr>
    </w:lvl>
    <w:lvl w:ilvl="5" w:tplc="FBB0138C" w:tentative="1">
      <w:start w:val="1"/>
      <w:numFmt w:val="bullet"/>
      <w:lvlText w:val=""/>
      <w:lvlJc w:val="left"/>
      <w:pPr>
        <w:tabs>
          <w:tab w:val="num" w:pos="4320"/>
        </w:tabs>
        <w:ind w:left="4320" w:hanging="360"/>
      </w:pPr>
      <w:rPr>
        <w:rFonts w:ascii="Wingdings" w:hAnsi="Wingdings" w:hint="default"/>
      </w:rPr>
    </w:lvl>
    <w:lvl w:ilvl="6" w:tplc="4066D64E" w:tentative="1">
      <w:start w:val="1"/>
      <w:numFmt w:val="bullet"/>
      <w:lvlText w:val=""/>
      <w:lvlJc w:val="left"/>
      <w:pPr>
        <w:tabs>
          <w:tab w:val="num" w:pos="5040"/>
        </w:tabs>
        <w:ind w:left="5040" w:hanging="360"/>
      </w:pPr>
      <w:rPr>
        <w:rFonts w:ascii="Symbol" w:hAnsi="Symbol" w:hint="default"/>
      </w:rPr>
    </w:lvl>
    <w:lvl w:ilvl="7" w:tplc="0B425680" w:tentative="1">
      <w:start w:val="1"/>
      <w:numFmt w:val="bullet"/>
      <w:lvlText w:val="o"/>
      <w:lvlJc w:val="left"/>
      <w:pPr>
        <w:tabs>
          <w:tab w:val="num" w:pos="5760"/>
        </w:tabs>
        <w:ind w:left="5760" w:hanging="360"/>
      </w:pPr>
      <w:rPr>
        <w:rFonts w:ascii="Courier New" w:hAnsi="Courier New" w:cs="Courier New" w:hint="default"/>
      </w:rPr>
    </w:lvl>
    <w:lvl w:ilvl="8" w:tplc="FB5C8238" w:tentative="1">
      <w:start w:val="1"/>
      <w:numFmt w:val="bullet"/>
      <w:lvlText w:val=""/>
      <w:lvlJc w:val="left"/>
      <w:pPr>
        <w:tabs>
          <w:tab w:val="num" w:pos="6480"/>
        </w:tabs>
        <w:ind w:left="6480" w:hanging="360"/>
      </w:pPr>
      <w:rPr>
        <w:rFonts w:ascii="Wingdings" w:hAnsi="Wingdings" w:hint="default"/>
      </w:rPr>
    </w:lvl>
  </w:abstractNum>
  <w:num w:numId="1" w16cid:durableId="700596354">
    <w:abstractNumId w:val="0"/>
  </w:num>
  <w:num w:numId="2" w16cid:durableId="1579636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55D0"/>
    <w:rsid w:val="000100EF"/>
    <w:rsid w:val="0002073E"/>
    <w:rsid w:val="0005424E"/>
    <w:rsid w:val="00064A0A"/>
    <w:rsid w:val="000A7A8D"/>
    <w:rsid w:val="000C45A6"/>
    <w:rsid w:val="000E6900"/>
    <w:rsid w:val="000F521E"/>
    <w:rsid w:val="0011544F"/>
    <w:rsid w:val="00135384"/>
    <w:rsid w:val="00146972"/>
    <w:rsid w:val="00163E98"/>
    <w:rsid w:val="00164C01"/>
    <w:rsid w:val="00184B30"/>
    <w:rsid w:val="001A3D9C"/>
    <w:rsid w:val="001E61E4"/>
    <w:rsid w:val="001F57AD"/>
    <w:rsid w:val="00222935"/>
    <w:rsid w:val="00246E96"/>
    <w:rsid w:val="002B2EE2"/>
    <w:rsid w:val="002C4F04"/>
    <w:rsid w:val="003321FB"/>
    <w:rsid w:val="003371F3"/>
    <w:rsid w:val="0036327C"/>
    <w:rsid w:val="003719E3"/>
    <w:rsid w:val="003A7160"/>
    <w:rsid w:val="0043481E"/>
    <w:rsid w:val="004431FA"/>
    <w:rsid w:val="00466DDE"/>
    <w:rsid w:val="00473A71"/>
    <w:rsid w:val="00491AC0"/>
    <w:rsid w:val="004F34AA"/>
    <w:rsid w:val="00517117"/>
    <w:rsid w:val="00535351"/>
    <w:rsid w:val="00537B3C"/>
    <w:rsid w:val="0054475B"/>
    <w:rsid w:val="0055599E"/>
    <w:rsid w:val="005823FA"/>
    <w:rsid w:val="00593585"/>
    <w:rsid w:val="005F5645"/>
    <w:rsid w:val="00603C68"/>
    <w:rsid w:val="006338E5"/>
    <w:rsid w:val="006371FE"/>
    <w:rsid w:val="00677A5A"/>
    <w:rsid w:val="00683886"/>
    <w:rsid w:val="006A3817"/>
    <w:rsid w:val="006A533F"/>
    <w:rsid w:val="006A5D19"/>
    <w:rsid w:val="006B3230"/>
    <w:rsid w:val="006B6DF9"/>
    <w:rsid w:val="006C67D2"/>
    <w:rsid w:val="006C6CF8"/>
    <w:rsid w:val="006C75C3"/>
    <w:rsid w:val="00727EE1"/>
    <w:rsid w:val="00793CEE"/>
    <w:rsid w:val="007A2E93"/>
    <w:rsid w:val="007D6FAE"/>
    <w:rsid w:val="00806A50"/>
    <w:rsid w:val="00827E33"/>
    <w:rsid w:val="00845440"/>
    <w:rsid w:val="008462B8"/>
    <w:rsid w:val="008645CD"/>
    <w:rsid w:val="00887699"/>
    <w:rsid w:val="008919F5"/>
    <w:rsid w:val="008C7B44"/>
    <w:rsid w:val="008E6E93"/>
    <w:rsid w:val="00952314"/>
    <w:rsid w:val="00961EDD"/>
    <w:rsid w:val="00966DCC"/>
    <w:rsid w:val="0099766C"/>
    <w:rsid w:val="009B06C5"/>
    <w:rsid w:val="009D1825"/>
    <w:rsid w:val="00A215D1"/>
    <w:rsid w:val="00A262BD"/>
    <w:rsid w:val="00A60B58"/>
    <w:rsid w:val="00AF3058"/>
    <w:rsid w:val="00AF57C7"/>
    <w:rsid w:val="00B277B3"/>
    <w:rsid w:val="00B30F49"/>
    <w:rsid w:val="00B41BBB"/>
    <w:rsid w:val="00B43004"/>
    <w:rsid w:val="00B5063C"/>
    <w:rsid w:val="00B54606"/>
    <w:rsid w:val="00B975AA"/>
    <w:rsid w:val="00BB3DE9"/>
    <w:rsid w:val="00BD0E17"/>
    <w:rsid w:val="00C23230"/>
    <w:rsid w:val="00CA7E1E"/>
    <w:rsid w:val="00CB1B4A"/>
    <w:rsid w:val="00CD1846"/>
    <w:rsid w:val="00D978BE"/>
    <w:rsid w:val="00DE2DE2"/>
    <w:rsid w:val="00E35822"/>
    <w:rsid w:val="00E83883"/>
    <w:rsid w:val="00E841AB"/>
    <w:rsid w:val="00F01557"/>
    <w:rsid w:val="00F8760B"/>
    <w:rsid w:val="00F87B02"/>
    <w:rsid w:val="00F970F5"/>
    <w:rsid w:val="00FB74B3"/>
    <w:rsid w:val="00FC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6B02"/>
  <w15:docId w15:val="{AF30066F-437E-495B-B930-BA48913E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77B3"/>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paragraph" w:styleId="Lijstalinea">
    <w:name w:val="List Paragraph"/>
    <w:basedOn w:val="Standaard"/>
    <w:uiPriority w:val="34"/>
    <w:qFormat/>
    <w:rsid w:val="00B277B3"/>
    <w:pPr>
      <w:ind w:left="720"/>
      <w:contextualSpacing/>
    </w:pPr>
  </w:style>
  <w:style w:type="paragraph" w:styleId="Voetnoottekst">
    <w:name w:val="footnote text"/>
    <w:basedOn w:val="Standaard"/>
    <w:link w:val="VoetnoottekstChar"/>
    <w:uiPriority w:val="99"/>
    <w:semiHidden/>
    <w:unhideWhenUsed/>
    <w:rsid w:val="006A3817"/>
    <w:pPr>
      <w:spacing w:line="240" w:lineRule="auto"/>
    </w:pPr>
    <w:rPr>
      <w:szCs w:val="20"/>
    </w:rPr>
  </w:style>
  <w:style w:type="character" w:customStyle="1" w:styleId="VoetnoottekstChar">
    <w:name w:val="Voetnoottekst Char"/>
    <w:basedOn w:val="Standaardalinea-lettertype"/>
    <w:link w:val="Voetnoottekst"/>
    <w:uiPriority w:val="99"/>
    <w:semiHidden/>
    <w:rsid w:val="006A3817"/>
    <w:rPr>
      <w:rFonts w:ascii="Verdana" w:hAnsi="Verdana"/>
      <w:noProof/>
      <w:lang w:val="nl-NL"/>
    </w:rPr>
  </w:style>
  <w:style w:type="character" w:styleId="Voetnootmarkering">
    <w:name w:val="footnote reference"/>
    <w:basedOn w:val="Standaardalinea-lettertype"/>
    <w:uiPriority w:val="99"/>
    <w:semiHidden/>
    <w:unhideWhenUsed/>
    <w:rsid w:val="006A3817"/>
    <w:rPr>
      <w:vertAlign w:val="superscript"/>
    </w:rPr>
  </w:style>
  <w:style w:type="character" w:styleId="Verwijzingopmerking">
    <w:name w:val="annotation reference"/>
    <w:basedOn w:val="Standaardalinea-lettertype"/>
    <w:uiPriority w:val="99"/>
    <w:semiHidden/>
    <w:unhideWhenUsed/>
    <w:rsid w:val="00473A71"/>
    <w:rPr>
      <w:sz w:val="16"/>
      <w:szCs w:val="16"/>
    </w:rPr>
  </w:style>
  <w:style w:type="paragraph" w:styleId="Tekstopmerking">
    <w:name w:val="annotation text"/>
    <w:basedOn w:val="Standaard"/>
    <w:link w:val="TekstopmerkingChar"/>
    <w:uiPriority w:val="99"/>
    <w:unhideWhenUsed/>
    <w:rsid w:val="00473A71"/>
    <w:pPr>
      <w:spacing w:line="240" w:lineRule="auto"/>
    </w:pPr>
    <w:rPr>
      <w:szCs w:val="20"/>
    </w:rPr>
  </w:style>
  <w:style w:type="character" w:customStyle="1" w:styleId="TekstopmerkingChar">
    <w:name w:val="Tekst opmerking Char"/>
    <w:basedOn w:val="Standaardalinea-lettertype"/>
    <w:link w:val="Tekstopmerking"/>
    <w:uiPriority w:val="99"/>
    <w:rsid w:val="00473A71"/>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473A71"/>
    <w:rPr>
      <w:b/>
      <w:bCs/>
    </w:rPr>
  </w:style>
  <w:style w:type="character" w:customStyle="1" w:styleId="OnderwerpvanopmerkingChar">
    <w:name w:val="Onderwerp van opmerking Char"/>
    <w:basedOn w:val="TekstopmerkingChar"/>
    <w:link w:val="Onderwerpvanopmerking"/>
    <w:uiPriority w:val="99"/>
    <w:semiHidden/>
    <w:rsid w:val="00473A71"/>
    <w:rPr>
      <w:rFonts w:ascii="Verdana" w:hAnsi="Verdana"/>
      <w:b/>
      <w:bCs/>
      <w:noProof/>
      <w:lang w:val="nl-NL"/>
    </w:rPr>
  </w:style>
  <w:style w:type="paragraph" w:styleId="Revisie">
    <w:name w:val="Revision"/>
    <w:hidden/>
    <w:uiPriority w:val="99"/>
    <w:semiHidden/>
    <w:rsid w:val="00845440"/>
    <w:rPr>
      <w:rFonts w:ascii="Verdana" w:hAnsi="Verdana"/>
      <w:noProof/>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860</ap:Words>
  <ap:Characters>4736</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2026-03-23T11:32:00.0000000Z</dcterms:created>
  <dcterms:modified xsi:type="dcterms:W3CDTF">2026-03-23T11:32:00.0000000Z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o214kra</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o214kra</vt:lpwstr>
  </property>
</Properties>
</file>