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Pr="003E5EE5" w:rsidR="004330ED" w:rsidTr="00EA1CE4" w14:paraId="54E5E368" w14:textId="77777777">
        <w:tc>
          <w:tcPr>
            <w:tcW w:w="6379" w:type="dxa"/>
            <w:gridSpan w:val="2"/>
            <w:tcBorders>
              <w:top w:val="nil"/>
              <w:left w:val="nil"/>
              <w:bottom w:val="nil"/>
              <w:right w:val="nil"/>
            </w:tcBorders>
            <w:vAlign w:val="center"/>
          </w:tcPr>
          <w:p w:rsidRPr="003E5EE5" w:rsidR="004330ED" w:rsidP="00EA1CE4" w:rsidRDefault="004330ED" w14:paraId="4D7EC0AA" w14:textId="77777777">
            <w:pPr>
              <w:pStyle w:val="Amendement"/>
              <w:tabs>
                <w:tab w:val="clear" w:pos="3310"/>
                <w:tab w:val="clear" w:pos="3600"/>
              </w:tabs>
              <w:rPr>
                <w:rFonts w:ascii="Times New Roman" w:hAnsi="Times New Roman"/>
                <w:spacing w:val="40"/>
                <w:sz w:val="22"/>
              </w:rPr>
            </w:pPr>
            <w:r w:rsidRPr="003E5EE5">
              <w:rPr>
                <w:rFonts w:ascii="Times New Roman" w:hAnsi="Times New Roman"/>
                <w:spacing w:val="40"/>
                <w:sz w:val="30"/>
              </w:rPr>
              <w:t>T</w:t>
            </w:r>
            <w:r w:rsidRPr="003E5EE5" w:rsidR="0021777F">
              <w:rPr>
                <w:rFonts w:ascii="Times New Roman" w:hAnsi="Times New Roman"/>
                <w:spacing w:val="40"/>
                <w:sz w:val="22"/>
              </w:rPr>
              <w:t>WEEDE</w:t>
            </w:r>
            <w:r w:rsidRPr="003E5EE5">
              <w:rPr>
                <w:rFonts w:ascii="Times New Roman" w:hAnsi="Times New Roman"/>
                <w:spacing w:val="40"/>
                <w:sz w:val="22"/>
              </w:rPr>
              <w:t xml:space="preserve"> </w:t>
            </w:r>
            <w:r w:rsidRPr="003E5EE5">
              <w:rPr>
                <w:rFonts w:ascii="Times New Roman" w:hAnsi="Times New Roman"/>
                <w:spacing w:val="40"/>
                <w:sz w:val="30"/>
              </w:rPr>
              <w:t>K</w:t>
            </w:r>
            <w:r w:rsidRPr="003E5EE5" w:rsidR="0021777F">
              <w:rPr>
                <w:rFonts w:ascii="Times New Roman" w:hAnsi="Times New Roman"/>
                <w:spacing w:val="40"/>
                <w:sz w:val="22"/>
              </w:rPr>
              <w:t xml:space="preserve">AMER </w:t>
            </w:r>
            <w:r w:rsidRPr="003E5EE5">
              <w:rPr>
                <w:rFonts w:ascii="Times New Roman" w:hAnsi="Times New Roman"/>
                <w:spacing w:val="40"/>
                <w:sz w:val="22"/>
              </w:rPr>
              <w:t>DER</w:t>
            </w:r>
            <w:r w:rsidRPr="003E5EE5">
              <w:rPr>
                <w:rFonts w:ascii="Times New Roman" w:hAnsi="Times New Roman"/>
                <w:spacing w:val="40"/>
                <w:sz w:val="30"/>
              </w:rPr>
              <w:t xml:space="preserve"> S</w:t>
            </w:r>
            <w:r w:rsidRPr="003E5EE5">
              <w:rPr>
                <w:rFonts w:ascii="Times New Roman" w:hAnsi="Times New Roman"/>
                <w:spacing w:val="40"/>
                <w:sz w:val="22"/>
              </w:rPr>
              <w:t>TATEN-</w:t>
            </w:r>
            <w:r w:rsidRPr="003E5EE5">
              <w:rPr>
                <w:rFonts w:ascii="Times New Roman" w:hAnsi="Times New Roman"/>
                <w:spacing w:val="40"/>
                <w:sz w:val="30"/>
              </w:rPr>
              <w:t>G</w:t>
            </w:r>
            <w:r w:rsidRPr="003E5EE5">
              <w:rPr>
                <w:rFonts w:ascii="Times New Roman" w:hAnsi="Times New Roman"/>
                <w:spacing w:val="40"/>
                <w:sz w:val="22"/>
              </w:rPr>
              <w:t>ENERAAL</w:t>
            </w:r>
          </w:p>
        </w:tc>
        <w:tc>
          <w:tcPr>
            <w:tcW w:w="3969" w:type="dxa"/>
            <w:tcBorders>
              <w:top w:val="nil"/>
              <w:left w:val="nil"/>
              <w:bottom w:val="nil"/>
              <w:right w:val="nil"/>
            </w:tcBorders>
          </w:tcPr>
          <w:p w:rsidRPr="003E5EE5" w:rsidR="004330ED" w:rsidP="006E0971" w:rsidRDefault="004330ED" w14:paraId="12B21540" w14:textId="77777777">
            <w:pPr>
              <w:pStyle w:val="Amendement"/>
              <w:tabs>
                <w:tab w:val="clear" w:pos="3310"/>
                <w:tab w:val="clear" w:pos="3600"/>
              </w:tabs>
              <w:ind w:left="-70"/>
              <w:jc w:val="right"/>
              <w:rPr>
                <w:rFonts w:ascii="Times New Roman" w:hAnsi="Times New Roman"/>
                <w:spacing w:val="40"/>
                <w:sz w:val="22"/>
              </w:rPr>
            </w:pPr>
            <w:r w:rsidRPr="003E5EE5">
              <w:rPr>
                <w:rFonts w:ascii="Times New Roman" w:hAnsi="Times New Roman"/>
                <w:sz w:val="88"/>
              </w:rPr>
              <w:t>2</w:t>
            </w:r>
          </w:p>
        </w:tc>
      </w:tr>
      <w:tr w:rsidRPr="003E5EE5" w:rsidR="004330ED" w:rsidTr="00EA1CE4" w14:paraId="6EA10A0C" w14:textId="77777777">
        <w:trPr>
          <w:cantSplit/>
        </w:trPr>
        <w:tc>
          <w:tcPr>
            <w:tcW w:w="10348" w:type="dxa"/>
            <w:gridSpan w:val="3"/>
            <w:tcBorders>
              <w:top w:val="single" w:color="auto" w:sz="4" w:space="0"/>
              <w:left w:val="nil"/>
              <w:bottom w:val="nil"/>
              <w:right w:val="nil"/>
            </w:tcBorders>
          </w:tcPr>
          <w:p w:rsidRPr="003E5EE5" w:rsidR="004330ED" w:rsidP="004A1E29" w:rsidRDefault="004330ED" w14:paraId="1251FE9A" w14:textId="77777777">
            <w:pPr>
              <w:pStyle w:val="Amendement"/>
              <w:tabs>
                <w:tab w:val="clear" w:pos="3310"/>
                <w:tab w:val="clear" w:pos="3600"/>
              </w:tabs>
              <w:rPr>
                <w:rFonts w:ascii="Times New Roman" w:hAnsi="Times New Roman"/>
              </w:rPr>
            </w:pPr>
            <w:r w:rsidRPr="003E5EE5">
              <w:rPr>
                <w:rFonts w:ascii="Times New Roman" w:hAnsi="Times New Roman"/>
                <w:b w:val="0"/>
              </w:rPr>
              <w:t xml:space="preserve">Vergaderjaar </w:t>
            </w:r>
            <w:r w:rsidRPr="003E5EE5" w:rsidR="00E908D7">
              <w:rPr>
                <w:rFonts w:ascii="Times New Roman" w:hAnsi="Times New Roman"/>
                <w:b w:val="0"/>
              </w:rPr>
              <w:t>202</w:t>
            </w:r>
            <w:r w:rsidRPr="003E5EE5" w:rsidR="00413B00">
              <w:rPr>
                <w:rFonts w:ascii="Times New Roman" w:hAnsi="Times New Roman"/>
                <w:b w:val="0"/>
              </w:rPr>
              <w:t>5</w:t>
            </w:r>
            <w:r w:rsidRPr="003E5EE5" w:rsidR="00E908D7">
              <w:rPr>
                <w:rFonts w:ascii="Times New Roman" w:hAnsi="Times New Roman"/>
                <w:b w:val="0"/>
              </w:rPr>
              <w:t>-202</w:t>
            </w:r>
            <w:r w:rsidRPr="003E5EE5" w:rsidR="00413B00">
              <w:rPr>
                <w:rFonts w:ascii="Times New Roman" w:hAnsi="Times New Roman"/>
                <w:b w:val="0"/>
              </w:rPr>
              <w:t>6</w:t>
            </w:r>
          </w:p>
        </w:tc>
      </w:tr>
      <w:tr w:rsidRPr="003E5EE5" w:rsidR="004330ED" w:rsidTr="00EA1CE4" w14:paraId="566435AA" w14:textId="77777777">
        <w:trPr>
          <w:cantSplit/>
        </w:trPr>
        <w:tc>
          <w:tcPr>
            <w:tcW w:w="10348" w:type="dxa"/>
            <w:gridSpan w:val="3"/>
            <w:tcBorders>
              <w:top w:val="nil"/>
              <w:left w:val="nil"/>
              <w:bottom w:val="nil"/>
              <w:right w:val="nil"/>
            </w:tcBorders>
          </w:tcPr>
          <w:p w:rsidRPr="003E5EE5" w:rsidR="004330ED" w:rsidP="00BF623B" w:rsidRDefault="004330ED" w14:paraId="330B5FBA" w14:textId="77777777">
            <w:pPr>
              <w:pStyle w:val="Amendement"/>
              <w:tabs>
                <w:tab w:val="clear" w:pos="3310"/>
                <w:tab w:val="clear" w:pos="3600"/>
              </w:tabs>
              <w:rPr>
                <w:rFonts w:ascii="Times New Roman" w:hAnsi="Times New Roman"/>
                <w:b w:val="0"/>
              </w:rPr>
            </w:pPr>
          </w:p>
        </w:tc>
      </w:tr>
      <w:tr w:rsidRPr="003E5EE5" w:rsidR="004330ED" w:rsidTr="00EA1CE4" w14:paraId="05B74629" w14:textId="77777777">
        <w:trPr>
          <w:cantSplit/>
        </w:trPr>
        <w:tc>
          <w:tcPr>
            <w:tcW w:w="10348" w:type="dxa"/>
            <w:gridSpan w:val="3"/>
            <w:tcBorders>
              <w:top w:val="nil"/>
              <w:left w:val="nil"/>
              <w:bottom w:val="single" w:color="auto" w:sz="4" w:space="0"/>
              <w:right w:val="nil"/>
            </w:tcBorders>
          </w:tcPr>
          <w:p w:rsidRPr="003E5EE5" w:rsidR="004330ED" w:rsidP="00BF623B" w:rsidRDefault="004330ED" w14:paraId="5D6BA574" w14:textId="77777777">
            <w:pPr>
              <w:pStyle w:val="Amendement"/>
              <w:tabs>
                <w:tab w:val="clear" w:pos="3310"/>
                <w:tab w:val="clear" w:pos="3600"/>
              </w:tabs>
              <w:rPr>
                <w:rFonts w:ascii="Times New Roman" w:hAnsi="Times New Roman"/>
              </w:rPr>
            </w:pPr>
          </w:p>
        </w:tc>
      </w:tr>
      <w:tr w:rsidRPr="003E5EE5" w:rsidR="004330ED" w:rsidTr="00EA1CE4" w14:paraId="38EF78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4330ED" w:rsidP="006E0971" w:rsidRDefault="004330ED" w14:paraId="630B3F66" w14:textId="77777777">
            <w:pPr>
              <w:pStyle w:val="Amendement"/>
              <w:tabs>
                <w:tab w:val="clear" w:pos="3310"/>
                <w:tab w:val="clear" w:pos="3600"/>
              </w:tabs>
              <w:rPr>
                <w:rFonts w:ascii="Times New Roman" w:hAnsi="Times New Roman"/>
              </w:rPr>
            </w:pPr>
          </w:p>
        </w:tc>
        <w:tc>
          <w:tcPr>
            <w:tcW w:w="7371" w:type="dxa"/>
            <w:gridSpan w:val="2"/>
          </w:tcPr>
          <w:p w:rsidRPr="003E5EE5" w:rsidR="004330ED" w:rsidP="006E0971" w:rsidRDefault="004330ED" w14:paraId="418C2836" w14:textId="77777777">
            <w:pPr>
              <w:suppressAutoHyphens/>
              <w:ind w:left="-70"/>
              <w:rPr>
                <w:b/>
              </w:rPr>
            </w:pPr>
          </w:p>
        </w:tc>
      </w:tr>
      <w:tr w:rsidRPr="003E5EE5" w:rsidR="003C21AC" w:rsidTr="00EA1CE4" w14:paraId="7CE590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EA1CE4" w:rsidRDefault="0089622E" w14:paraId="55F3B099" w14:textId="7DB25063">
            <w:pPr>
              <w:pStyle w:val="Amendement"/>
              <w:tabs>
                <w:tab w:val="clear" w:pos="3310"/>
                <w:tab w:val="clear" w:pos="3600"/>
              </w:tabs>
              <w:rPr>
                <w:rFonts w:ascii="Times New Roman" w:hAnsi="Times New Roman"/>
              </w:rPr>
            </w:pPr>
            <w:r w:rsidRPr="003E5EE5">
              <w:rPr>
                <w:rFonts w:ascii="Times New Roman" w:hAnsi="Times New Roman"/>
              </w:rPr>
              <w:t>36 871</w:t>
            </w:r>
          </w:p>
        </w:tc>
        <w:tc>
          <w:tcPr>
            <w:tcW w:w="7371" w:type="dxa"/>
            <w:gridSpan w:val="2"/>
          </w:tcPr>
          <w:p w:rsidRPr="003E5EE5" w:rsidR="003C21AC" w:rsidP="0089622E" w:rsidRDefault="0089622E" w14:paraId="00CABDF2" w14:textId="251DB8A1">
            <w:pPr>
              <w:rPr>
                <w:b/>
                <w:bCs/>
              </w:rPr>
            </w:pPr>
            <w:r w:rsidRPr="003E5EE5">
              <w:rPr>
                <w:b/>
                <w:bCs/>
              </w:rPr>
              <w:t>Wijziging van de Vreemdelingenwet 2000 en enkele andere wetten in verband met de uitvoering en implementatie van het EU-Asiel- en migratiepact 2026 (Uitvoerings- en implementatiewet Asiel- en migratiepact 2026)</w:t>
            </w:r>
          </w:p>
        </w:tc>
      </w:tr>
      <w:tr w:rsidRPr="003E5EE5" w:rsidR="003C21AC" w:rsidTr="00EA1CE4" w14:paraId="5B845F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6E0971" w:rsidRDefault="003C21AC" w14:paraId="0DEB492A" w14:textId="77777777">
            <w:pPr>
              <w:pStyle w:val="Amendement"/>
              <w:tabs>
                <w:tab w:val="clear" w:pos="3310"/>
                <w:tab w:val="clear" w:pos="3600"/>
              </w:tabs>
              <w:rPr>
                <w:rFonts w:ascii="Times New Roman" w:hAnsi="Times New Roman"/>
              </w:rPr>
            </w:pPr>
          </w:p>
        </w:tc>
        <w:tc>
          <w:tcPr>
            <w:tcW w:w="7371" w:type="dxa"/>
            <w:gridSpan w:val="2"/>
          </w:tcPr>
          <w:p w:rsidRPr="003E5EE5" w:rsidR="003C21AC" w:rsidP="006E0971" w:rsidRDefault="003C21AC" w14:paraId="16627DE4" w14:textId="77777777">
            <w:pPr>
              <w:pStyle w:val="Amendement"/>
              <w:tabs>
                <w:tab w:val="clear" w:pos="3310"/>
                <w:tab w:val="clear" w:pos="3600"/>
              </w:tabs>
              <w:ind w:left="-70"/>
              <w:rPr>
                <w:rFonts w:ascii="Times New Roman" w:hAnsi="Times New Roman"/>
              </w:rPr>
            </w:pPr>
          </w:p>
        </w:tc>
      </w:tr>
      <w:tr w:rsidRPr="003E5EE5" w:rsidR="003C21AC" w:rsidTr="00EA1CE4" w14:paraId="7A40E0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6E0971" w:rsidRDefault="003C21AC" w14:paraId="003F8404" w14:textId="77777777">
            <w:pPr>
              <w:pStyle w:val="Amendement"/>
              <w:tabs>
                <w:tab w:val="clear" w:pos="3310"/>
                <w:tab w:val="clear" w:pos="3600"/>
              </w:tabs>
              <w:rPr>
                <w:rFonts w:ascii="Times New Roman" w:hAnsi="Times New Roman"/>
              </w:rPr>
            </w:pPr>
          </w:p>
        </w:tc>
        <w:tc>
          <w:tcPr>
            <w:tcW w:w="7371" w:type="dxa"/>
            <w:gridSpan w:val="2"/>
          </w:tcPr>
          <w:p w:rsidRPr="003E5EE5" w:rsidR="003C21AC" w:rsidP="006E0971" w:rsidRDefault="003C21AC" w14:paraId="1FB83E75" w14:textId="77777777">
            <w:pPr>
              <w:pStyle w:val="Amendement"/>
              <w:tabs>
                <w:tab w:val="clear" w:pos="3310"/>
                <w:tab w:val="clear" w:pos="3600"/>
              </w:tabs>
              <w:ind w:left="-70"/>
              <w:rPr>
                <w:rFonts w:ascii="Times New Roman" w:hAnsi="Times New Roman"/>
              </w:rPr>
            </w:pPr>
          </w:p>
        </w:tc>
      </w:tr>
      <w:tr w:rsidRPr="003E5EE5" w:rsidR="003C21AC" w:rsidTr="00EA1CE4" w14:paraId="66B4BA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EA1CE4" w:rsidRDefault="003C21AC" w14:paraId="25EDA5BD" w14:textId="342095B8">
            <w:pPr>
              <w:pStyle w:val="Amendement"/>
              <w:tabs>
                <w:tab w:val="clear" w:pos="3310"/>
                <w:tab w:val="clear" w:pos="3600"/>
              </w:tabs>
              <w:rPr>
                <w:rFonts w:ascii="Times New Roman" w:hAnsi="Times New Roman"/>
              </w:rPr>
            </w:pPr>
            <w:r w:rsidRPr="003E5EE5">
              <w:rPr>
                <w:rFonts w:ascii="Times New Roman" w:hAnsi="Times New Roman"/>
              </w:rPr>
              <w:t xml:space="preserve">Nr. </w:t>
            </w:r>
            <w:r w:rsidR="00D75DB3">
              <w:rPr>
                <w:rFonts w:ascii="Times New Roman" w:hAnsi="Times New Roman"/>
              </w:rPr>
              <w:t>33</w:t>
            </w:r>
          </w:p>
        </w:tc>
        <w:tc>
          <w:tcPr>
            <w:tcW w:w="7371" w:type="dxa"/>
            <w:gridSpan w:val="2"/>
          </w:tcPr>
          <w:p w:rsidRPr="00D75DB3" w:rsidR="003C21AC" w:rsidP="006E0971" w:rsidRDefault="003C21AC" w14:paraId="28FC00BA" w14:textId="50FDA1CB">
            <w:pPr>
              <w:pStyle w:val="Amendement"/>
              <w:tabs>
                <w:tab w:val="clear" w:pos="3310"/>
                <w:tab w:val="clear" w:pos="3600"/>
              </w:tabs>
              <w:ind w:left="-70"/>
              <w:rPr>
                <w:rFonts w:ascii="Times New Roman" w:hAnsi="Times New Roman"/>
                <w:caps/>
              </w:rPr>
            </w:pPr>
            <w:r w:rsidRPr="00D75DB3">
              <w:rPr>
                <w:rFonts w:ascii="Times New Roman" w:hAnsi="Times New Roman"/>
                <w:caps/>
              </w:rPr>
              <w:t xml:space="preserve">AMENDEMENT VAN </w:t>
            </w:r>
            <w:r w:rsidR="007173D2">
              <w:rPr>
                <w:rFonts w:ascii="Times New Roman" w:hAnsi="Times New Roman"/>
                <w:caps/>
              </w:rPr>
              <w:t xml:space="preserve">Het lid </w:t>
            </w:r>
            <w:r w:rsidRPr="00D75DB3" w:rsidR="00F84B3F">
              <w:rPr>
                <w:rFonts w:ascii="Times New Roman" w:hAnsi="Times New Roman"/>
                <w:caps/>
              </w:rPr>
              <w:t xml:space="preserve">Boomsma </w:t>
            </w:r>
            <w:r w:rsidR="007173D2">
              <w:rPr>
                <w:rFonts w:ascii="Times New Roman" w:hAnsi="Times New Roman"/>
                <w:caps/>
              </w:rPr>
              <w:t>c.s.</w:t>
            </w:r>
          </w:p>
        </w:tc>
      </w:tr>
      <w:tr w:rsidRPr="003E5EE5" w:rsidR="003C21AC" w:rsidTr="00EA1CE4" w14:paraId="04C3D6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6E0971" w:rsidRDefault="003C21AC" w14:paraId="3E70605C" w14:textId="77777777">
            <w:pPr>
              <w:pStyle w:val="Amendement"/>
              <w:tabs>
                <w:tab w:val="clear" w:pos="3310"/>
                <w:tab w:val="clear" w:pos="3600"/>
              </w:tabs>
              <w:rPr>
                <w:rFonts w:ascii="Times New Roman" w:hAnsi="Times New Roman"/>
              </w:rPr>
            </w:pPr>
          </w:p>
        </w:tc>
        <w:tc>
          <w:tcPr>
            <w:tcW w:w="7371" w:type="dxa"/>
            <w:gridSpan w:val="2"/>
          </w:tcPr>
          <w:p w:rsidRPr="003E5EE5" w:rsidR="003C21AC" w:rsidP="006E0971" w:rsidRDefault="003C21AC" w14:paraId="782D813C" w14:textId="611C74F4">
            <w:pPr>
              <w:pStyle w:val="Amendement"/>
              <w:tabs>
                <w:tab w:val="clear" w:pos="3310"/>
                <w:tab w:val="clear" w:pos="3600"/>
              </w:tabs>
              <w:ind w:left="-70"/>
              <w:rPr>
                <w:rFonts w:ascii="Times New Roman" w:hAnsi="Times New Roman"/>
              </w:rPr>
            </w:pPr>
            <w:r w:rsidRPr="003E5EE5">
              <w:rPr>
                <w:rFonts w:ascii="Times New Roman" w:hAnsi="Times New Roman"/>
                <w:b w:val="0"/>
              </w:rPr>
              <w:t xml:space="preserve">Ontvangen </w:t>
            </w:r>
            <w:r w:rsidR="00D75DB3">
              <w:rPr>
                <w:rFonts w:ascii="Times New Roman" w:hAnsi="Times New Roman"/>
                <w:b w:val="0"/>
              </w:rPr>
              <w:t>23 maart 2026</w:t>
            </w:r>
          </w:p>
        </w:tc>
      </w:tr>
      <w:tr w:rsidRPr="003E5EE5" w:rsidR="00B01BA6" w:rsidTr="00EA1CE4" w14:paraId="1A7C20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B01BA6" w:rsidP="006E0971" w:rsidRDefault="00B01BA6" w14:paraId="6808E881" w14:textId="77777777">
            <w:pPr>
              <w:pStyle w:val="Amendement"/>
              <w:tabs>
                <w:tab w:val="clear" w:pos="3310"/>
                <w:tab w:val="clear" w:pos="3600"/>
              </w:tabs>
              <w:rPr>
                <w:rFonts w:ascii="Times New Roman" w:hAnsi="Times New Roman"/>
              </w:rPr>
            </w:pPr>
          </w:p>
        </w:tc>
        <w:tc>
          <w:tcPr>
            <w:tcW w:w="7371" w:type="dxa"/>
            <w:gridSpan w:val="2"/>
          </w:tcPr>
          <w:p w:rsidRPr="003E5EE5" w:rsidR="00B01BA6" w:rsidP="006E0971" w:rsidRDefault="00B01BA6" w14:paraId="38CC8E4E" w14:textId="77777777">
            <w:pPr>
              <w:pStyle w:val="Amendement"/>
              <w:tabs>
                <w:tab w:val="clear" w:pos="3310"/>
                <w:tab w:val="clear" w:pos="3600"/>
              </w:tabs>
              <w:ind w:left="-70"/>
              <w:rPr>
                <w:rFonts w:ascii="Times New Roman" w:hAnsi="Times New Roman"/>
                <w:b w:val="0"/>
              </w:rPr>
            </w:pPr>
          </w:p>
        </w:tc>
      </w:tr>
      <w:tr w:rsidRPr="003E5EE5" w:rsidR="00B01BA6" w:rsidTr="00EA1CE4" w14:paraId="042ADC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3E5EE5" w:rsidR="00B01BA6" w:rsidP="0088452C" w:rsidRDefault="00B01BA6" w14:paraId="26F0EFC3" w14:textId="2172684C">
            <w:pPr>
              <w:ind w:firstLine="284"/>
            </w:pPr>
            <w:r w:rsidRPr="003E5EE5">
              <w:t>De ondergetekende</w:t>
            </w:r>
            <w:r w:rsidR="00F84B3F">
              <w:t>n</w:t>
            </w:r>
            <w:r w:rsidRPr="003E5EE5">
              <w:t xml:space="preserve"> stel</w:t>
            </w:r>
            <w:r w:rsidR="00F84B3F">
              <w:t>len</w:t>
            </w:r>
            <w:r w:rsidRPr="003E5EE5">
              <w:t xml:space="preserve"> het volgende amendement voor:</w:t>
            </w:r>
          </w:p>
        </w:tc>
      </w:tr>
    </w:tbl>
    <w:p w:rsidR="005B1DCC" w:rsidP="00BF623B" w:rsidRDefault="005B1DCC" w14:paraId="6649508D" w14:textId="77777777"/>
    <w:p w:rsidR="008635E5" w:rsidP="008635E5" w:rsidRDefault="008635E5" w14:paraId="07AB2804" w14:textId="56D0C74D">
      <w:pPr>
        <w:ind w:firstLine="284"/>
      </w:pPr>
      <w:r>
        <w:t>Artikel I, onderdeel AS, wordt als volgt gewijzigd:</w:t>
      </w:r>
    </w:p>
    <w:p w:rsidR="008635E5" w:rsidP="008635E5" w:rsidRDefault="008635E5" w14:paraId="4C2AE32A" w14:textId="77777777">
      <w:pPr>
        <w:ind w:firstLine="284"/>
      </w:pPr>
    </w:p>
    <w:p w:rsidR="008635E5" w:rsidP="008635E5" w:rsidRDefault="008635E5" w14:paraId="2459A790" w14:textId="77777777">
      <w:pPr>
        <w:ind w:left="284"/>
      </w:pPr>
      <w:r>
        <w:t xml:space="preserve">1. Voor “In het eerste lid” wordt de </w:t>
      </w:r>
      <w:proofErr w:type="spellStart"/>
      <w:r>
        <w:t>onderdeelsaanduiding</w:t>
      </w:r>
      <w:proofErr w:type="spellEnd"/>
      <w:r>
        <w:t xml:space="preserve"> “1.” geplaatst.</w:t>
      </w:r>
    </w:p>
    <w:p w:rsidR="008635E5" w:rsidP="008635E5" w:rsidRDefault="008635E5" w14:paraId="1E7E08F8" w14:textId="77777777">
      <w:pPr>
        <w:ind w:left="284"/>
      </w:pPr>
    </w:p>
    <w:p w:rsidR="008635E5" w:rsidP="008635E5" w:rsidRDefault="008635E5" w14:paraId="642ADAC6" w14:textId="77777777">
      <w:pPr>
        <w:ind w:left="284"/>
      </w:pPr>
      <w:r>
        <w:t>2. Er worden twee onderdelen toegevoegd, luidende:</w:t>
      </w:r>
    </w:p>
    <w:p w:rsidR="008635E5" w:rsidP="008635E5" w:rsidRDefault="008635E5" w14:paraId="5B17BF1C" w14:textId="77777777">
      <w:pPr>
        <w:ind w:left="284"/>
      </w:pPr>
    </w:p>
    <w:p w:rsidR="002E291E" w:rsidP="008635E5" w:rsidRDefault="008635E5" w14:paraId="6C608F8B" w14:textId="1F1D28C4">
      <w:pPr>
        <w:ind w:firstLine="284"/>
      </w:pPr>
      <w:r>
        <w:t xml:space="preserve">2. </w:t>
      </w:r>
      <w:r w:rsidR="002E291E">
        <w:t>H</w:t>
      </w:r>
      <w:r>
        <w:t xml:space="preserve">et tweede lid wordt </w:t>
      </w:r>
      <w:r w:rsidR="002E291E">
        <w:t>als volgt gewijzigd:</w:t>
      </w:r>
    </w:p>
    <w:p w:rsidR="002E291E" w:rsidP="008635E5" w:rsidRDefault="002E291E" w14:paraId="7FBB7589" w14:textId="77777777">
      <w:pPr>
        <w:ind w:firstLine="284"/>
      </w:pPr>
    </w:p>
    <w:p w:rsidR="002E291E" w:rsidP="008635E5" w:rsidRDefault="002E291E" w14:paraId="3039AE5E" w14:textId="45D87BE2">
      <w:pPr>
        <w:ind w:firstLine="284"/>
      </w:pPr>
      <w:r>
        <w:t xml:space="preserve">a. In de eerste zin wordt </w:t>
      </w:r>
      <w:r w:rsidR="008635E5">
        <w:t>na “zijn bagage” ingevoegd “en andere zaken van deze persoon”</w:t>
      </w:r>
      <w:r w:rsidR="00B97E6C">
        <w:t>.</w:t>
      </w:r>
      <w:r w:rsidR="008635E5">
        <w:t xml:space="preserve"> </w:t>
      </w:r>
    </w:p>
    <w:p w:rsidR="002E291E" w:rsidP="008635E5" w:rsidRDefault="002E291E" w14:paraId="4BE191E6" w14:textId="77777777">
      <w:pPr>
        <w:ind w:firstLine="284"/>
      </w:pPr>
    </w:p>
    <w:p w:rsidR="008635E5" w:rsidP="008635E5" w:rsidRDefault="002E291E" w14:paraId="390B8591" w14:textId="739E626E">
      <w:pPr>
        <w:ind w:firstLine="284"/>
      </w:pPr>
      <w:r>
        <w:t xml:space="preserve">b. Na de eerste zin wordt een </w:t>
      </w:r>
      <w:r w:rsidR="00DC541B">
        <w:t xml:space="preserve">zin </w:t>
      </w:r>
      <w:r>
        <w:t>in</w:t>
      </w:r>
      <w:r w:rsidR="00DC541B">
        <w:t>gevoegd</w:t>
      </w:r>
      <w:r>
        <w:t xml:space="preserve">, luidende: Deze bevoegdheid kan tevens worden gebruikt om vast te stellen </w:t>
      </w:r>
      <w:r w:rsidR="0085602F">
        <w:t>of de vreemdeling</w:t>
      </w:r>
      <w:r w:rsidR="001A2A32">
        <w:t xml:space="preserve"> afkomstig is uit een veilig land</w:t>
      </w:r>
      <w:r w:rsidR="00A22775">
        <w:t xml:space="preserve"> van herkomst en voor onderzoek</w:t>
      </w:r>
      <w:r>
        <w:t xml:space="preserve"> indien er concrete aanwijzingen zijn dat er ten aanzien van de vreemdeling sprake is van het gebruik van </w:t>
      </w:r>
      <w:r w:rsidR="00F91821">
        <w:t>routes die gebruikt worden voor mensenhandel</w:t>
      </w:r>
      <w:r w:rsidR="0094207C">
        <w:t xml:space="preserve"> of mensensmokkel</w:t>
      </w:r>
      <w:r>
        <w:t xml:space="preserve"> of betrokkenheid hierbij, voor zover dat onderzoek noodzakelijk is voor en in een redelijke verhouding staat tot het doel om vast te stellen of die aanwijzingen kloppen.</w:t>
      </w:r>
      <w:r w:rsidR="008635E5">
        <w:t xml:space="preserve">”. </w:t>
      </w:r>
    </w:p>
    <w:p w:rsidR="008635E5" w:rsidP="008635E5" w:rsidRDefault="008635E5" w14:paraId="66540BB0" w14:textId="77777777"/>
    <w:p w:rsidR="008635E5" w:rsidP="008635E5" w:rsidRDefault="006E1EDB" w14:paraId="41515F37" w14:textId="62B2E4A0">
      <w:pPr>
        <w:ind w:firstLine="284"/>
      </w:pPr>
      <w:r>
        <w:t>3</w:t>
      </w:r>
      <w:r w:rsidR="008635E5">
        <w:t>. Er wordt een lid toegevoegd, luidende:</w:t>
      </w:r>
    </w:p>
    <w:p w:rsidR="008635E5" w:rsidP="008635E5" w:rsidRDefault="008635E5" w14:paraId="69BE999E" w14:textId="5680D90C">
      <w:pPr>
        <w:ind w:firstLine="284"/>
      </w:pPr>
      <w:r>
        <w:t>4</w:t>
      </w:r>
      <w:r w:rsidRPr="002105F7">
        <w:t xml:space="preserve">. Bij algemene maatregel van bestuur wordt bepaald hoe </w:t>
      </w:r>
      <w:r>
        <w:t xml:space="preserve">de ambtenaren bedoeld in het tweede </w:t>
      </w:r>
      <w:r w:rsidR="006E1EDB">
        <w:t xml:space="preserve">en </w:t>
      </w:r>
      <w:r>
        <w:t>derde lid waarborgen dat het onderzoek van gegevensdragers geen grotere inbreuk maakt op het privéleven van de vreemdeling dan noodzakelijk is voor de in die leden genoemde doelen. De ambtenaren motiveren schriftelijk op welke wijze deze afweging heeft plaatsgevonden.</w:t>
      </w:r>
    </w:p>
    <w:p w:rsidR="00B0664E" w:rsidP="001056DA" w:rsidRDefault="00B0664E" w14:paraId="34823289" w14:textId="50183E08">
      <w:pPr>
        <w:tabs>
          <w:tab w:val="left" w:pos="405"/>
        </w:tabs>
      </w:pPr>
    </w:p>
    <w:p w:rsidR="00E63249" w:rsidP="00E63249" w:rsidRDefault="00E63249" w14:paraId="0BBEE2F5" w14:textId="31F8E551">
      <w:r>
        <w:tab/>
      </w:r>
    </w:p>
    <w:p w:rsidRPr="00EA69AC" w:rsidR="00E63249" w:rsidP="00E63249" w:rsidRDefault="00E63249" w14:paraId="3515781E" w14:textId="77777777">
      <w:pPr>
        <w:rPr>
          <w:b/>
        </w:rPr>
      </w:pPr>
      <w:r w:rsidRPr="00EA69AC">
        <w:rPr>
          <w:b/>
        </w:rPr>
        <w:t>Toelichting</w:t>
      </w:r>
    </w:p>
    <w:p w:rsidRPr="001056DA" w:rsidR="00E63249" w:rsidP="00E63249" w:rsidRDefault="00E63249" w14:paraId="13ADE9B2" w14:textId="77777777">
      <w:pPr>
        <w:rPr>
          <w:color w:val="000000" w:themeColor="text1"/>
        </w:rPr>
      </w:pPr>
    </w:p>
    <w:p w:rsidRPr="00D75DB3" w:rsidR="00B01333" w:rsidP="00B01333" w:rsidRDefault="00B01333" w14:paraId="1E9262A8" w14:textId="77777777">
      <w:pPr>
        <w:rPr>
          <w:color w:val="000000" w:themeColor="text1"/>
          <w:szCs w:val="24"/>
        </w:rPr>
      </w:pPr>
      <w:r w:rsidRPr="00D75DB3">
        <w:rPr>
          <w:color w:val="000000" w:themeColor="text1"/>
          <w:szCs w:val="24"/>
        </w:rPr>
        <w:t>Dit amendement heeft twee doelen. Ten eerste wordt een expliciete en beperkte uitzonderingsgrond gecreëerd om in individuele zaken gegevensdragers van vreemdelingen te kunnen onderzoeken met het oog op het in kaart brengen en bestrijden van routes voor mensensmokkel en mensenhandel, wanneer daar concrete aanwijzingen voor zijn. Ten tweede wordt de bestaande bevoegdheid om gegevensdragers te onderzoeken beter benut voor een droge, feitelijke verificatie van verklaringen over herkomst en doorreis, waaronder de vraag of de vreemdeling afkomstig is uit een veilig land van herkomst.​</w:t>
      </w:r>
    </w:p>
    <w:p w:rsidRPr="00D75DB3" w:rsidR="00B01333" w:rsidP="00B01333" w:rsidRDefault="00B01333" w14:paraId="1921A2AC" w14:textId="77777777">
      <w:pPr>
        <w:rPr>
          <w:color w:val="000000" w:themeColor="text1"/>
          <w:szCs w:val="24"/>
        </w:rPr>
      </w:pPr>
    </w:p>
    <w:p w:rsidRPr="00D75DB3" w:rsidR="00B01333" w:rsidP="00B01333" w:rsidRDefault="00B01333" w14:paraId="70DF98C6" w14:textId="77777777">
      <w:pPr>
        <w:rPr>
          <w:color w:val="000000" w:themeColor="text1"/>
          <w:szCs w:val="24"/>
        </w:rPr>
      </w:pPr>
      <w:r w:rsidRPr="00D75DB3">
        <w:rPr>
          <w:color w:val="000000" w:themeColor="text1"/>
          <w:szCs w:val="24"/>
        </w:rPr>
        <w:t xml:space="preserve">De indieners achten het van groot belang dat de Nederlandse autoriteiten over een heldere en juridisch houdbare basis beschikken om in concrete dossiers zicht te krijgen op de gebruikte smokkelroutes en op de </w:t>
      </w:r>
      <w:r w:rsidRPr="00D75DB3">
        <w:rPr>
          <w:color w:val="000000" w:themeColor="text1"/>
          <w:szCs w:val="24"/>
        </w:rPr>
        <w:lastRenderedPageBreak/>
        <w:t xml:space="preserve">waarheid van verklaringen over reisroute en herkomst. Die informatie is noodzakelijk om misbruik van de asielprocedure tegen te gaan, mensensmokkelnetwerken te doorbreken en het beleid ten aanzien van veilige landen en doorreislanden effectief te kunnen uitvoeren. Tegelijkertijd moet elke inbreuk op de persoonlijke levenssfeer van de vreemdeling strikt </w:t>
      </w:r>
      <w:proofErr w:type="spellStart"/>
      <w:r w:rsidRPr="00D75DB3">
        <w:rPr>
          <w:color w:val="000000" w:themeColor="text1"/>
          <w:szCs w:val="24"/>
        </w:rPr>
        <w:t>doelgebonden</w:t>
      </w:r>
      <w:proofErr w:type="spellEnd"/>
      <w:r w:rsidRPr="00D75DB3">
        <w:rPr>
          <w:color w:val="000000" w:themeColor="text1"/>
          <w:szCs w:val="24"/>
        </w:rPr>
        <w:t>, noodzakelijk en proportioneel zijn.</w:t>
      </w:r>
    </w:p>
    <w:p w:rsidRPr="00D75DB3" w:rsidR="00A3083D" w:rsidP="00B01333" w:rsidRDefault="00A3083D" w14:paraId="6A591169" w14:textId="77777777">
      <w:pPr>
        <w:rPr>
          <w:color w:val="000000" w:themeColor="text1"/>
          <w:szCs w:val="24"/>
        </w:rPr>
      </w:pPr>
    </w:p>
    <w:p w:rsidRPr="00D75DB3" w:rsidR="00B01333" w:rsidP="00B01333" w:rsidRDefault="00B01333" w14:paraId="4CF4EAA6" w14:textId="34BA09CA">
      <w:pPr>
        <w:rPr>
          <w:color w:val="000000" w:themeColor="text1"/>
          <w:szCs w:val="24"/>
        </w:rPr>
      </w:pPr>
      <w:r w:rsidRPr="00D75DB3">
        <w:rPr>
          <w:color w:val="000000" w:themeColor="text1"/>
          <w:szCs w:val="24"/>
        </w:rPr>
        <w:t>De Afdeling heeft in haar uitspraak van 3 april 2024 geoordeeld dat artikel 59, achtste lid, van de Vreemdelingenwet 2000 wel een begin van een grondslag biedt voor het zonder toestemming onderzoeken van mobiele telefoons, maar dat deze grondslag onvoldoende duidelijk en nauwkeurig is en onvoldoende bescherming biedt tegen willekeur. Zo schrijft de huidige bepaling niet voor in welke omstandigheden en onder welke voorwaarden een telefoon mag worden onderzocht, en ontbreekt een verplichting tot schriftelijke motivering, waardoor rechterlijke toetsing wordt bemoeilijkt.</w:t>
      </w:r>
    </w:p>
    <w:p w:rsidRPr="00D75DB3" w:rsidR="00A3083D" w:rsidP="00B01333" w:rsidRDefault="00A3083D" w14:paraId="2B78B8FE" w14:textId="77777777">
      <w:pPr>
        <w:rPr>
          <w:color w:val="000000" w:themeColor="text1"/>
          <w:szCs w:val="24"/>
        </w:rPr>
      </w:pPr>
    </w:p>
    <w:p w:rsidRPr="00D75DB3" w:rsidR="00B01333" w:rsidP="00B01333" w:rsidRDefault="00B01333" w14:paraId="6ADAD2EB" w14:textId="77777777">
      <w:pPr>
        <w:rPr>
          <w:color w:val="000000" w:themeColor="text1"/>
          <w:szCs w:val="24"/>
        </w:rPr>
      </w:pPr>
      <w:r w:rsidRPr="00D75DB3">
        <w:rPr>
          <w:color w:val="000000" w:themeColor="text1"/>
          <w:szCs w:val="24"/>
        </w:rPr>
        <w:t>Met dit amendement wordt de bestaande bepaling langs drie lijnen verduidelijkt en aangescherpt. Allereerst wordt expliciet gemaakt dat de bevoegdheid zich uitstrekt tot de bagage en andere zaken van de vreemdeling, waaronder in de praktijk persoonsgegevens dragende apparatuur zoals mobiele telefoons en laptops. Daarmee wordt aangesloten bij de wetsgeschiedenis, waarin al is aangegeven dat mobiele telefoons onder het begrip “zaken” vallen, maar wordt dit nu in de wettekst zelf vastgelegd.​​</w:t>
      </w:r>
    </w:p>
    <w:p w:rsidRPr="00D75DB3" w:rsidR="00B01333" w:rsidP="00B01333" w:rsidRDefault="00B01333" w14:paraId="67DA81CC" w14:textId="77777777">
      <w:pPr>
        <w:rPr>
          <w:color w:val="000000" w:themeColor="text1"/>
          <w:szCs w:val="24"/>
        </w:rPr>
      </w:pPr>
      <w:r w:rsidRPr="00D75DB3">
        <w:rPr>
          <w:color w:val="000000" w:themeColor="text1"/>
          <w:szCs w:val="24"/>
        </w:rPr>
        <w:t>Vervolgens wordt de doelbinding van de bevoegdheid concreet gemaakt. In het tweede lid wordt uitdrukkelijk bepaald dat de bevoegdheid mede kan worden gebruikt om vast te stellen of de vreemdeling afkomstig is uit een veilig land van herkomst en voor onderzoek indien er concrete aanwijzingen zijn dat ten aanzien van de vreemdeling sprake is van het gebruik van routes die worden benut voor mensenhandel of mensensmokkel, dan wel van betrokkenheid daarbij, voor zover dat onderzoek noodzakelijk is en in redelijke verhouding staat tot het doel om die aanwijzingen te verifiëren. Het gaat daarmee om een uitzonderingsgrond, gericht op twee nauw omschreven doelen in individuele zaken, en niet om een generieke of statistische gegevensverzameling.​</w:t>
      </w:r>
    </w:p>
    <w:p w:rsidRPr="00D75DB3" w:rsidR="00A3083D" w:rsidP="00B01333" w:rsidRDefault="00A3083D" w14:paraId="7EE96810" w14:textId="77777777">
      <w:pPr>
        <w:rPr>
          <w:color w:val="000000" w:themeColor="text1"/>
          <w:szCs w:val="24"/>
        </w:rPr>
      </w:pPr>
    </w:p>
    <w:p w:rsidRPr="00D75DB3" w:rsidR="00B01333" w:rsidP="00B01333" w:rsidRDefault="00B01333" w14:paraId="44B255D6" w14:textId="77777777">
      <w:pPr>
        <w:rPr>
          <w:color w:val="000000" w:themeColor="text1"/>
          <w:szCs w:val="24"/>
        </w:rPr>
      </w:pPr>
      <w:r w:rsidRPr="00D75DB3">
        <w:rPr>
          <w:color w:val="000000" w:themeColor="text1"/>
          <w:szCs w:val="24"/>
        </w:rPr>
        <w:t>Ten slotte wordt in een nieuw vierde lid vastgelegd dat het onderzoek aan gegevensdragers geen grotere inbreuk mag maken op het privéleven van de vreemdeling dan noodzakelijk voor de in de wet genoemde doelen, en dat ambtenaren schriftelijk motiveren op welke wijze deze afweging in het concrete geval heeft plaatsgevonden. Bij algemene maatregel van bestuur of ministeriële regeling worden nadere regels gesteld over de wijze waarop ambtenaren deze proportionaliteits- en noodzakelijkheidstoets uitvoeren en welke procedurele en organisatorische waarborgen daarbij gelden. Daarmee wordt uitvoering gegeven aan de eisen van duidelijkheid, voorspelbaarheid, doelbinding en rechterlijke controleerbaarheid zoals die door de Afdeling zijn geformuleerd.</w:t>
      </w:r>
    </w:p>
    <w:p w:rsidRPr="00D75DB3" w:rsidR="00A3083D" w:rsidP="00B01333" w:rsidRDefault="00A3083D" w14:paraId="1AE32537" w14:textId="77777777">
      <w:pPr>
        <w:rPr>
          <w:color w:val="000000" w:themeColor="text1"/>
          <w:szCs w:val="24"/>
        </w:rPr>
      </w:pPr>
    </w:p>
    <w:p w:rsidRPr="00D75DB3" w:rsidR="00B01333" w:rsidP="00B01333" w:rsidRDefault="00B01333" w14:paraId="0893CDB5" w14:textId="77777777">
      <w:pPr>
        <w:rPr>
          <w:color w:val="000000" w:themeColor="text1"/>
          <w:szCs w:val="24"/>
        </w:rPr>
      </w:pPr>
      <w:r w:rsidRPr="00D75DB3">
        <w:rPr>
          <w:color w:val="000000" w:themeColor="text1"/>
          <w:szCs w:val="24"/>
        </w:rPr>
        <w:t>De indieners zijn van oordeel dat met deze aanpassingen een heldere en begrensde wettelijke grondslag ontstaat waarmee enerzijds effectiever kan worden opgetreden tegen mensensmokkel en misbruik van de asielprocedure, en anderzijds de persoonlijke levenssfeer van de vreemdeling beter wordt beschermd dan onder het huidige, door de Afdeling bekritiseerde kader.</w:t>
      </w:r>
    </w:p>
    <w:p w:rsidRPr="001056DA" w:rsidR="00E63249" w:rsidP="00E63249" w:rsidRDefault="00E63249" w14:paraId="044A388D" w14:textId="77777777">
      <w:pPr>
        <w:rPr>
          <w:color w:val="000000" w:themeColor="text1"/>
          <w:szCs w:val="24"/>
        </w:rPr>
      </w:pPr>
    </w:p>
    <w:p w:rsidRPr="00D75DB3" w:rsidR="00E63249" w:rsidP="00E63249" w:rsidRDefault="00E63249" w14:paraId="2E68243C" w14:textId="77777777">
      <w:pPr>
        <w:rPr>
          <w:color w:val="000000" w:themeColor="text1"/>
          <w:szCs w:val="24"/>
        </w:rPr>
      </w:pPr>
      <w:r w:rsidRPr="00D75DB3">
        <w:rPr>
          <w:color w:val="000000" w:themeColor="text1"/>
          <w:szCs w:val="24"/>
        </w:rPr>
        <w:t>Boomsma</w:t>
      </w:r>
    </w:p>
    <w:p w:rsidR="00F84B3F" w:rsidP="00E63249" w:rsidRDefault="00F84B3F" w14:paraId="5BA169CE" w14:textId="34B436BC">
      <w:pPr>
        <w:rPr>
          <w:color w:val="000000" w:themeColor="text1"/>
          <w:szCs w:val="24"/>
        </w:rPr>
      </w:pPr>
      <w:r w:rsidRPr="00D75DB3">
        <w:rPr>
          <w:color w:val="000000" w:themeColor="text1"/>
          <w:szCs w:val="24"/>
        </w:rPr>
        <w:t>Ceulemans</w:t>
      </w:r>
    </w:p>
    <w:p w:rsidR="007173D2" w:rsidP="00E63249" w:rsidRDefault="007173D2" w14:paraId="5E448D34" w14:textId="3F24ABBE">
      <w:pPr>
        <w:rPr>
          <w:color w:val="000000" w:themeColor="text1"/>
          <w:szCs w:val="24"/>
        </w:rPr>
      </w:pPr>
      <w:r>
        <w:rPr>
          <w:color w:val="000000" w:themeColor="text1"/>
          <w:szCs w:val="24"/>
        </w:rPr>
        <w:t>Ellian</w:t>
      </w:r>
    </w:p>
    <w:p w:rsidRPr="001056DA" w:rsidR="007173D2" w:rsidP="00E63249" w:rsidRDefault="007173D2" w14:paraId="535DDFE0" w14:textId="76CCBA0B">
      <w:pPr>
        <w:rPr>
          <w:color w:val="000000" w:themeColor="text1"/>
          <w:szCs w:val="24"/>
        </w:rPr>
      </w:pPr>
      <w:r>
        <w:rPr>
          <w:color w:val="000000" w:themeColor="text1"/>
          <w:szCs w:val="24"/>
        </w:rPr>
        <w:t>Diederik van Dijk</w:t>
      </w:r>
    </w:p>
    <w:p w:rsidRPr="00CC7AC7" w:rsidR="00934984" w:rsidP="00E63249" w:rsidRDefault="00934984" w14:paraId="4FA2873D" w14:textId="77777777">
      <w:pPr>
        <w:ind w:firstLine="284"/>
        <w:rPr>
          <w:highlight w:val="yellow"/>
        </w:rPr>
      </w:pPr>
    </w:p>
    <w:sectPr w:rsidRPr="00CC7AC7" w:rsidR="00934984"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F0679" w14:textId="77777777" w:rsidR="008E67BB" w:rsidRDefault="008E67BB">
      <w:pPr>
        <w:spacing w:line="20" w:lineRule="exact"/>
      </w:pPr>
    </w:p>
  </w:endnote>
  <w:endnote w:type="continuationSeparator" w:id="0">
    <w:p w14:paraId="0EF730D2" w14:textId="77777777" w:rsidR="008E67BB" w:rsidRDefault="008E67BB">
      <w:pPr>
        <w:pStyle w:val="Amendement"/>
      </w:pPr>
      <w:r>
        <w:rPr>
          <w:b w:val="0"/>
        </w:rPr>
        <w:t xml:space="preserve"> </w:t>
      </w:r>
    </w:p>
  </w:endnote>
  <w:endnote w:type="continuationNotice" w:id="1">
    <w:p w14:paraId="1616EBA6" w14:textId="77777777" w:rsidR="008E67BB" w:rsidRDefault="008E67B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869E8" w14:textId="77777777" w:rsidR="008E67BB" w:rsidRDefault="008E67BB">
      <w:pPr>
        <w:pStyle w:val="Amendement"/>
      </w:pPr>
      <w:r>
        <w:rPr>
          <w:b w:val="0"/>
        </w:rPr>
        <w:separator/>
      </w:r>
    </w:p>
  </w:footnote>
  <w:footnote w:type="continuationSeparator" w:id="0">
    <w:p w14:paraId="524261A6" w14:textId="77777777" w:rsidR="008E67BB" w:rsidRDefault="008E67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5ABD"/>
    <w:multiLevelType w:val="multilevel"/>
    <w:tmpl w:val="984E7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D40C94"/>
    <w:multiLevelType w:val="hybridMultilevel"/>
    <w:tmpl w:val="49BAE2B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32C55E7F"/>
    <w:multiLevelType w:val="hybridMultilevel"/>
    <w:tmpl w:val="DCCC2540"/>
    <w:lvl w:ilvl="0" w:tplc="63D44F98">
      <w:start w:val="1"/>
      <w:numFmt w:val="bullet"/>
      <w:lvlText w:val=""/>
      <w:lvlJc w:val="left"/>
      <w:pPr>
        <w:ind w:left="1080" w:hanging="360"/>
      </w:pPr>
      <w:rPr>
        <w:rFonts w:ascii="Symbol" w:hAnsi="Symbol"/>
      </w:rPr>
    </w:lvl>
    <w:lvl w:ilvl="1" w:tplc="F62A3640">
      <w:start w:val="1"/>
      <w:numFmt w:val="bullet"/>
      <w:lvlText w:val=""/>
      <w:lvlJc w:val="left"/>
      <w:pPr>
        <w:ind w:left="1080" w:hanging="360"/>
      </w:pPr>
      <w:rPr>
        <w:rFonts w:ascii="Symbol" w:hAnsi="Symbol"/>
      </w:rPr>
    </w:lvl>
    <w:lvl w:ilvl="2" w:tplc="B8D65774">
      <w:start w:val="1"/>
      <w:numFmt w:val="bullet"/>
      <w:lvlText w:val=""/>
      <w:lvlJc w:val="left"/>
      <w:pPr>
        <w:ind w:left="1080" w:hanging="360"/>
      </w:pPr>
      <w:rPr>
        <w:rFonts w:ascii="Symbol" w:hAnsi="Symbol"/>
      </w:rPr>
    </w:lvl>
    <w:lvl w:ilvl="3" w:tplc="5506179C">
      <w:start w:val="1"/>
      <w:numFmt w:val="bullet"/>
      <w:lvlText w:val=""/>
      <w:lvlJc w:val="left"/>
      <w:pPr>
        <w:ind w:left="1080" w:hanging="360"/>
      </w:pPr>
      <w:rPr>
        <w:rFonts w:ascii="Symbol" w:hAnsi="Symbol"/>
      </w:rPr>
    </w:lvl>
    <w:lvl w:ilvl="4" w:tplc="439C3DC2">
      <w:start w:val="1"/>
      <w:numFmt w:val="bullet"/>
      <w:lvlText w:val=""/>
      <w:lvlJc w:val="left"/>
      <w:pPr>
        <w:ind w:left="1080" w:hanging="360"/>
      </w:pPr>
      <w:rPr>
        <w:rFonts w:ascii="Symbol" w:hAnsi="Symbol"/>
      </w:rPr>
    </w:lvl>
    <w:lvl w:ilvl="5" w:tplc="BF42B6A2">
      <w:start w:val="1"/>
      <w:numFmt w:val="bullet"/>
      <w:lvlText w:val=""/>
      <w:lvlJc w:val="left"/>
      <w:pPr>
        <w:ind w:left="1080" w:hanging="360"/>
      </w:pPr>
      <w:rPr>
        <w:rFonts w:ascii="Symbol" w:hAnsi="Symbol"/>
      </w:rPr>
    </w:lvl>
    <w:lvl w:ilvl="6" w:tplc="0DC49AD4">
      <w:start w:val="1"/>
      <w:numFmt w:val="bullet"/>
      <w:lvlText w:val=""/>
      <w:lvlJc w:val="left"/>
      <w:pPr>
        <w:ind w:left="1080" w:hanging="360"/>
      </w:pPr>
      <w:rPr>
        <w:rFonts w:ascii="Symbol" w:hAnsi="Symbol"/>
      </w:rPr>
    </w:lvl>
    <w:lvl w:ilvl="7" w:tplc="466E4E70">
      <w:start w:val="1"/>
      <w:numFmt w:val="bullet"/>
      <w:lvlText w:val=""/>
      <w:lvlJc w:val="left"/>
      <w:pPr>
        <w:ind w:left="1080" w:hanging="360"/>
      </w:pPr>
      <w:rPr>
        <w:rFonts w:ascii="Symbol" w:hAnsi="Symbol"/>
      </w:rPr>
    </w:lvl>
    <w:lvl w:ilvl="8" w:tplc="B400DA5E">
      <w:start w:val="1"/>
      <w:numFmt w:val="bullet"/>
      <w:lvlText w:val=""/>
      <w:lvlJc w:val="left"/>
      <w:pPr>
        <w:ind w:left="1080" w:hanging="360"/>
      </w:pPr>
      <w:rPr>
        <w:rFonts w:ascii="Symbol" w:hAnsi="Symbol"/>
      </w:rPr>
    </w:lvl>
  </w:abstractNum>
  <w:abstractNum w:abstractNumId="3" w15:restartNumberingAfterBreak="0">
    <w:nsid w:val="33EE7DAC"/>
    <w:multiLevelType w:val="multilevel"/>
    <w:tmpl w:val="1AFC8E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806548"/>
    <w:multiLevelType w:val="hybridMultilevel"/>
    <w:tmpl w:val="AC70BDC4"/>
    <w:lvl w:ilvl="0" w:tplc="88C8FEAA">
      <w:start w:val="1"/>
      <w:numFmt w:val="bullet"/>
      <w:lvlText w:val=""/>
      <w:lvlJc w:val="left"/>
      <w:pPr>
        <w:ind w:left="1080" w:hanging="360"/>
      </w:pPr>
      <w:rPr>
        <w:rFonts w:ascii="Symbol" w:hAnsi="Symbol"/>
      </w:rPr>
    </w:lvl>
    <w:lvl w:ilvl="1" w:tplc="84B45FDA">
      <w:start w:val="1"/>
      <w:numFmt w:val="bullet"/>
      <w:lvlText w:val=""/>
      <w:lvlJc w:val="left"/>
      <w:pPr>
        <w:ind w:left="1080" w:hanging="360"/>
      </w:pPr>
      <w:rPr>
        <w:rFonts w:ascii="Symbol" w:hAnsi="Symbol"/>
      </w:rPr>
    </w:lvl>
    <w:lvl w:ilvl="2" w:tplc="8384C4AC">
      <w:start w:val="1"/>
      <w:numFmt w:val="bullet"/>
      <w:lvlText w:val=""/>
      <w:lvlJc w:val="left"/>
      <w:pPr>
        <w:ind w:left="1080" w:hanging="360"/>
      </w:pPr>
      <w:rPr>
        <w:rFonts w:ascii="Symbol" w:hAnsi="Symbol"/>
      </w:rPr>
    </w:lvl>
    <w:lvl w:ilvl="3" w:tplc="70FA9460">
      <w:start w:val="1"/>
      <w:numFmt w:val="bullet"/>
      <w:lvlText w:val=""/>
      <w:lvlJc w:val="left"/>
      <w:pPr>
        <w:ind w:left="1080" w:hanging="360"/>
      </w:pPr>
      <w:rPr>
        <w:rFonts w:ascii="Symbol" w:hAnsi="Symbol"/>
      </w:rPr>
    </w:lvl>
    <w:lvl w:ilvl="4" w:tplc="9D2E87D4">
      <w:start w:val="1"/>
      <w:numFmt w:val="bullet"/>
      <w:lvlText w:val=""/>
      <w:lvlJc w:val="left"/>
      <w:pPr>
        <w:ind w:left="1080" w:hanging="360"/>
      </w:pPr>
      <w:rPr>
        <w:rFonts w:ascii="Symbol" w:hAnsi="Symbol"/>
      </w:rPr>
    </w:lvl>
    <w:lvl w:ilvl="5" w:tplc="537AD9A0">
      <w:start w:val="1"/>
      <w:numFmt w:val="bullet"/>
      <w:lvlText w:val=""/>
      <w:lvlJc w:val="left"/>
      <w:pPr>
        <w:ind w:left="1080" w:hanging="360"/>
      </w:pPr>
      <w:rPr>
        <w:rFonts w:ascii="Symbol" w:hAnsi="Symbol"/>
      </w:rPr>
    </w:lvl>
    <w:lvl w:ilvl="6" w:tplc="65B8CDAC">
      <w:start w:val="1"/>
      <w:numFmt w:val="bullet"/>
      <w:lvlText w:val=""/>
      <w:lvlJc w:val="left"/>
      <w:pPr>
        <w:ind w:left="1080" w:hanging="360"/>
      </w:pPr>
      <w:rPr>
        <w:rFonts w:ascii="Symbol" w:hAnsi="Symbol"/>
      </w:rPr>
    </w:lvl>
    <w:lvl w:ilvl="7" w:tplc="DC16D2FC">
      <w:start w:val="1"/>
      <w:numFmt w:val="bullet"/>
      <w:lvlText w:val=""/>
      <w:lvlJc w:val="left"/>
      <w:pPr>
        <w:ind w:left="1080" w:hanging="360"/>
      </w:pPr>
      <w:rPr>
        <w:rFonts w:ascii="Symbol" w:hAnsi="Symbol"/>
      </w:rPr>
    </w:lvl>
    <w:lvl w:ilvl="8" w:tplc="AFCA5598">
      <w:start w:val="1"/>
      <w:numFmt w:val="bullet"/>
      <w:lvlText w:val=""/>
      <w:lvlJc w:val="left"/>
      <w:pPr>
        <w:ind w:left="1080" w:hanging="360"/>
      </w:pPr>
      <w:rPr>
        <w:rFonts w:ascii="Symbol" w:hAnsi="Symbol"/>
      </w:rPr>
    </w:lvl>
  </w:abstractNum>
  <w:abstractNum w:abstractNumId="5" w15:restartNumberingAfterBreak="0">
    <w:nsid w:val="538267E1"/>
    <w:multiLevelType w:val="multilevel"/>
    <w:tmpl w:val="CB8C60F2"/>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lvl>
    <w:lvl w:ilvl="2">
      <w:start w:val="3"/>
      <w:numFmt w:val="decimal"/>
      <w:lvlText w:val="%3"/>
      <w:lvlJc w:val="left"/>
      <w:pPr>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09E4BD5"/>
    <w:multiLevelType w:val="multilevel"/>
    <w:tmpl w:val="EB6E7A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4541065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5877370">
    <w:abstractNumId w:val="6"/>
  </w:num>
  <w:num w:numId="3" w16cid:durableId="946162050">
    <w:abstractNumId w:val="5"/>
    <w:lvlOverride w:ilvl="0"/>
    <w:lvlOverride w:ilvl="1">
      <w:startOverride w:val="3"/>
    </w:lvlOverride>
    <w:lvlOverride w:ilvl="2">
      <w:startOverride w:val="3"/>
    </w:lvlOverride>
    <w:lvlOverride w:ilvl="3"/>
    <w:lvlOverride w:ilvl="4"/>
    <w:lvlOverride w:ilvl="5"/>
    <w:lvlOverride w:ilvl="6"/>
    <w:lvlOverride w:ilvl="7"/>
    <w:lvlOverride w:ilvl="8"/>
  </w:num>
  <w:num w:numId="4" w16cid:durableId="1452899744">
    <w:abstractNumId w:val="3"/>
  </w:num>
  <w:num w:numId="5" w16cid:durableId="62483789">
    <w:abstractNumId w:val="4"/>
  </w:num>
  <w:num w:numId="6" w16cid:durableId="1999964067">
    <w:abstractNumId w:val="2"/>
  </w:num>
  <w:num w:numId="7" w16cid:durableId="352920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22E"/>
    <w:rsid w:val="00000CE7"/>
    <w:rsid w:val="0000518D"/>
    <w:rsid w:val="000121C0"/>
    <w:rsid w:val="000126B3"/>
    <w:rsid w:val="00022CA6"/>
    <w:rsid w:val="00022D45"/>
    <w:rsid w:val="000455DF"/>
    <w:rsid w:val="00050BC5"/>
    <w:rsid w:val="00052244"/>
    <w:rsid w:val="000558EE"/>
    <w:rsid w:val="0005624D"/>
    <w:rsid w:val="00065369"/>
    <w:rsid w:val="00066F48"/>
    <w:rsid w:val="00072CFC"/>
    <w:rsid w:val="0007471A"/>
    <w:rsid w:val="00081F54"/>
    <w:rsid w:val="00087D1F"/>
    <w:rsid w:val="00096A01"/>
    <w:rsid w:val="00096B6B"/>
    <w:rsid w:val="0009709B"/>
    <w:rsid w:val="000A3641"/>
    <w:rsid w:val="000B71F3"/>
    <w:rsid w:val="000C2779"/>
    <w:rsid w:val="000D17BF"/>
    <w:rsid w:val="000D76BE"/>
    <w:rsid w:val="000E0254"/>
    <w:rsid w:val="000E734B"/>
    <w:rsid w:val="000F5C60"/>
    <w:rsid w:val="00101E2D"/>
    <w:rsid w:val="001056DA"/>
    <w:rsid w:val="00113D54"/>
    <w:rsid w:val="00114E40"/>
    <w:rsid w:val="00117268"/>
    <w:rsid w:val="0011769E"/>
    <w:rsid w:val="00122086"/>
    <w:rsid w:val="001257D3"/>
    <w:rsid w:val="00126914"/>
    <w:rsid w:val="001310C6"/>
    <w:rsid w:val="0014268B"/>
    <w:rsid w:val="0015235E"/>
    <w:rsid w:val="001570B9"/>
    <w:rsid w:val="00157CAF"/>
    <w:rsid w:val="00157F1D"/>
    <w:rsid w:val="001656EE"/>
    <w:rsid w:val="001660E7"/>
    <w:rsid w:val="0016653D"/>
    <w:rsid w:val="00167B90"/>
    <w:rsid w:val="001709B2"/>
    <w:rsid w:val="00180434"/>
    <w:rsid w:val="00187614"/>
    <w:rsid w:val="00193164"/>
    <w:rsid w:val="001A2A32"/>
    <w:rsid w:val="001A4BBC"/>
    <w:rsid w:val="001B23A6"/>
    <w:rsid w:val="001B4362"/>
    <w:rsid w:val="001C4D20"/>
    <w:rsid w:val="001C5D6F"/>
    <w:rsid w:val="001D56AF"/>
    <w:rsid w:val="001E0E21"/>
    <w:rsid w:val="001F7BC5"/>
    <w:rsid w:val="00200252"/>
    <w:rsid w:val="0020099B"/>
    <w:rsid w:val="002105F7"/>
    <w:rsid w:val="00212369"/>
    <w:rsid w:val="00212417"/>
    <w:rsid w:val="00212E0A"/>
    <w:rsid w:val="002153B0"/>
    <w:rsid w:val="002159FB"/>
    <w:rsid w:val="0021777F"/>
    <w:rsid w:val="00241989"/>
    <w:rsid w:val="00241DD0"/>
    <w:rsid w:val="00253326"/>
    <w:rsid w:val="00253641"/>
    <w:rsid w:val="00256B4D"/>
    <w:rsid w:val="00272AF0"/>
    <w:rsid w:val="002771A5"/>
    <w:rsid w:val="00283069"/>
    <w:rsid w:val="00285A37"/>
    <w:rsid w:val="00295C5A"/>
    <w:rsid w:val="002A0713"/>
    <w:rsid w:val="002A24C8"/>
    <w:rsid w:val="002B35CC"/>
    <w:rsid w:val="002E291E"/>
    <w:rsid w:val="002E3AD0"/>
    <w:rsid w:val="002E4EA5"/>
    <w:rsid w:val="002E5FB6"/>
    <w:rsid w:val="002E7720"/>
    <w:rsid w:val="002F39FA"/>
    <w:rsid w:val="002F74B2"/>
    <w:rsid w:val="0031402F"/>
    <w:rsid w:val="00321E65"/>
    <w:rsid w:val="00330AE7"/>
    <w:rsid w:val="003337B6"/>
    <w:rsid w:val="0033405D"/>
    <w:rsid w:val="00334C9F"/>
    <w:rsid w:val="003549B5"/>
    <w:rsid w:val="003676EB"/>
    <w:rsid w:val="003739C8"/>
    <w:rsid w:val="00387E95"/>
    <w:rsid w:val="003A0D5F"/>
    <w:rsid w:val="003A75B7"/>
    <w:rsid w:val="003B02E4"/>
    <w:rsid w:val="003B396C"/>
    <w:rsid w:val="003C21AC"/>
    <w:rsid w:val="003C29D2"/>
    <w:rsid w:val="003C5218"/>
    <w:rsid w:val="003C7876"/>
    <w:rsid w:val="003D4059"/>
    <w:rsid w:val="003D46D0"/>
    <w:rsid w:val="003D73C0"/>
    <w:rsid w:val="003E2308"/>
    <w:rsid w:val="003E2F98"/>
    <w:rsid w:val="003E2FE6"/>
    <w:rsid w:val="003E5CAB"/>
    <w:rsid w:val="003E5EE5"/>
    <w:rsid w:val="003E75EC"/>
    <w:rsid w:val="003F6072"/>
    <w:rsid w:val="003F6FE7"/>
    <w:rsid w:val="0041083E"/>
    <w:rsid w:val="00410C11"/>
    <w:rsid w:val="00412414"/>
    <w:rsid w:val="0041270F"/>
    <w:rsid w:val="00413B00"/>
    <w:rsid w:val="0041457F"/>
    <w:rsid w:val="00415F3C"/>
    <w:rsid w:val="0042574B"/>
    <w:rsid w:val="004330ED"/>
    <w:rsid w:val="00436844"/>
    <w:rsid w:val="00437796"/>
    <w:rsid w:val="00454E90"/>
    <w:rsid w:val="00460E52"/>
    <w:rsid w:val="00464F64"/>
    <w:rsid w:val="004812CB"/>
    <w:rsid w:val="00481C91"/>
    <w:rsid w:val="00484913"/>
    <w:rsid w:val="004911E3"/>
    <w:rsid w:val="00493C84"/>
    <w:rsid w:val="00497D57"/>
    <w:rsid w:val="004A07DD"/>
    <w:rsid w:val="004A1E29"/>
    <w:rsid w:val="004A34D4"/>
    <w:rsid w:val="004A7DD4"/>
    <w:rsid w:val="004B50D8"/>
    <w:rsid w:val="004B5B90"/>
    <w:rsid w:val="004C2B89"/>
    <w:rsid w:val="004D5435"/>
    <w:rsid w:val="004D556E"/>
    <w:rsid w:val="004E4058"/>
    <w:rsid w:val="004F15FF"/>
    <w:rsid w:val="004F4C50"/>
    <w:rsid w:val="00501109"/>
    <w:rsid w:val="00507C02"/>
    <w:rsid w:val="00507CA3"/>
    <w:rsid w:val="0052758C"/>
    <w:rsid w:val="0053737D"/>
    <w:rsid w:val="00543C6D"/>
    <w:rsid w:val="00552CEA"/>
    <w:rsid w:val="005619C0"/>
    <w:rsid w:val="00566565"/>
    <w:rsid w:val="005703C9"/>
    <w:rsid w:val="00581B0C"/>
    <w:rsid w:val="005838E8"/>
    <w:rsid w:val="00587724"/>
    <w:rsid w:val="00587C51"/>
    <w:rsid w:val="00597703"/>
    <w:rsid w:val="005A4294"/>
    <w:rsid w:val="005A6097"/>
    <w:rsid w:val="005B1DCC"/>
    <w:rsid w:val="005B46DA"/>
    <w:rsid w:val="005B7323"/>
    <w:rsid w:val="005C25B9"/>
    <w:rsid w:val="005D5861"/>
    <w:rsid w:val="005E2DAC"/>
    <w:rsid w:val="005F5EEF"/>
    <w:rsid w:val="00605746"/>
    <w:rsid w:val="00613B17"/>
    <w:rsid w:val="006267E6"/>
    <w:rsid w:val="006558D2"/>
    <w:rsid w:val="0067126D"/>
    <w:rsid w:val="006716F8"/>
    <w:rsid w:val="0067268B"/>
    <w:rsid w:val="00672D25"/>
    <w:rsid w:val="006738BC"/>
    <w:rsid w:val="00675BEE"/>
    <w:rsid w:val="0067757B"/>
    <w:rsid w:val="00695D0C"/>
    <w:rsid w:val="006A5715"/>
    <w:rsid w:val="006A6F4B"/>
    <w:rsid w:val="006B010D"/>
    <w:rsid w:val="006B64B8"/>
    <w:rsid w:val="006C68EA"/>
    <w:rsid w:val="006D0BDA"/>
    <w:rsid w:val="006D3548"/>
    <w:rsid w:val="006D3E69"/>
    <w:rsid w:val="006D7263"/>
    <w:rsid w:val="006E0971"/>
    <w:rsid w:val="006E1EDB"/>
    <w:rsid w:val="00710ECE"/>
    <w:rsid w:val="007173D2"/>
    <w:rsid w:val="00726CDB"/>
    <w:rsid w:val="007355F1"/>
    <w:rsid w:val="007414AE"/>
    <w:rsid w:val="007428FD"/>
    <w:rsid w:val="00747B89"/>
    <w:rsid w:val="00750BC0"/>
    <w:rsid w:val="0076557A"/>
    <w:rsid w:val="007709F6"/>
    <w:rsid w:val="0077507A"/>
    <w:rsid w:val="00781527"/>
    <w:rsid w:val="00782581"/>
    <w:rsid w:val="00783215"/>
    <w:rsid w:val="00787279"/>
    <w:rsid w:val="00795646"/>
    <w:rsid w:val="007965FC"/>
    <w:rsid w:val="007A2ABD"/>
    <w:rsid w:val="007A5611"/>
    <w:rsid w:val="007B5FEF"/>
    <w:rsid w:val="007B6FBB"/>
    <w:rsid w:val="007C08FA"/>
    <w:rsid w:val="007C18A7"/>
    <w:rsid w:val="007C334C"/>
    <w:rsid w:val="007D0902"/>
    <w:rsid w:val="007D2608"/>
    <w:rsid w:val="007E141C"/>
    <w:rsid w:val="007F33B5"/>
    <w:rsid w:val="007F444A"/>
    <w:rsid w:val="007F49F7"/>
    <w:rsid w:val="00804EBC"/>
    <w:rsid w:val="00813C66"/>
    <w:rsid w:val="008164E5"/>
    <w:rsid w:val="00822688"/>
    <w:rsid w:val="008235BD"/>
    <w:rsid w:val="00830081"/>
    <w:rsid w:val="00831230"/>
    <w:rsid w:val="00842A6A"/>
    <w:rsid w:val="00844009"/>
    <w:rsid w:val="00845AE6"/>
    <w:rsid w:val="008467D7"/>
    <w:rsid w:val="00851AAD"/>
    <w:rsid w:val="00852541"/>
    <w:rsid w:val="00853B7D"/>
    <w:rsid w:val="0085602F"/>
    <w:rsid w:val="008571A7"/>
    <w:rsid w:val="00861820"/>
    <w:rsid w:val="00861A6D"/>
    <w:rsid w:val="008635E5"/>
    <w:rsid w:val="00865D47"/>
    <w:rsid w:val="00867F4F"/>
    <w:rsid w:val="00871D40"/>
    <w:rsid w:val="0088452C"/>
    <w:rsid w:val="0089622E"/>
    <w:rsid w:val="008A4BC1"/>
    <w:rsid w:val="008A75B6"/>
    <w:rsid w:val="008B5A37"/>
    <w:rsid w:val="008B6DA4"/>
    <w:rsid w:val="008B7BB6"/>
    <w:rsid w:val="008C217C"/>
    <w:rsid w:val="008C6F81"/>
    <w:rsid w:val="008D130F"/>
    <w:rsid w:val="008D4938"/>
    <w:rsid w:val="008D5DEA"/>
    <w:rsid w:val="008D7DCB"/>
    <w:rsid w:val="008E0BD2"/>
    <w:rsid w:val="008E0DFB"/>
    <w:rsid w:val="008E67BB"/>
    <w:rsid w:val="008F0F28"/>
    <w:rsid w:val="009055DB"/>
    <w:rsid w:val="00905ECB"/>
    <w:rsid w:val="0091275C"/>
    <w:rsid w:val="00930FD1"/>
    <w:rsid w:val="009319A5"/>
    <w:rsid w:val="00934984"/>
    <w:rsid w:val="0094207C"/>
    <w:rsid w:val="009441AC"/>
    <w:rsid w:val="009521A9"/>
    <w:rsid w:val="0095467F"/>
    <w:rsid w:val="00960366"/>
    <w:rsid w:val="0096165D"/>
    <w:rsid w:val="00970214"/>
    <w:rsid w:val="00983A62"/>
    <w:rsid w:val="00987DFE"/>
    <w:rsid w:val="00991BB4"/>
    <w:rsid w:val="009938B4"/>
    <w:rsid w:val="00993E91"/>
    <w:rsid w:val="009A409F"/>
    <w:rsid w:val="009A64FB"/>
    <w:rsid w:val="009B5845"/>
    <w:rsid w:val="009C0C1F"/>
    <w:rsid w:val="009C4A34"/>
    <w:rsid w:val="009C78C4"/>
    <w:rsid w:val="009D6886"/>
    <w:rsid w:val="009E6A6A"/>
    <w:rsid w:val="00A02958"/>
    <w:rsid w:val="00A10505"/>
    <w:rsid w:val="00A11A60"/>
    <w:rsid w:val="00A1288B"/>
    <w:rsid w:val="00A15E80"/>
    <w:rsid w:val="00A219BB"/>
    <w:rsid w:val="00A22775"/>
    <w:rsid w:val="00A3083D"/>
    <w:rsid w:val="00A311C2"/>
    <w:rsid w:val="00A51050"/>
    <w:rsid w:val="00A53203"/>
    <w:rsid w:val="00A55803"/>
    <w:rsid w:val="00A61FE3"/>
    <w:rsid w:val="00A62CCD"/>
    <w:rsid w:val="00A65AEA"/>
    <w:rsid w:val="00A714B8"/>
    <w:rsid w:val="00A772EB"/>
    <w:rsid w:val="00A825C9"/>
    <w:rsid w:val="00A971C9"/>
    <w:rsid w:val="00AA13E4"/>
    <w:rsid w:val="00AB0869"/>
    <w:rsid w:val="00AB316E"/>
    <w:rsid w:val="00AB3C99"/>
    <w:rsid w:val="00AB7BCF"/>
    <w:rsid w:val="00AC7410"/>
    <w:rsid w:val="00AE36F3"/>
    <w:rsid w:val="00AE6E4C"/>
    <w:rsid w:val="00AF4DA6"/>
    <w:rsid w:val="00AF5FC6"/>
    <w:rsid w:val="00B01333"/>
    <w:rsid w:val="00B01BA6"/>
    <w:rsid w:val="00B02AB1"/>
    <w:rsid w:val="00B03FC3"/>
    <w:rsid w:val="00B0664E"/>
    <w:rsid w:val="00B145C7"/>
    <w:rsid w:val="00B21181"/>
    <w:rsid w:val="00B450C8"/>
    <w:rsid w:val="00B45ED0"/>
    <w:rsid w:val="00B464EB"/>
    <w:rsid w:val="00B4708A"/>
    <w:rsid w:val="00B53A32"/>
    <w:rsid w:val="00B62F50"/>
    <w:rsid w:val="00B74E3B"/>
    <w:rsid w:val="00B83E7A"/>
    <w:rsid w:val="00B87033"/>
    <w:rsid w:val="00B91F37"/>
    <w:rsid w:val="00B95C20"/>
    <w:rsid w:val="00B97E6C"/>
    <w:rsid w:val="00BA179B"/>
    <w:rsid w:val="00BA5459"/>
    <w:rsid w:val="00BB6244"/>
    <w:rsid w:val="00BC06B6"/>
    <w:rsid w:val="00BC3A75"/>
    <w:rsid w:val="00BF4D14"/>
    <w:rsid w:val="00BF623B"/>
    <w:rsid w:val="00C035D4"/>
    <w:rsid w:val="00C3590A"/>
    <w:rsid w:val="00C42DAA"/>
    <w:rsid w:val="00C610DD"/>
    <w:rsid w:val="00C679BF"/>
    <w:rsid w:val="00C72496"/>
    <w:rsid w:val="00C72D43"/>
    <w:rsid w:val="00C81BBD"/>
    <w:rsid w:val="00C84B2A"/>
    <w:rsid w:val="00C91681"/>
    <w:rsid w:val="00C949AC"/>
    <w:rsid w:val="00C94ABB"/>
    <w:rsid w:val="00CA530F"/>
    <w:rsid w:val="00CA6364"/>
    <w:rsid w:val="00CB29FF"/>
    <w:rsid w:val="00CB7E56"/>
    <w:rsid w:val="00CB7E67"/>
    <w:rsid w:val="00CC7430"/>
    <w:rsid w:val="00CC7AC7"/>
    <w:rsid w:val="00CD3132"/>
    <w:rsid w:val="00CD3A4C"/>
    <w:rsid w:val="00CD5D08"/>
    <w:rsid w:val="00CE27CD"/>
    <w:rsid w:val="00CE7555"/>
    <w:rsid w:val="00CF0F0B"/>
    <w:rsid w:val="00D01A97"/>
    <w:rsid w:val="00D11FEC"/>
    <w:rsid w:val="00D134F3"/>
    <w:rsid w:val="00D15B1D"/>
    <w:rsid w:val="00D16F42"/>
    <w:rsid w:val="00D30FDA"/>
    <w:rsid w:val="00D32A6E"/>
    <w:rsid w:val="00D3773E"/>
    <w:rsid w:val="00D37CF9"/>
    <w:rsid w:val="00D43ADA"/>
    <w:rsid w:val="00D44A2C"/>
    <w:rsid w:val="00D47D01"/>
    <w:rsid w:val="00D6163E"/>
    <w:rsid w:val="00D642C1"/>
    <w:rsid w:val="00D7331D"/>
    <w:rsid w:val="00D75AA5"/>
    <w:rsid w:val="00D75DB3"/>
    <w:rsid w:val="00D76010"/>
    <w:rsid w:val="00D774B3"/>
    <w:rsid w:val="00D805B6"/>
    <w:rsid w:val="00D87B6E"/>
    <w:rsid w:val="00D9013D"/>
    <w:rsid w:val="00D91EB8"/>
    <w:rsid w:val="00D97CB2"/>
    <w:rsid w:val="00DC5137"/>
    <w:rsid w:val="00DC541B"/>
    <w:rsid w:val="00DC7337"/>
    <w:rsid w:val="00DD35A5"/>
    <w:rsid w:val="00DE2384"/>
    <w:rsid w:val="00DE2948"/>
    <w:rsid w:val="00DF3F80"/>
    <w:rsid w:val="00DF53E2"/>
    <w:rsid w:val="00DF666F"/>
    <w:rsid w:val="00DF68BE"/>
    <w:rsid w:val="00DF712A"/>
    <w:rsid w:val="00E011AC"/>
    <w:rsid w:val="00E15CDB"/>
    <w:rsid w:val="00E17EB0"/>
    <w:rsid w:val="00E2580E"/>
    <w:rsid w:val="00E25DF4"/>
    <w:rsid w:val="00E3485D"/>
    <w:rsid w:val="00E50C45"/>
    <w:rsid w:val="00E6106A"/>
    <w:rsid w:val="00E616CD"/>
    <w:rsid w:val="00E63249"/>
    <w:rsid w:val="00E6619B"/>
    <w:rsid w:val="00E71101"/>
    <w:rsid w:val="00E822A2"/>
    <w:rsid w:val="00E908D7"/>
    <w:rsid w:val="00E93343"/>
    <w:rsid w:val="00E9562F"/>
    <w:rsid w:val="00EA1CE4"/>
    <w:rsid w:val="00EA4C11"/>
    <w:rsid w:val="00EA69AC"/>
    <w:rsid w:val="00EB0835"/>
    <w:rsid w:val="00EB2995"/>
    <w:rsid w:val="00EB40A1"/>
    <w:rsid w:val="00EB6D8D"/>
    <w:rsid w:val="00EC3112"/>
    <w:rsid w:val="00EC3232"/>
    <w:rsid w:val="00EC508A"/>
    <w:rsid w:val="00ED5705"/>
    <w:rsid w:val="00ED5E57"/>
    <w:rsid w:val="00EE03AB"/>
    <w:rsid w:val="00EE1548"/>
    <w:rsid w:val="00EE1BD8"/>
    <w:rsid w:val="00EE22BA"/>
    <w:rsid w:val="00EF400B"/>
    <w:rsid w:val="00F16C0C"/>
    <w:rsid w:val="00F30E76"/>
    <w:rsid w:val="00F3444D"/>
    <w:rsid w:val="00F40028"/>
    <w:rsid w:val="00F44E26"/>
    <w:rsid w:val="00F45B3F"/>
    <w:rsid w:val="00F51299"/>
    <w:rsid w:val="00F5562F"/>
    <w:rsid w:val="00F61CEF"/>
    <w:rsid w:val="00F748BF"/>
    <w:rsid w:val="00F76DD8"/>
    <w:rsid w:val="00F82138"/>
    <w:rsid w:val="00F84B3F"/>
    <w:rsid w:val="00F86508"/>
    <w:rsid w:val="00F909F2"/>
    <w:rsid w:val="00F91821"/>
    <w:rsid w:val="00FA0EFC"/>
    <w:rsid w:val="00FA10B8"/>
    <w:rsid w:val="00FA5BBE"/>
    <w:rsid w:val="00FB1C45"/>
    <w:rsid w:val="00FB6340"/>
    <w:rsid w:val="00FB78C4"/>
    <w:rsid w:val="00FC2493"/>
    <w:rsid w:val="00FC70B9"/>
    <w:rsid w:val="00FD188F"/>
    <w:rsid w:val="00FD1DEE"/>
    <w:rsid w:val="00FD26EC"/>
    <w:rsid w:val="00FE02EE"/>
    <w:rsid w:val="00FE765E"/>
    <w:rsid w:val="00FF3B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E9A3B"/>
  <w15:docId w15:val="{6937DC2D-6225-4A47-87EC-80E4708A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table" w:styleId="Tabelraster">
    <w:name w:val="Table Grid"/>
    <w:basedOn w:val="Standaardtabel"/>
    <w:uiPriority w:val="39"/>
    <w:rsid w:val="001709B2"/>
    <w:rPr>
      <w:rFonts w:eastAsiaTheme="minorHAnsi" w:cstheme="minorBidi"/>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semiHidden/>
    <w:unhideWhenUsed/>
    <w:rsid w:val="00A971C9"/>
    <w:rPr>
      <w:sz w:val="16"/>
      <w:szCs w:val="16"/>
    </w:rPr>
  </w:style>
  <w:style w:type="paragraph" w:styleId="Tekstopmerking">
    <w:name w:val="annotation text"/>
    <w:basedOn w:val="Standaard"/>
    <w:link w:val="TekstopmerkingChar"/>
    <w:unhideWhenUsed/>
    <w:rsid w:val="00A971C9"/>
    <w:rPr>
      <w:sz w:val="20"/>
    </w:rPr>
  </w:style>
  <w:style w:type="character" w:customStyle="1" w:styleId="TekstopmerkingChar">
    <w:name w:val="Tekst opmerking Char"/>
    <w:basedOn w:val="Standaardalinea-lettertype"/>
    <w:link w:val="Tekstopmerking"/>
    <w:rsid w:val="00A971C9"/>
  </w:style>
  <w:style w:type="paragraph" w:styleId="Onderwerpvanopmerking">
    <w:name w:val="annotation subject"/>
    <w:basedOn w:val="Tekstopmerking"/>
    <w:next w:val="Tekstopmerking"/>
    <w:link w:val="OnderwerpvanopmerkingChar"/>
    <w:semiHidden/>
    <w:unhideWhenUsed/>
    <w:rsid w:val="00A971C9"/>
    <w:rPr>
      <w:b/>
      <w:bCs/>
    </w:rPr>
  </w:style>
  <w:style w:type="character" w:customStyle="1" w:styleId="OnderwerpvanopmerkingChar">
    <w:name w:val="Onderwerp van opmerking Char"/>
    <w:basedOn w:val="TekstopmerkingChar"/>
    <w:link w:val="Onderwerpvanopmerking"/>
    <w:semiHidden/>
    <w:rsid w:val="00A971C9"/>
    <w:rPr>
      <w:b/>
      <w:bCs/>
    </w:rPr>
  </w:style>
  <w:style w:type="paragraph" w:styleId="Revisie">
    <w:name w:val="Revision"/>
    <w:hidden/>
    <w:uiPriority w:val="99"/>
    <w:semiHidden/>
    <w:rsid w:val="00EC508A"/>
    <w:rPr>
      <w:sz w:val="24"/>
    </w:rPr>
  </w:style>
  <w:style w:type="character" w:customStyle="1" w:styleId="VoetnoottekstChar">
    <w:name w:val="Voetnoottekst Char"/>
    <w:basedOn w:val="Standaardalinea-lettertype"/>
    <w:link w:val="Voetnoottekst"/>
    <w:uiPriority w:val="99"/>
    <w:semiHidden/>
    <w:rsid w:val="005E2DAC"/>
    <w:rPr>
      <w:sz w:val="24"/>
    </w:rPr>
  </w:style>
  <w:style w:type="character" w:styleId="Voetnootmarkering">
    <w:name w:val="footnote reference"/>
    <w:basedOn w:val="Standaardalinea-lettertype"/>
    <w:uiPriority w:val="99"/>
    <w:semiHidden/>
    <w:unhideWhenUsed/>
    <w:rsid w:val="005E2DAC"/>
    <w:rPr>
      <w:vertAlign w:val="superscript"/>
    </w:rPr>
  </w:style>
  <w:style w:type="character" w:styleId="Hyperlink">
    <w:name w:val="Hyperlink"/>
    <w:basedOn w:val="Standaardalinea-lettertype"/>
    <w:uiPriority w:val="99"/>
    <w:unhideWhenUsed/>
    <w:rsid w:val="00A311C2"/>
    <w:rPr>
      <w:color w:val="0000FF" w:themeColor="hyperlink"/>
      <w:u w:val="single"/>
    </w:rPr>
  </w:style>
  <w:style w:type="character" w:styleId="Onopgelostemelding">
    <w:name w:val="Unresolved Mention"/>
    <w:basedOn w:val="Standaardalinea-lettertype"/>
    <w:uiPriority w:val="99"/>
    <w:semiHidden/>
    <w:unhideWhenUsed/>
    <w:rsid w:val="00A31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905</ap:Words>
  <ap:Characters>4978</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5872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2026-03-23T15:38:00.0000000Z</dcterms:created>
  <dcterms:modified xsi:type="dcterms:W3CDTF">2026-03-23T15:38:00.0000000Z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