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889" w:rsidP="00A36889" w:rsidRDefault="00A36889" w14:paraId="0BA93D7E" w14:textId="77777777">
      <w:r>
        <w:t>Geachte Voorzitter,</w:t>
      </w:r>
    </w:p>
    <w:p w:rsidR="00A36889" w:rsidP="00A36889" w:rsidRDefault="00A36889" w14:paraId="76A8B8DA" w14:textId="77777777"/>
    <w:p w:rsidR="00A36889" w:rsidP="00A36889" w:rsidRDefault="00A36889" w14:paraId="41C8783C" w14:textId="77777777">
      <w:pPr>
        <w:rPr>
          <w:rFonts w:eastAsia="Verdana" w:cs="Verdana"/>
          <w:color w:val="000000" w:themeColor="text1"/>
        </w:rPr>
      </w:pPr>
      <w:r w:rsidRPr="7F3E5B1C">
        <w:rPr>
          <w:rFonts w:eastAsia="Verdana" w:cs="Verdana"/>
          <w:color w:val="000000" w:themeColor="text1"/>
        </w:rPr>
        <w:t xml:space="preserve">Op </w:t>
      </w:r>
      <w:r>
        <w:rPr>
          <w:rFonts w:eastAsia="Verdana" w:cs="Verdana"/>
          <w:color w:val="000000" w:themeColor="text1"/>
        </w:rPr>
        <w:t>26 en 27</w:t>
      </w:r>
      <w:r w:rsidRPr="7F3E5B1C">
        <w:rPr>
          <w:rFonts w:eastAsia="Verdana" w:cs="Verdana"/>
          <w:color w:val="000000" w:themeColor="text1"/>
        </w:rPr>
        <w:t xml:space="preserve"> </w:t>
      </w:r>
      <w:r>
        <w:rPr>
          <w:rFonts w:eastAsia="Verdana" w:cs="Verdana"/>
          <w:color w:val="000000" w:themeColor="text1"/>
        </w:rPr>
        <w:t>februari</w:t>
      </w:r>
      <w:r w:rsidRPr="7F3E5B1C">
        <w:rPr>
          <w:rFonts w:eastAsia="Verdana" w:cs="Verdana"/>
          <w:color w:val="000000" w:themeColor="text1"/>
        </w:rPr>
        <w:t xml:space="preserve"> 202</w:t>
      </w:r>
      <w:r>
        <w:rPr>
          <w:rFonts w:eastAsia="Verdana" w:cs="Verdana"/>
          <w:color w:val="000000" w:themeColor="text1"/>
        </w:rPr>
        <w:t>6</w:t>
      </w:r>
      <w:r w:rsidRPr="7F3E5B1C">
        <w:rPr>
          <w:rFonts w:eastAsia="Verdana" w:cs="Verdana"/>
          <w:color w:val="000000" w:themeColor="text1"/>
        </w:rPr>
        <w:t xml:space="preserve"> vond de formele Raad voor Concurrentievermogen plaats in Brussel. Deze Raad stond in het teken van de onderdelen interne markt &amp; industrie en onderzoek &amp; innovatie. Met deze brief stuur ik u het verslag van de Raad. Het verslag over het onderdeel onderzoek &amp; innovatie stuur ik u mede namens de Minister van Onderwijs, Cultuur, en Wetenschap. </w:t>
      </w:r>
    </w:p>
    <w:p w:rsidR="00A36889" w:rsidP="00A36889" w:rsidRDefault="00A36889" w14:paraId="42B96525" w14:textId="77777777">
      <w:pPr>
        <w:rPr>
          <w:rFonts w:eastAsia="Verdana" w:cs="Verdana"/>
          <w:color w:val="000000" w:themeColor="text1"/>
        </w:rPr>
      </w:pPr>
    </w:p>
    <w:p w:rsidR="00A36889" w:rsidP="00A36889" w:rsidRDefault="00A36889" w14:paraId="5D6A23FE" w14:textId="77777777">
      <w:pPr>
        <w:rPr>
          <w:rFonts w:eastAsia="Verdana" w:cs="Verdana"/>
          <w:color w:val="000000" w:themeColor="text1"/>
        </w:rPr>
      </w:pPr>
      <w:r>
        <w:rPr>
          <w:rFonts w:eastAsia="Verdana" w:cs="Verdana"/>
          <w:color w:val="000000" w:themeColor="text1"/>
        </w:rPr>
        <w:t xml:space="preserve">Verder maak ik van de gelegenheid gebruik om een non-paper in het kader van de lopende onderhandelingen over het Europees </w:t>
      </w:r>
      <w:proofErr w:type="spellStart"/>
      <w:r>
        <w:rPr>
          <w:rFonts w:eastAsia="Verdana" w:cs="Verdana"/>
          <w:color w:val="000000" w:themeColor="text1"/>
        </w:rPr>
        <w:t>Concurrentievermogenfonds</w:t>
      </w:r>
      <w:proofErr w:type="spellEnd"/>
      <w:r>
        <w:rPr>
          <w:rFonts w:eastAsia="Verdana" w:cs="Verdana"/>
          <w:color w:val="000000" w:themeColor="text1"/>
        </w:rPr>
        <w:t xml:space="preserve"> (ECF) met uw Kamer te delen. In het non-paper bepleiten Nederland en negen andere lidstaten onder andere voor een ECF met sterke en heldere toekenningscriteria en competitieve project selectie, een sterke rol voor het </w:t>
      </w:r>
      <w:proofErr w:type="spellStart"/>
      <w:r>
        <w:rPr>
          <w:rFonts w:eastAsia="Verdana" w:cs="Verdana"/>
          <w:color w:val="000000" w:themeColor="text1"/>
        </w:rPr>
        <w:t>InvestEU</w:t>
      </w:r>
      <w:proofErr w:type="spellEnd"/>
      <w:r>
        <w:rPr>
          <w:rFonts w:eastAsia="Verdana" w:cs="Verdana"/>
          <w:color w:val="000000" w:themeColor="text1"/>
        </w:rPr>
        <w:t xml:space="preserve">-instrument, coherente implementatie en </w:t>
      </w:r>
      <w:proofErr w:type="spellStart"/>
      <w:r w:rsidRPr="003864C4">
        <w:rPr>
          <w:rFonts w:eastAsia="Verdana" w:cs="Verdana"/>
          <w:i/>
          <w:iCs/>
          <w:color w:val="000000" w:themeColor="text1"/>
        </w:rPr>
        <w:t>governance</w:t>
      </w:r>
      <w:proofErr w:type="spellEnd"/>
      <w:r>
        <w:rPr>
          <w:rFonts w:eastAsia="Verdana" w:cs="Verdana"/>
          <w:color w:val="000000" w:themeColor="text1"/>
        </w:rPr>
        <w:t xml:space="preserve"> in synergie met Horizon Europe en vereenvoudiging van toegang tot financiering, zoals in lijn met het BNC-fiche voor het ECF.</w:t>
      </w:r>
      <w:r>
        <w:rPr>
          <w:rStyle w:val="Voetnootmarkering"/>
          <w:rFonts w:eastAsia="Verdana" w:cs="Verdana"/>
          <w:color w:val="000000" w:themeColor="text1"/>
        </w:rPr>
        <w:footnoteReference w:id="1"/>
      </w:r>
      <w:r>
        <w:rPr>
          <w:rFonts w:eastAsia="Verdana" w:cs="Verdana"/>
          <w:color w:val="000000" w:themeColor="text1"/>
        </w:rPr>
        <w:t xml:space="preserve"> </w:t>
      </w:r>
    </w:p>
    <w:p w:rsidR="00A36889" w:rsidP="00A36889" w:rsidRDefault="00A36889" w14:paraId="4BF3A229" w14:textId="77777777"/>
    <w:p w:rsidR="00A36889" w:rsidP="00A36889" w:rsidRDefault="00A36889" w14:paraId="5CA0E565" w14:textId="77777777"/>
    <w:p w:rsidR="00A36889" w:rsidP="00A36889" w:rsidRDefault="00A36889" w14:paraId="238D401D" w14:textId="77777777"/>
    <w:p w:rsidR="00A36889" w:rsidP="00A36889" w:rsidRDefault="00A36889" w14:paraId="7CE16C00" w14:textId="77777777"/>
    <w:p w:rsidRPr="005C65B5" w:rsidR="00A36889" w:rsidP="00A36889" w:rsidRDefault="00A36889" w14:paraId="6EF94989" w14:textId="77777777"/>
    <w:p w:rsidRPr="00591E4A" w:rsidR="00A36889" w:rsidP="00A36889" w:rsidRDefault="00A36889" w14:paraId="6C87119D" w14:textId="77777777">
      <w:pPr>
        <w:rPr>
          <w:szCs w:val="18"/>
        </w:rPr>
      </w:pPr>
      <w:r>
        <w:rPr>
          <w:szCs w:val="18"/>
        </w:rPr>
        <w:t>Heleen Herbert</w:t>
      </w:r>
    </w:p>
    <w:p w:rsidR="00A36889" w:rsidP="00A36889" w:rsidRDefault="00A36889" w14:paraId="14BBB630" w14:textId="77777777">
      <w:r w:rsidRPr="005C65B5">
        <w:t>Minister van Economische Zaken</w:t>
      </w:r>
      <w:r>
        <w:t xml:space="preserve"> en Klimaat</w:t>
      </w:r>
    </w:p>
    <w:p w:rsidR="00A36889" w:rsidP="00A36889" w:rsidRDefault="00A36889" w14:paraId="0049168C" w14:textId="77777777"/>
    <w:p w:rsidR="00A36889" w:rsidP="00A36889" w:rsidRDefault="00A36889" w14:paraId="0EF2BACD" w14:textId="77777777"/>
    <w:p w:rsidR="00A36889" w:rsidP="00A36889" w:rsidRDefault="00A36889" w14:paraId="10F4F7F5" w14:textId="77777777">
      <w:pPr>
        <w:spacing w:line="240" w:lineRule="auto"/>
      </w:pPr>
      <w:r>
        <w:br w:type="page"/>
      </w:r>
    </w:p>
    <w:p w:rsidR="00A36889" w:rsidP="00A36889" w:rsidRDefault="00A36889" w14:paraId="20D93DAA" w14:textId="77777777">
      <w:pPr>
        <w:spacing w:line="240" w:lineRule="auto"/>
        <w:rPr>
          <w:rFonts w:eastAsia="Verdana" w:cs="Verdana"/>
          <w:color w:val="000000" w:themeColor="text1"/>
          <w:szCs w:val="18"/>
        </w:rPr>
      </w:pPr>
      <w:r w:rsidRPr="59859E4A">
        <w:rPr>
          <w:rFonts w:eastAsia="Verdana" w:cs="Verdana"/>
          <w:b/>
          <w:bCs/>
          <w:color w:val="000000" w:themeColor="text1"/>
          <w:szCs w:val="18"/>
        </w:rPr>
        <w:t>Inleiding</w:t>
      </w:r>
    </w:p>
    <w:p w:rsidR="00A36889" w:rsidP="00A36889" w:rsidRDefault="00A36889" w14:paraId="491F6F9E" w14:textId="77777777">
      <w:pPr>
        <w:spacing w:line="240" w:lineRule="auto"/>
        <w:rPr>
          <w:rFonts w:eastAsia="Verdana" w:cs="Verdana"/>
          <w:color w:val="000000" w:themeColor="text1"/>
        </w:rPr>
      </w:pPr>
      <w:r w:rsidRPr="7ED9A5E8">
        <w:rPr>
          <w:rFonts w:eastAsia="Verdana" w:cs="Verdana"/>
          <w:color w:val="000000" w:themeColor="text1"/>
        </w:rPr>
        <w:t xml:space="preserve">De Raad voor Concurrentievermogen (hierna: Raad) op </w:t>
      </w:r>
      <w:r>
        <w:rPr>
          <w:rFonts w:eastAsia="Verdana" w:cs="Verdana"/>
          <w:color w:val="000000" w:themeColor="text1"/>
        </w:rPr>
        <w:t>26 en 27 februari</w:t>
      </w:r>
      <w:r w:rsidRPr="7ED9A5E8">
        <w:rPr>
          <w:rFonts w:eastAsia="Verdana" w:cs="Verdana"/>
          <w:color w:val="000000" w:themeColor="text1"/>
        </w:rPr>
        <w:t xml:space="preserve"> jl. stond in het teken van twee onderdelen: 1. Interne markt en industrie op </w:t>
      </w:r>
      <w:r>
        <w:rPr>
          <w:rFonts w:eastAsia="Verdana" w:cs="Verdana"/>
          <w:color w:val="000000" w:themeColor="text1"/>
        </w:rPr>
        <w:t>26 februari</w:t>
      </w:r>
      <w:r w:rsidRPr="7ED9A5E8">
        <w:rPr>
          <w:rFonts w:eastAsia="Verdana" w:cs="Verdana"/>
          <w:color w:val="000000" w:themeColor="text1"/>
        </w:rPr>
        <w:t xml:space="preserve"> en 2. Onderzoek en innovatie op </w:t>
      </w:r>
      <w:r>
        <w:rPr>
          <w:rFonts w:eastAsia="Verdana" w:cs="Verdana"/>
          <w:color w:val="000000" w:themeColor="text1"/>
        </w:rPr>
        <w:t>27 februari</w:t>
      </w:r>
      <w:r w:rsidRPr="7ED9A5E8">
        <w:rPr>
          <w:rFonts w:eastAsia="Verdana" w:cs="Verdana"/>
          <w:color w:val="000000" w:themeColor="text1"/>
        </w:rPr>
        <w:t xml:space="preserve">. Deze indeling wordt ook aangehouden in dit verslag.  </w:t>
      </w:r>
    </w:p>
    <w:p w:rsidR="00A36889" w:rsidP="00A36889" w:rsidRDefault="00A36889" w14:paraId="5609C9AD" w14:textId="77777777">
      <w:pPr>
        <w:jc w:val="center"/>
        <w:rPr>
          <w:rFonts w:eastAsia="Verdana" w:cs="Verdana"/>
          <w:b/>
          <w:bCs/>
          <w:color w:val="000000" w:themeColor="text1"/>
          <w:szCs w:val="18"/>
          <w:u w:val="single"/>
        </w:rPr>
      </w:pPr>
    </w:p>
    <w:p w:rsidR="00A36889" w:rsidP="00A36889" w:rsidRDefault="00A36889" w14:paraId="508AE46A" w14:textId="77777777">
      <w:pPr>
        <w:rPr>
          <w:b/>
          <w:bCs/>
          <w:u w:val="single"/>
        </w:rPr>
      </w:pPr>
      <w:r w:rsidRPr="008E0338">
        <w:rPr>
          <w:b/>
          <w:bCs/>
          <w:u w:val="single"/>
        </w:rPr>
        <w:t xml:space="preserve">Verslag van het </w:t>
      </w:r>
      <w:r>
        <w:rPr>
          <w:b/>
          <w:bCs/>
          <w:u w:val="single"/>
        </w:rPr>
        <w:t>Industrie en Interne Marktdeel</w:t>
      </w:r>
      <w:r w:rsidRPr="008E0338">
        <w:rPr>
          <w:b/>
          <w:bCs/>
          <w:u w:val="single"/>
        </w:rPr>
        <w:t xml:space="preserve"> van de formele Raad voor Concurrentievermogen op </w:t>
      </w:r>
      <w:r>
        <w:rPr>
          <w:b/>
          <w:bCs/>
          <w:u w:val="single"/>
        </w:rPr>
        <w:t>26 februari</w:t>
      </w:r>
    </w:p>
    <w:p w:rsidR="00A36889" w:rsidP="00A36889" w:rsidRDefault="00A36889" w14:paraId="7B6985EE" w14:textId="77777777">
      <w:pPr>
        <w:rPr>
          <w:b/>
          <w:bCs/>
          <w:u w:val="single"/>
        </w:rPr>
      </w:pPr>
    </w:p>
    <w:p w:rsidRPr="00AD1D09" w:rsidR="00A36889" w:rsidP="00A36889" w:rsidRDefault="00A36889" w14:paraId="1A43E9FC" w14:textId="77777777">
      <w:pPr>
        <w:rPr>
          <w:b/>
          <w:bCs/>
        </w:rPr>
      </w:pPr>
      <w:r w:rsidRPr="003B4FF5">
        <w:rPr>
          <w:b/>
          <w:bCs/>
        </w:rPr>
        <w:t>Het jaarlijkse Interne Markt en Concurrentievermogen rapport 2026 </w:t>
      </w:r>
    </w:p>
    <w:p w:rsidRPr="00177E16" w:rsidR="00A36889" w:rsidP="00A36889" w:rsidRDefault="00A36889" w14:paraId="3A741907" w14:textId="77777777">
      <w:pPr>
        <w:rPr>
          <w:b/>
          <w:bCs/>
        </w:rPr>
      </w:pPr>
      <w:r w:rsidRPr="003864C4">
        <w:t>(</w:t>
      </w:r>
      <w:r w:rsidRPr="003864C4">
        <w:rPr>
          <w:i/>
          <w:iCs/>
        </w:rPr>
        <w:t>Gedachtewisseling</w:t>
      </w:r>
      <w:r w:rsidRPr="003864C4">
        <w:t>)</w:t>
      </w:r>
    </w:p>
    <w:p w:rsidR="00A36889" w:rsidP="00A36889" w:rsidRDefault="00A36889" w14:paraId="12F0E907" w14:textId="77777777"/>
    <w:p w:rsidR="00A36889" w:rsidP="00A36889" w:rsidRDefault="00A36889" w14:paraId="3F286FF5" w14:textId="77777777">
      <w:r>
        <w:t xml:space="preserve">Het Raadsvoorzitterschap vroeg de lidstaten waar het de prioriteiten ziet in het versterken van de interne markt. Ook vroeg het voorzitterschap naar de strategische afhankelijkheden die wat lidstaten betreft het eerste moeten worden aangepakt. </w:t>
      </w:r>
    </w:p>
    <w:p w:rsidRPr="003864C4" w:rsidR="00A36889" w:rsidP="00A36889" w:rsidRDefault="00A36889" w14:paraId="0D5BEF9C" w14:textId="77777777"/>
    <w:p w:rsidR="00A36889" w:rsidP="00A36889" w:rsidRDefault="00A36889" w14:paraId="1B03F2D7" w14:textId="77777777">
      <w:r>
        <w:t xml:space="preserve">De Europese Commissie (hierna: de Commissie) opende het debat door het belang van het afbouwen van strategische afhankelijkheden te benoemen. Daarbij </w:t>
      </w:r>
      <w:r w:rsidRPr="00DB5C26">
        <w:t xml:space="preserve">benadrukte Eurocommissaris </w:t>
      </w:r>
      <w:proofErr w:type="spellStart"/>
      <w:r w:rsidRPr="00DB5C26">
        <w:t>Séjourné</w:t>
      </w:r>
      <w:proofErr w:type="spellEnd"/>
      <w:r w:rsidRPr="00DB5C26">
        <w:t xml:space="preserve"> dat</w:t>
      </w:r>
      <w:r>
        <w:t xml:space="preserve"> Europa weliswaar een sterke mondiale concurrentiepositie en een relatief stabiele </w:t>
      </w:r>
      <w:proofErr w:type="spellStart"/>
      <w:r>
        <w:t>geo</w:t>
      </w:r>
      <w:proofErr w:type="spellEnd"/>
      <w:r>
        <w:t xml:space="preserve">-economische positie heeft, maar tegelijk ook kampt met een industrie die onder druk staat. </w:t>
      </w:r>
      <w:proofErr w:type="spellStart"/>
      <w:r>
        <w:t>Séjourné</w:t>
      </w:r>
      <w:proofErr w:type="spellEnd"/>
      <w:r>
        <w:t xml:space="preserve"> wees daarbij op het belang van het robuuster maken van toeleveringsketens en het verdiepen van de interne markt.</w:t>
      </w:r>
    </w:p>
    <w:p w:rsidR="00A36889" w:rsidP="00A36889" w:rsidRDefault="00A36889" w14:paraId="0187DA4E" w14:textId="77777777"/>
    <w:p w:rsidR="00A36889" w:rsidP="00A36889" w:rsidRDefault="00A36889" w14:paraId="53CE9EA7" w14:textId="77777777">
      <w:r>
        <w:t>Om de interne markt te verdiepen, benadrukten veel lidstaten dat de in de Mededeling horizontale interne-marktstrategie geïdentificeerde “Terrible Ten” met prioriteit geadresseerd dienen te worden. Verschillende lidstaten wezen daarbij in de eerste plaats op het</w:t>
      </w:r>
      <w:r w:rsidRPr="3E333C34">
        <w:rPr>
          <w:rFonts w:eastAsia="Verdana" w:cs="Verdana"/>
        </w:rPr>
        <w:t xml:space="preserve"> elektronisch meldformulier grensoverschrijdende detacheringen</w:t>
      </w:r>
      <w:r>
        <w:t xml:space="preserve"> (e-</w:t>
      </w:r>
      <w:proofErr w:type="spellStart"/>
      <w:r>
        <w:t>declaration</w:t>
      </w:r>
      <w:proofErr w:type="spellEnd"/>
      <w:r>
        <w:t xml:space="preserve">). Aanvullend verwelkomde een brede groep lidstaten het rapport, dat inzicht helpt te bieden in de verschillende barrières op de interne markt.  </w:t>
      </w:r>
    </w:p>
    <w:p w:rsidR="00A36889" w:rsidP="00A36889" w:rsidRDefault="00A36889" w14:paraId="38A94EFA" w14:textId="77777777"/>
    <w:p w:rsidR="00A36889" w:rsidP="00A36889" w:rsidRDefault="00A36889" w14:paraId="524797BF" w14:textId="77777777">
      <w:r>
        <w:t xml:space="preserve">Ook werd opgemerkt dat lidstaten te vaak nationale koppen aan Europese wetgeving toevoegen. Enkele lidstaten waren kritisch over dit zogenoemde </w:t>
      </w:r>
      <w:proofErr w:type="spellStart"/>
      <w:r w:rsidRPr="00330B80">
        <w:rPr>
          <w:i/>
          <w:iCs/>
        </w:rPr>
        <w:t>goldplating</w:t>
      </w:r>
      <w:proofErr w:type="spellEnd"/>
      <w:r>
        <w:t xml:space="preserve"> en riepen op tot een geharmoniseerde implementatie van regelgeving.</w:t>
      </w:r>
    </w:p>
    <w:p w:rsidR="00A36889" w:rsidP="00A36889" w:rsidRDefault="00A36889" w14:paraId="1F956CCE" w14:textId="77777777">
      <w:r>
        <w:t>Meerdere lidstaten, waaronder Nederland, gaven aan uit te kijken naar het verwachte voorstel voor een 28</w:t>
      </w:r>
      <w:r w:rsidRPr="3E333C34">
        <w:rPr>
          <w:vertAlign w:val="superscript"/>
        </w:rPr>
        <w:t>ste</w:t>
      </w:r>
      <w:r>
        <w:t xml:space="preserve"> regime. Daarbij gaven deze lidstaten aan dat het voorstel tot een duidelijke juridische status voor bedrijven moet leiden, en  duidelijke meerwaarde moet hebben. Ook wezen verschillende lidstaten op de noodzaak tot verdere voortgang in het creëren van een kapitaalmarktunie.  </w:t>
      </w:r>
    </w:p>
    <w:p w:rsidR="00A36889" w:rsidP="00A36889" w:rsidRDefault="00A36889" w14:paraId="427BDC53" w14:textId="77777777"/>
    <w:p w:rsidRPr="003864C4" w:rsidR="00A36889" w:rsidP="00A36889" w:rsidRDefault="00A36889" w14:paraId="24C02C8D" w14:textId="77777777">
      <w:pPr>
        <w:rPr>
          <w:b/>
          <w:bCs/>
        </w:rPr>
      </w:pPr>
      <w:r w:rsidRPr="003864C4">
        <w:rPr>
          <w:b/>
          <w:bCs/>
        </w:rPr>
        <w:t>Noodplannen voor industriële weerbaarheid: follow-up van de industriële actieplannen voor de Europese staal-, automobiel- en chemische industrie in het kader van de Clean Industrial Deal  </w:t>
      </w:r>
    </w:p>
    <w:p w:rsidRPr="003864C4" w:rsidR="00A36889" w:rsidP="00A36889" w:rsidRDefault="00A36889" w14:paraId="7B79F33D" w14:textId="77777777">
      <w:r w:rsidRPr="003864C4">
        <w:t>(</w:t>
      </w:r>
      <w:r w:rsidRPr="003864C4">
        <w:rPr>
          <w:i/>
          <w:iCs/>
        </w:rPr>
        <w:t>gedachtewisseling</w:t>
      </w:r>
      <w:r w:rsidRPr="003864C4">
        <w:t>)  </w:t>
      </w:r>
    </w:p>
    <w:p w:rsidR="00A36889" w:rsidP="00A36889" w:rsidRDefault="00A36889" w14:paraId="10755915" w14:textId="77777777"/>
    <w:p w:rsidR="00A36889" w:rsidP="00A36889" w:rsidRDefault="00A36889" w14:paraId="00E74017" w14:textId="77777777">
      <w:r>
        <w:t>Tijdens dit beleidsdebat werden de lidstaten gevraagd naar hun prioriteiten in de actieplannen voor de Europese staal-, automobiel- en chemische industrie.</w:t>
      </w:r>
    </w:p>
    <w:p w:rsidRPr="00D53FC4" w:rsidR="00A36889" w:rsidP="00A36889" w:rsidRDefault="00A36889" w14:paraId="42927471" w14:textId="77777777">
      <w:r>
        <w:t xml:space="preserve">De drie actieplannen voor specifieke sectoren werden in algemene zin verwelkomd. Meerdere lidstaten onderstreepten het belang van ambitie rond de zogenoemde </w:t>
      </w:r>
      <w:proofErr w:type="spellStart"/>
      <w:r>
        <w:t>Battery</w:t>
      </w:r>
      <w:proofErr w:type="spellEnd"/>
      <w:r>
        <w:t xml:space="preserve"> Booster-strategie.</w:t>
      </w:r>
      <w:r>
        <w:rPr>
          <w:rStyle w:val="Voetnootmarkering"/>
        </w:rPr>
        <w:footnoteReference w:id="2"/>
      </w:r>
      <w:r>
        <w:t xml:space="preserve"> Nederland vroeg daarbij expliciet aandacht voor de opschaling van de productie van batterijen van de volgende generatie.</w:t>
      </w:r>
    </w:p>
    <w:p w:rsidRPr="00D53FC4" w:rsidR="00A36889" w:rsidP="00A36889" w:rsidRDefault="00A36889" w14:paraId="0789F4D6" w14:textId="77777777"/>
    <w:p w:rsidR="00A36889" w:rsidP="00A36889" w:rsidRDefault="00A36889" w14:paraId="52827641" w14:textId="77777777">
      <w:r>
        <w:t xml:space="preserve">Op het gebied van betere regelgeving werd aandacht gevraagd voor verdere vereenvoudiging van wetgeving voor de </w:t>
      </w:r>
      <w:proofErr w:type="spellStart"/>
      <w:r>
        <w:t>automotivesector</w:t>
      </w:r>
      <w:proofErr w:type="spellEnd"/>
      <w:r>
        <w:t xml:space="preserve">, de regelgeving voor chemische stoffen (REACH), vergunningsprocedures en biotechnologie. Rond de inhoud van het </w:t>
      </w:r>
      <w:proofErr w:type="spellStart"/>
      <w:r>
        <w:t>automotivepakket</w:t>
      </w:r>
      <w:proofErr w:type="spellEnd"/>
      <w:r>
        <w:t xml:space="preserve"> riepen enkele lidstaten opnieuw op om de CO</w:t>
      </w:r>
      <w:r w:rsidRPr="530074CB">
        <w:rPr>
          <w:rFonts w:ascii="Cambria Math" w:hAnsi="Cambria Math" w:cs="Cambria Math"/>
        </w:rPr>
        <w:t>₂</w:t>
      </w:r>
      <w:r>
        <w:t>-normen voor lichte voertuigen in 2030 en 2035 te herzien.</w:t>
      </w:r>
    </w:p>
    <w:p w:rsidRPr="00D53FC4" w:rsidR="00A36889" w:rsidP="00A36889" w:rsidRDefault="00A36889" w14:paraId="71FF8483" w14:textId="77777777"/>
    <w:p w:rsidRPr="00D53FC4" w:rsidR="00A36889" w:rsidP="00A36889" w:rsidRDefault="00A36889" w14:paraId="728B7AD1" w14:textId="77777777">
      <w:r>
        <w:t xml:space="preserve">Ten aanzien van het Europees voorkeursprincipe verwelkomden verschillende lidstaten het concept en gaven aan constructief te willen kijken naar de invulling ervan. De discussie ontwikkelde zich langs twee lijnen. Aan de ene kant een ‘Made in Europe’-benadering, met een sterke oproep voor een Europees voorkeursprincipe. Aan de andere kant een meer terughoudende ‘Made </w:t>
      </w:r>
      <w:proofErr w:type="spellStart"/>
      <w:r>
        <w:t>with</w:t>
      </w:r>
      <w:proofErr w:type="spellEnd"/>
      <w:r>
        <w:t xml:space="preserve"> Europe’-benadering, met een sterke oproep voor openheid en een gerichte en proportionele toepassing in louter strategische sectoren. Ook pleitte een aantal lidstaten voor een voorzichtige implementatie om negatieve effecten op handelspartners te voorkomen. </w:t>
      </w:r>
    </w:p>
    <w:p w:rsidR="00A36889" w:rsidP="00A36889" w:rsidRDefault="00A36889" w14:paraId="6BF38D0C" w14:textId="77777777"/>
    <w:p w:rsidR="00A36889" w:rsidP="00A36889" w:rsidRDefault="00A36889" w14:paraId="7976FF90" w14:textId="77777777">
      <w:r>
        <w:t>Verder werden de hoge energieprijzen unaniem aangemerkt als een van de grootste problemen voor de energie-intensieve industrie. Andere landen legden de nadruk op investeringen in elektriciteitsnetwerken en elektromobiliteit als cruciale hefbomen om prijzen te drukken, terwijl weer anderen pleitten voor meer investeringen in hernieuwbare energie om de energiekosten op langere termijn te verlagen.</w:t>
      </w:r>
    </w:p>
    <w:p w:rsidR="00A36889" w:rsidP="00A36889" w:rsidRDefault="00A36889" w14:paraId="65374167" w14:textId="77777777"/>
    <w:p w:rsidR="00A36889" w:rsidP="00A36889" w:rsidRDefault="00A36889" w14:paraId="13D503A2" w14:textId="77777777">
      <w:pPr>
        <w:rPr>
          <w:rFonts w:eastAsia="Verdana"/>
        </w:rPr>
      </w:pPr>
      <w:r>
        <w:t>Verschillende lidstaten gingen hierbij ook in op de aankomende herziening van het emissiehandelssysteem (ETS) in juli 2026, en het functioneren van het koolstofcorrectiemechanisme aan de grens (CBAM). Een brede groep lidstaten benadrukte het belang om prijsstabiliteit te vergroten en de Europese industrie beter te beschermen tegen koolstoflekkage. Enkele lidstaten pleitten hierbij voor het afzwakken en/of opschorten van het huidige emissiehandelssysteem. Enkele lidstaten, waaronder Nederland, benadrukten dat ee</w:t>
      </w:r>
      <w:r w:rsidRPr="003864C4">
        <w:rPr>
          <w:rFonts w:eastAsia="Verdana"/>
        </w:rPr>
        <w:t xml:space="preserve">n sterke en stabiel ETS investeringszekerheid biedt, bedrijven </w:t>
      </w:r>
      <w:r>
        <w:t>stimuleert</w:t>
      </w:r>
      <w:r w:rsidRPr="003864C4">
        <w:rPr>
          <w:rFonts w:eastAsia="Verdana"/>
        </w:rPr>
        <w:t xml:space="preserve"> investeringen te doen in schone productie en een belangrijk instrument is voor een kosteneffectieve transitie. </w:t>
      </w:r>
      <w:r w:rsidRPr="1E568089">
        <w:rPr>
          <w:rFonts w:eastAsia="Verdana"/>
        </w:rPr>
        <w:t>Daarbij gaven deze lidstaten aan dat a</w:t>
      </w:r>
      <w:r w:rsidRPr="003864C4">
        <w:rPr>
          <w:rFonts w:eastAsia="Verdana"/>
        </w:rPr>
        <w:t xml:space="preserve">fzwakking </w:t>
      </w:r>
      <w:r>
        <w:t>of opschorting v</w:t>
      </w:r>
      <w:r w:rsidRPr="003864C4">
        <w:t>an</w:t>
      </w:r>
      <w:r w:rsidRPr="003864C4">
        <w:rPr>
          <w:rFonts w:eastAsia="Verdana"/>
        </w:rPr>
        <w:t xml:space="preserve"> het ETS de prikkel tot verduurzaming</w:t>
      </w:r>
      <w:r w:rsidRPr="1E568089">
        <w:rPr>
          <w:rFonts w:eastAsia="Verdana"/>
        </w:rPr>
        <w:t xml:space="preserve"> vermindert</w:t>
      </w:r>
      <w:r w:rsidRPr="003864C4">
        <w:rPr>
          <w:rFonts w:eastAsia="Verdana"/>
        </w:rPr>
        <w:t xml:space="preserve">, afbreuk </w:t>
      </w:r>
      <w:r w:rsidRPr="1E568089">
        <w:rPr>
          <w:rFonts w:eastAsia="Verdana"/>
        </w:rPr>
        <w:t>doet a</w:t>
      </w:r>
      <w:r w:rsidRPr="003864C4">
        <w:rPr>
          <w:rFonts w:eastAsia="Verdana"/>
        </w:rPr>
        <w:t xml:space="preserve">an de investeringszekerheid en bedrijven </w:t>
      </w:r>
      <w:r w:rsidRPr="1E568089">
        <w:rPr>
          <w:rFonts w:eastAsia="Verdana"/>
        </w:rPr>
        <w:t xml:space="preserve">benadeelt </w:t>
      </w:r>
      <w:r w:rsidRPr="003864C4">
        <w:rPr>
          <w:rFonts w:eastAsia="Verdana"/>
        </w:rPr>
        <w:t>die al geïnvesteerd hebben.</w:t>
      </w:r>
    </w:p>
    <w:p w:rsidR="00A36889" w:rsidP="00A36889" w:rsidRDefault="00A36889" w14:paraId="6DF910F3" w14:textId="77777777">
      <w:pPr>
        <w:rPr>
          <w:szCs w:val="18"/>
        </w:rPr>
      </w:pPr>
    </w:p>
    <w:p w:rsidR="00A36889" w:rsidP="00A36889" w:rsidRDefault="00A36889" w14:paraId="070C35D7" w14:textId="77777777">
      <w:r>
        <w:t xml:space="preserve">Eurocommissaris </w:t>
      </w:r>
      <w:proofErr w:type="spellStart"/>
      <w:r>
        <w:t>Séjourné</w:t>
      </w:r>
      <w:proofErr w:type="spellEnd"/>
      <w:r>
        <w:t xml:space="preserve"> benadrukte dat het ETS ook een investeringsvehikel is en verwacht in de huidige periode tussen de 300 en 500 miljard euro aan investeringen via het systeem te mobiliseren.</w:t>
      </w:r>
    </w:p>
    <w:p w:rsidR="00A36889" w:rsidP="00A36889" w:rsidRDefault="00A36889" w14:paraId="7A7A1A72" w14:textId="77777777">
      <w:pPr>
        <w:rPr>
          <w:b/>
          <w:bCs/>
        </w:rPr>
      </w:pPr>
    </w:p>
    <w:p w:rsidR="00A36889" w:rsidP="00A36889" w:rsidRDefault="00A36889" w14:paraId="39558119" w14:textId="77777777">
      <w:pPr>
        <w:rPr>
          <w:b/>
          <w:bCs/>
        </w:rPr>
      </w:pPr>
      <w:r>
        <w:rPr>
          <w:b/>
          <w:bCs/>
        </w:rPr>
        <w:t>Terrible ten</w:t>
      </w:r>
    </w:p>
    <w:p w:rsidR="00A36889" w:rsidP="00A36889" w:rsidRDefault="00A36889" w14:paraId="20467553" w14:textId="77777777">
      <w:pPr>
        <w:rPr>
          <w:i/>
          <w:iCs/>
        </w:rPr>
      </w:pPr>
      <w:r w:rsidRPr="0093659F">
        <w:rPr>
          <w:i/>
          <w:iCs/>
        </w:rPr>
        <w:t>Lunchdebat</w:t>
      </w:r>
    </w:p>
    <w:p w:rsidR="00A36889" w:rsidP="00A36889" w:rsidRDefault="00A36889" w14:paraId="4A0FB171" w14:textId="77777777">
      <w:pPr>
        <w:rPr>
          <w:i/>
          <w:iCs/>
        </w:rPr>
      </w:pPr>
    </w:p>
    <w:p w:rsidR="00A36889" w:rsidP="00A36889" w:rsidRDefault="00A36889" w14:paraId="5717100B" w14:textId="77777777">
      <w:r>
        <w:t xml:space="preserve">Tijdens het lunchdebat vond een brede discussie plaats over de vraag hoe de interne markt verder kan worden verdiept. </w:t>
      </w:r>
    </w:p>
    <w:p w:rsidR="00A36889" w:rsidP="00A36889" w:rsidRDefault="00A36889" w14:paraId="2ACF6797" w14:textId="77777777"/>
    <w:p w:rsidR="00A36889" w:rsidP="00A36889" w:rsidRDefault="00A36889" w14:paraId="71C5CD6A" w14:textId="77777777">
      <w:r w:rsidRPr="00D273D9">
        <w:t xml:space="preserve">Eurocommissaris </w:t>
      </w:r>
      <w:proofErr w:type="spellStart"/>
      <w:r w:rsidRPr="00D273D9">
        <w:t>Séjourné</w:t>
      </w:r>
      <w:proofErr w:type="spellEnd"/>
      <w:r>
        <w:t xml:space="preserve"> toonde zich terughoudend over het openbaar maken van zogeheten ‘heat </w:t>
      </w:r>
      <w:proofErr w:type="spellStart"/>
      <w:r>
        <w:t>maps</w:t>
      </w:r>
      <w:proofErr w:type="spellEnd"/>
      <w:r>
        <w:t>’ waarin de naleving van interne-marktregels per lidstaat zichtbaar wordt gemaakt. Daarentegen wilde hij wel meer publieke aandacht voor inbreukprocedures. Verder zal de Eurocommissaris een overzicht rondsturen van regels die inmiddels zijn afgeschaft, als onderdeel van de inspanningen om de regeldruk te verminderen.</w:t>
      </w:r>
    </w:p>
    <w:p w:rsidR="00A36889" w:rsidP="00A36889" w:rsidRDefault="00A36889" w14:paraId="4C66593D" w14:textId="77777777"/>
    <w:p w:rsidR="00A36889" w:rsidP="00A36889" w:rsidRDefault="00A36889" w14:paraId="0D7A4B36" w14:textId="77777777">
      <w:r>
        <w:t>Op korte termijn komt de Commissie met voorstellen ten aanzien van een aantal prioriteiten voor verdieping van de interne markt. Daarbij gaat het onder meer om een zogenoemd “28e regime”, evenals verdere integratie van de kapitaalmarkt, de energiemarkt en de telecommunicatiemarkt. Daarnaast wil hij specifiek de interne markt voor diensten verder verdiepen, met name waar het de industrie betreft. Daarbij zal sector voor sector worden gekeken, te beginnen met de knelpunten die de grootste economische impact hebben.</w:t>
      </w:r>
    </w:p>
    <w:p w:rsidR="00A36889" w:rsidP="00A36889" w:rsidRDefault="00A36889" w14:paraId="27A40620" w14:textId="77777777"/>
    <w:p w:rsidRPr="0047782A" w:rsidR="00A36889" w:rsidP="00A36889" w:rsidRDefault="00A36889" w14:paraId="5A8BB33E" w14:textId="77777777">
      <w:r>
        <w:t xml:space="preserve">Meerdere lidstaten, waaronder Nederland, onderstreepten het belang van een </w:t>
      </w:r>
      <w:proofErr w:type="spellStart"/>
      <w:r>
        <w:t>sector-specifieke</w:t>
      </w:r>
      <w:proofErr w:type="spellEnd"/>
      <w:r>
        <w:t xml:space="preserve"> aanpak van barrières voor diensten. Daarbij gaven verschillende lidstaten aan dat innovatieve oplossingen niet geschuwd moeten worden.</w:t>
      </w:r>
    </w:p>
    <w:p w:rsidR="00A36889" w:rsidP="00A36889" w:rsidRDefault="00A36889" w14:paraId="3C684583" w14:textId="77777777">
      <w:pPr>
        <w:rPr>
          <w:b/>
          <w:bCs/>
        </w:rPr>
      </w:pPr>
    </w:p>
    <w:p w:rsidR="00A36889" w:rsidP="00A36889" w:rsidRDefault="00A36889" w14:paraId="073F9353" w14:textId="77777777">
      <w:pPr>
        <w:rPr>
          <w:b/>
          <w:bCs/>
        </w:rPr>
      </w:pPr>
      <w:r>
        <w:rPr>
          <w:b/>
          <w:bCs/>
        </w:rPr>
        <w:t xml:space="preserve">Raadsconclusies Consumentenagenda </w:t>
      </w:r>
    </w:p>
    <w:p w:rsidR="00A36889" w:rsidP="00A36889" w:rsidRDefault="00A36889" w14:paraId="2D039DBC" w14:textId="77777777">
      <w:pPr>
        <w:rPr>
          <w:b/>
          <w:bCs/>
        </w:rPr>
      </w:pPr>
      <w:r>
        <w:rPr>
          <w:b/>
          <w:bCs/>
        </w:rPr>
        <w:t xml:space="preserve">Aanname </w:t>
      </w:r>
    </w:p>
    <w:p w:rsidR="00A36889" w:rsidP="00A36889" w:rsidRDefault="00A36889" w14:paraId="7EC7132E" w14:textId="77777777">
      <w:pPr>
        <w:rPr>
          <w:b/>
          <w:bCs/>
        </w:rPr>
      </w:pPr>
    </w:p>
    <w:p w:rsidR="00A36889" w:rsidP="00A36889" w:rsidRDefault="00A36889" w14:paraId="3637BC67" w14:textId="77777777">
      <w:r>
        <w:t>De Raad heeft de Raadsconclusies over de Consumentenagenda 2025-2030 unaniem aangenomen. De lidstaten</w:t>
      </w:r>
      <w:r w:rsidRPr="3E333C34">
        <w:rPr>
          <w:i/>
          <w:iCs/>
        </w:rPr>
        <w:t xml:space="preserve"> </w:t>
      </w:r>
      <w:r>
        <w:t xml:space="preserve">die intervenieerden herhaalden hun eigen prioriteiten t.a.v. de Raadsconclusies. Zo klonk er vanuit enkele lidstaten een sterke oproep voor de revisie van de Consumer </w:t>
      </w:r>
      <w:proofErr w:type="spellStart"/>
      <w:r>
        <w:t>Protection</w:t>
      </w:r>
      <w:proofErr w:type="spellEnd"/>
      <w:r>
        <w:t xml:space="preserve"> Cooperation (CPC) Verordening met Europese toezichtsbevoegdheden. Verder kwam het belang van bescherming van consumenten online aan bod, met focus op minderjarigen, middels de aankomende Digital </w:t>
      </w:r>
      <w:proofErr w:type="spellStart"/>
      <w:r>
        <w:t>Fairness</w:t>
      </w:r>
      <w:proofErr w:type="spellEnd"/>
      <w:r>
        <w:t xml:space="preserve"> Act (DFA). Hierbij legde een enkele lidstaat een sterke nadruk op simplificatie en alleen reguleren waar nodig. De laatste prioriteit die werd besproken door de lidstaten was de bescherming van consumenten die lokaal last hebben van toerisme en de aanpak van territoriale leveringsbeperkingen. </w:t>
      </w:r>
    </w:p>
    <w:p w:rsidR="00A36889" w:rsidP="00A36889" w:rsidRDefault="00A36889" w14:paraId="13439C74" w14:textId="77777777"/>
    <w:p w:rsidRPr="0093659F" w:rsidR="00A36889" w:rsidP="00A36889" w:rsidRDefault="00A36889" w14:paraId="23D5CA3C" w14:textId="77777777">
      <w:r>
        <w:t>Euroc</w:t>
      </w:r>
      <w:r w:rsidRPr="0093659F">
        <w:t xml:space="preserve">ommissaris </w:t>
      </w:r>
      <w:proofErr w:type="spellStart"/>
      <w:r w:rsidRPr="0093659F">
        <w:t>McGrath</w:t>
      </w:r>
      <w:proofErr w:type="spellEnd"/>
      <w:r w:rsidRPr="0093659F">
        <w:t xml:space="preserve"> bevestigde dat</w:t>
      </w:r>
      <w:r>
        <w:t xml:space="preserve"> in</w:t>
      </w:r>
      <w:r w:rsidRPr="0093659F">
        <w:t xml:space="preserve"> de DFA </w:t>
      </w:r>
      <w:r>
        <w:t>rekening zal worden gehouden met</w:t>
      </w:r>
      <w:r w:rsidRPr="0093659F">
        <w:t xml:space="preserve"> simplificatie. </w:t>
      </w:r>
      <w:proofErr w:type="spellStart"/>
      <w:r w:rsidRPr="0093659F">
        <w:t>McGrath</w:t>
      </w:r>
      <w:proofErr w:type="spellEnd"/>
      <w:r w:rsidRPr="0093659F">
        <w:t xml:space="preserve"> benadrukte hierbij dat er bij het uitblijven van Europese aanpak van o.a. </w:t>
      </w:r>
      <w:proofErr w:type="spellStart"/>
      <w:r w:rsidRPr="0093659F">
        <w:t>dark</w:t>
      </w:r>
      <w:proofErr w:type="spellEnd"/>
      <w:r w:rsidRPr="0093659F">
        <w:t xml:space="preserve"> </w:t>
      </w:r>
      <w:proofErr w:type="spellStart"/>
      <w:r w:rsidRPr="0093659F">
        <w:t>patterns</w:t>
      </w:r>
      <w:proofErr w:type="spellEnd"/>
      <w:r w:rsidRPr="0093659F">
        <w:t xml:space="preserve"> en verslavend ontwerp</w:t>
      </w:r>
      <w:r>
        <w:t xml:space="preserve"> </w:t>
      </w:r>
      <w:r w:rsidRPr="0093659F">
        <w:t xml:space="preserve">nationale initiatieven zouden </w:t>
      </w:r>
      <w:r>
        <w:t xml:space="preserve">kunnen </w:t>
      </w:r>
      <w:r w:rsidRPr="0093659F">
        <w:t>ontstaan</w:t>
      </w:r>
      <w:r>
        <w:t>,</w:t>
      </w:r>
      <w:r w:rsidRPr="0093659F">
        <w:t xml:space="preserve"> met fragmentatie als gevolg. </w:t>
      </w:r>
    </w:p>
    <w:p w:rsidR="00A36889" w:rsidP="00A36889" w:rsidRDefault="00A36889" w14:paraId="5BBC2D32" w14:textId="77777777"/>
    <w:p w:rsidRPr="006C7AAC" w:rsidR="00A36889" w:rsidP="00A36889" w:rsidRDefault="00A36889" w14:paraId="5D1EC95A" w14:textId="77777777">
      <w:r>
        <w:t xml:space="preserve">Tot slot benadrukte </w:t>
      </w:r>
      <w:proofErr w:type="spellStart"/>
      <w:r>
        <w:t>McGrath</w:t>
      </w:r>
      <w:proofErr w:type="spellEnd"/>
      <w:r>
        <w:t xml:space="preserve"> het belang van de revisie van de CPC-verordening (verwacht Q4 2026), o.a. om de afschrikkende werking van boetes en straffen bij overtredingen van consumentenwetgeving te vergroten.</w:t>
      </w:r>
    </w:p>
    <w:p w:rsidR="00A36889" w:rsidP="00A36889" w:rsidRDefault="00A36889" w14:paraId="011F7B02" w14:textId="77777777">
      <w:pPr>
        <w:rPr>
          <w:b/>
          <w:bCs/>
        </w:rPr>
      </w:pPr>
    </w:p>
    <w:p w:rsidRPr="00BE1B7D" w:rsidR="00A36889" w:rsidP="00A36889" w:rsidRDefault="00A36889" w14:paraId="2FBEB220" w14:textId="77777777">
      <w:pPr>
        <w:rPr>
          <w:b/>
          <w:bCs/>
        </w:rPr>
      </w:pPr>
      <w:r w:rsidRPr="00BE1B7D">
        <w:rPr>
          <w:b/>
          <w:bCs/>
        </w:rPr>
        <w:t xml:space="preserve">Europees </w:t>
      </w:r>
      <w:proofErr w:type="spellStart"/>
      <w:r w:rsidRPr="00BE1B7D">
        <w:rPr>
          <w:b/>
          <w:bCs/>
        </w:rPr>
        <w:t>Concurrentievermogenfonds</w:t>
      </w:r>
      <w:proofErr w:type="spellEnd"/>
      <w:r w:rsidRPr="00BE1B7D">
        <w:rPr>
          <w:b/>
          <w:bCs/>
        </w:rPr>
        <w:t xml:space="preserve"> </w:t>
      </w:r>
      <w:r>
        <w:rPr>
          <w:b/>
          <w:bCs/>
        </w:rPr>
        <w:t>(ECF)</w:t>
      </w:r>
    </w:p>
    <w:p w:rsidRPr="00113421" w:rsidR="00A36889" w:rsidP="00A36889" w:rsidRDefault="00A36889" w14:paraId="41C44A85" w14:textId="77777777">
      <w:pPr>
        <w:rPr>
          <w:i/>
          <w:iCs/>
        </w:rPr>
      </w:pPr>
      <w:r w:rsidRPr="00113421">
        <w:rPr>
          <w:i/>
          <w:iCs/>
        </w:rPr>
        <w:t xml:space="preserve">Beleidsdebat </w:t>
      </w:r>
    </w:p>
    <w:p w:rsidR="00A36889" w:rsidP="00A36889" w:rsidRDefault="00A36889" w14:paraId="226BADF1" w14:textId="77777777"/>
    <w:p w:rsidR="00A36889" w:rsidP="00A36889" w:rsidRDefault="00A36889" w14:paraId="17FCBBA3" w14:textId="77777777">
      <w:r>
        <w:t xml:space="preserve">Het beleidsdebat besprak de vragen hoe de rol van het Europese mkb het best kan worden geïntegreerd in het ECF en hoe privaat kapitaal losgetrokken kan worden om doorgroei van bedrijven te bevorderen. </w:t>
      </w:r>
    </w:p>
    <w:p w:rsidR="00A36889" w:rsidP="00A36889" w:rsidRDefault="00A36889" w14:paraId="55B721D2" w14:textId="77777777"/>
    <w:p w:rsidR="00A36889" w:rsidP="00A36889" w:rsidRDefault="00A36889" w14:paraId="6D996BAC" w14:textId="77777777">
      <w:r w:rsidRPr="00983A02">
        <w:t>De Commissie open</w:t>
      </w:r>
      <w:r>
        <w:t>de</w:t>
      </w:r>
      <w:r w:rsidRPr="00983A02">
        <w:t xml:space="preserve"> het debat </w:t>
      </w:r>
      <w:r>
        <w:t xml:space="preserve">door het belang van het ECF voor een weerbare economie te onderstrepen. Eurocommissaris </w:t>
      </w:r>
      <w:proofErr w:type="spellStart"/>
      <w:r>
        <w:t>Séjourné</w:t>
      </w:r>
      <w:proofErr w:type="spellEnd"/>
      <w:r>
        <w:t xml:space="preserve"> benadrukte daarbij het belang van een goede toegang voor het mkb tot het ECF. Wel wees de Commissie er daarbij op dat het mkb geen homogene groep is, hetgeen een</w:t>
      </w:r>
      <w:r w:rsidRPr="00ED6EA4">
        <w:t xml:space="preserve"> doelgerichte en sectorale aanpak</w:t>
      </w:r>
      <w:r>
        <w:t xml:space="preserve"> van belang maakt.</w:t>
      </w:r>
    </w:p>
    <w:p w:rsidR="00A36889" w:rsidP="00A36889" w:rsidRDefault="00A36889" w14:paraId="31C4A563" w14:textId="77777777"/>
    <w:p w:rsidR="00A36889" w:rsidP="00A36889" w:rsidRDefault="00A36889" w14:paraId="6009A333" w14:textId="77777777">
      <w:r>
        <w:t xml:space="preserve">Zo goed als alle lidstaten onderschreven het belang van het mkb, in het bijzonder ook het innovatieve mkb en </w:t>
      </w:r>
      <w:proofErr w:type="spellStart"/>
      <w:r>
        <w:t>start-en</w:t>
      </w:r>
      <w:proofErr w:type="spellEnd"/>
      <w:r>
        <w:t xml:space="preserve"> </w:t>
      </w:r>
      <w:proofErr w:type="spellStart"/>
      <w:r>
        <w:t>scale</w:t>
      </w:r>
      <w:proofErr w:type="spellEnd"/>
      <w:r>
        <w:t xml:space="preserve">-ups, maar er waren verschillen in hoe dit in het ECF te reflecteren. Sommige lidstaten riepen op tot verplichtingen en criteria rondom (grensoverschrijdende) deelname van mkb in toekenningsprocedures en projecten, bonuspunt systemen of zelfs een budgetoormerking. Anderen, inclusief Nederland, legden de nadruk op een ECF dat </w:t>
      </w:r>
      <w:proofErr w:type="spellStart"/>
      <w:r w:rsidRPr="3E333C34">
        <w:rPr>
          <w:i/>
          <w:iCs/>
        </w:rPr>
        <w:t>by</w:t>
      </w:r>
      <w:proofErr w:type="spellEnd"/>
      <w:r w:rsidRPr="3E333C34">
        <w:rPr>
          <w:i/>
          <w:iCs/>
        </w:rPr>
        <w:t xml:space="preserve"> design </w:t>
      </w:r>
      <w:r>
        <w:t xml:space="preserve">meer rekening houdt met het mkb door makkelijkere en toegankelijkere procedures. Meerdere lidstaten benoemden dat het ECF moet zorgen voor het aantrekken van privaat kapitaal, waarbij veel lidstaten, waaronder Nederland, zich uitspraken voor een sterke(re) rol voor het </w:t>
      </w:r>
      <w:proofErr w:type="spellStart"/>
      <w:r>
        <w:t>InvestEU</w:t>
      </w:r>
      <w:proofErr w:type="spellEnd"/>
      <w:r>
        <w:t>-instrument onder het ECF.</w:t>
      </w:r>
    </w:p>
    <w:p w:rsidR="00A36889" w:rsidP="00A36889" w:rsidRDefault="00A36889" w14:paraId="6CC6CC5E" w14:textId="77777777"/>
    <w:p w:rsidR="00A36889" w:rsidP="00A36889" w:rsidRDefault="00A36889" w14:paraId="219B211F" w14:textId="77777777">
      <w:r>
        <w:t xml:space="preserve">De discussie ging met name over de vraag hoe excellentie en impact criteria zich verhouden tot geografische spreiding. Meerdere zogenaamde ‘spreidingslanden’ onderstreepten de noodzaak van geografische spreiding van de ECF-middelen en een ‘eerlijke’ verdeling voor de minderontwikkelde lidstaten. Daarbij benadrukten deze lidstaten dat de route daarnaartoe ook voor hen mogelijk moet worden in het ECF, met name voor het mkb. </w:t>
      </w:r>
    </w:p>
    <w:p w:rsidR="00A36889" w:rsidP="00A36889" w:rsidRDefault="00A36889" w14:paraId="57525630" w14:textId="77777777"/>
    <w:p w:rsidR="00A36889" w:rsidP="00A36889" w:rsidRDefault="00A36889" w14:paraId="0CC1448F" w14:textId="77777777">
      <w:r>
        <w:t xml:space="preserve">Een andere groep lidstaten, inclusief Nederland, benadrukte juist het belang van selectie op basis van open en competitieve procedures en kwaliteit en impact als criteria waarbij innovatie en EU toegevoegde waarde voorop moeten staan. Veel lidstaten verwezen hierbij naar het Zweedse ECF non-paper, dat Nederland en negen andere lidstaten hebben meegetekend. </w:t>
      </w:r>
      <w:r>
        <w:rPr>
          <w:rFonts w:eastAsia="Verdana" w:cs="Verdana"/>
          <w:color w:val="000000" w:themeColor="text1"/>
        </w:rPr>
        <w:t xml:space="preserve">In het non-paper bepleiten Nederland en negen andere lidstaten onder andere voor een ECF met sterke en heldere toekenningscriteria en competitieve project selectie, een sterke rol voor het </w:t>
      </w:r>
      <w:proofErr w:type="spellStart"/>
      <w:r>
        <w:rPr>
          <w:rFonts w:eastAsia="Verdana" w:cs="Verdana"/>
          <w:color w:val="000000" w:themeColor="text1"/>
        </w:rPr>
        <w:t>InvestEU</w:t>
      </w:r>
      <w:proofErr w:type="spellEnd"/>
      <w:r>
        <w:rPr>
          <w:rFonts w:eastAsia="Verdana" w:cs="Verdana"/>
          <w:color w:val="000000" w:themeColor="text1"/>
        </w:rPr>
        <w:t xml:space="preserve">-instrument, coherente implementatie en </w:t>
      </w:r>
      <w:proofErr w:type="spellStart"/>
      <w:r>
        <w:rPr>
          <w:rFonts w:eastAsia="Verdana" w:cs="Verdana"/>
          <w:color w:val="000000" w:themeColor="text1"/>
        </w:rPr>
        <w:t>governance</w:t>
      </w:r>
      <w:proofErr w:type="spellEnd"/>
      <w:r>
        <w:rPr>
          <w:rFonts w:eastAsia="Verdana" w:cs="Verdana"/>
          <w:color w:val="000000" w:themeColor="text1"/>
        </w:rPr>
        <w:t xml:space="preserve"> in synergie met Horizon Europe en vereenvoudiging van toegang tot financiering.</w:t>
      </w:r>
    </w:p>
    <w:p w:rsidR="00A36889" w:rsidP="00A36889" w:rsidRDefault="00A36889" w14:paraId="6D6FE29C" w14:textId="77777777"/>
    <w:p w:rsidR="00A36889" w:rsidP="00A36889" w:rsidRDefault="00A36889" w14:paraId="78557181" w14:textId="77777777">
      <w:pPr>
        <w:rPr>
          <w:b/>
          <w:bCs/>
        </w:rPr>
      </w:pPr>
      <w:r w:rsidRPr="001F1800">
        <w:rPr>
          <w:b/>
          <w:bCs/>
        </w:rPr>
        <w:t>Diversenpunten</w:t>
      </w:r>
    </w:p>
    <w:p w:rsidR="00A36889" w:rsidP="00A36889" w:rsidRDefault="00A36889" w14:paraId="00F0655E" w14:textId="77777777">
      <w:pPr>
        <w:rPr>
          <w:b/>
          <w:bCs/>
        </w:rPr>
      </w:pPr>
    </w:p>
    <w:p w:rsidRPr="003864C4" w:rsidR="00A36889" w:rsidP="00A36889" w:rsidRDefault="00A36889" w14:paraId="216D723C" w14:textId="77777777">
      <w:pPr>
        <w:rPr>
          <w:i/>
          <w:iCs/>
        </w:rPr>
      </w:pPr>
      <w:r>
        <w:rPr>
          <w:i/>
          <w:iCs/>
        </w:rPr>
        <w:t>Mededingingsbeleid</w:t>
      </w:r>
    </w:p>
    <w:p w:rsidR="00A36889" w:rsidP="00A36889" w:rsidRDefault="00A36889" w14:paraId="7EC42C47" w14:textId="77777777">
      <w:r>
        <w:t xml:space="preserve">Finland agendeerde een non-paper over mededingingsrecht, gesteund door verschillende lidstaten. Finland </w:t>
      </w:r>
      <w:r w:rsidRPr="008B5114">
        <w:t>bepleitte dat modernisering van het EU-mededingingsbeleid niet ten koste mag gaan van effectieve concurrentie, die op haar beurt betaalbare prijzen, betere kwaliteit, innovatie, meer keuze en diversiteit in de toeleveringsketen garandeert.</w:t>
      </w:r>
      <w:r>
        <w:t xml:space="preserve"> Nederland sprak steun uit voor het non-paper. </w:t>
      </w:r>
    </w:p>
    <w:p w:rsidR="00A36889" w:rsidP="00A36889" w:rsidRDefault="00A36889" w14:paraId="46E3AC3F" w14:textId="77777777"/>
    <w:p w:rsidR="00A36889" w:rsidP="00A36889" w:rsidRDefault="00A36889" w14:paraId="2753C647" w14:textId="77777777">
      <w:r>
        <w:t>In reactie beaamde Eurocommissaris</w:t>
      </w:r>
      <w:r w:rsidRPr="00FB5247">
        <w:t xml:space="preserve"> Ribera dat innovatie gebaat is bij heldere fusierichtsnoeren</w:t>
      </w:r>
      <w:r>
        <w:t>. Tegelijk</w:t>
      </w:r>
      <w:r w:rsidRPr="00FB5247">
        <w:t xml:space="preserve"> onderschreef</w:t>
      </w:r>
      <w:r>
        <w:t xml:space="preserve"> zij</w:t>
      </w:r>
      <w:r w:rsidRPr="00FB5247">
        <w:t xml:space="preserve"> belang van modernisering. </w:t>
      </w:r>
      <w:r>
        <w:t>Ze plaatste daarbij</w:t>
      </w:r>
      <w:r w:rsidRPr="00FB5247">
        <w:t xml:space="preserve"> wel de kanttekening dat er voor concurrentievermogen naast </w:t>
      </w:r>
      <w:r w:rsidRPr="00FB5247">
        <w:rPr>
          <w:i/>
          <w:iCs/>
        </w:rPr>
        <w:t>fit-</w:t>
      </w:r>
      <w:proofErr w:type="spellStart"/>
      <w:r w:rsidRPr="00FB5247">
        <w:rPr>
          <w:i/>
          <w:iCs/>
        </w:rPr>
        <w:t>for</w:t>
      </w:r>
      <w:proofErr w:type="spellEnd"/>
      <w:r w:rsidRPr="00FB5247">
        <w:rPr>
          <w:i/>
          <w:iCs/>
        </w:rPr>
        <w:t>-</w:t>
      </w:r>
      <w:proofErr w:type="spellStart"/>
      <w:r w:rsidRPr="00FB5247">
        <w:rPr>
          <w:i/>
          <w:iCs/>
        </w:rPr>
        <w:t>purpose</w:t>
      </w:r>
      <w:proofErr w:type="spellEnd"/>
      <w:r w:rsidRPr="00FB5247">
        <w:t xml:space="preserve"> mededingingsbeleid ook een sterke interne markt nodig is, en het niet mededingingsbeleid maar een verdiepte interne markt is die van Europese bedrijven Europese kampioenen maakt.</w:t>
      </w:r>
    </w:p>
    <w:p w:rsidR="00A36889" w:rsidP="00A36889" w:rsidRDefault="00A36889" w14:paraId="53EA6004" w14:textId="77777777"/>
    <w:p w:rsidRPr="003864C4" w:rsidR="00A36889" w:rsidP="00A36889" w:rsidRDefault="00A36889" w14:paraId="61726B91" w14:textId="77777777">
      <w:pPr>
        <w:rPr>
          <w:i/>
          <w:iCs/>
        </w:rPr>
      </w:pPr>
      <w:r>
        <w:rPr>
          <w:i/>
          <w:iCs/>
        </w:rPr>
        <w:t>Bio-economie strategie</w:t>
      </w:r>
    </w:p>
    <w:p w:rsidR="00A36889" w:rsidP="00A36889" w:rsidRDefault="00A36889" w14:paraId="7D958C03" w14:textId="77777777">
      <w:r>
        <w:t>De Commissie lichtte in een diversenpunt de recent gepubliceerde bio-economie strategie toe.</w:t>
      </w:r>
      <w:r>
        <w:rPr>
          <w:rStyle w:val="Voetnootmarkering"/>
        </w:rPr>
        <w:footnoteReference w:id="3"/>
      </w:r>
      <w:r>
        <w:t xml:space="preserve"> </w:t>
      </w:r>
      <w:r w:rsidRPr="00D3257B">
        <w:t>Enkele lidstaten</w:t>
      </w:r>
      <w:r w:rsidRPr="00D3257B">
        <w:rPr>
          <w:b/>
          <w:bCs/>
        </w:rPr>
        <w:t xml:space="preserve"> </w:t>
      </w:r>
      <w:r>
        <w:t>verwelkomden</w:t>
      </w:r>
      <w:r w:rsidRPr="00D3257B">
        <w:t xml:space="preserve"> de gepubliceerde strategie</w:t>
      </w:r>
      <w:r>
        <w:t xml:space="preserve">, daarbij erop wijzend dat de strategie met name moet voortbouwen op bestaande kaders. Ook wezen verschillende lidstaten erop dat regeldruk voorkomen moet worden. </w:t>
      </w:r>
    </w:p>
    <w:p w:rsidR="00A36889" w:rsidP="00A36889" w:rsidRDefault="00A36889" w14:paraId="6D295655" w14:textId="77777777"/>
    <w:p w:rsidRPr="003864C4" w:rsidR="00A36889" w:rsidP="00A36889" w:rsidRDefault="00A36889" w14:paraId="65E1F5D6" w14:textId="77777777">
      <w:pPr>
        <w:rPr>
          <w:i/>
          <w:iCs/>
        </w:rPr>
      </w:pPr>
      <w:proofErr w:type="spellStart"/>
      <w:r>
        <w:rPr>
          <w:i/>
          <w:iCs/>
        </w:rPr>
        <w:t>Biotech</w:t>
      </w:r>
      <w:proofErr w:type="spellEnd"/>
      <w:r>
        <w:rPr>
          <w:i/>
          <w:iCs/>
        </w:rPr>
        <w:t xml:space="preserve"> Act II</w:t>
      </w:r>
    </w:p>
    <w:p w:rsidR="00A36889" w:rsidP="00A36889" w:rsidRDefault="00A36889" w14:paraId="28A0EF6E" w14:textId="77777777">
      <w:r>
        <w:t xml:space="preserve">Denemarken agendeerde een non-paper over de aankomende </w:t>
      </w:r>
      <w:proofErr w:type="spellStart"/>
      <w:r>
        <w:t>Biotech</w:t>
      </w:r>
      <w:proofErr w:type="spellEnd"/>
      <w:r>
        <w:t xml:space="preserve"> Act II, dat is opgesteld in nauwe samenwerking met Nederland. Het non-paper is gesteund door 7 lidstaten, inclusief Nederland. In het non-paper roepen deze lidstaten op tot een ambitieuze tweede </w:t>
      </w:r>
      <w:proofErr w:type="spellStart"/>
      <w:r>
        <w:t>Biotech</w:t>
      </w:r>
      <w:proofErr w:type="spellEnd"/>
      <w:r>
        <w:t xml:space="preserve"> Act, waarbij samenhang met de recent gepubliceerde </w:t>
      </w:r>
      <w:proofErr w:type="spellStart"/>
      <w:r>
        <w:t>Biotech</w:t>
      </w:r>
      <w:proofErr w:type="spellEnd"/>
      <w:r>
        <w:t xml:space="preserve"> Act I van belang is. Daarnaast roepen de lidstaten op tot het faciliteren van opschaling in de </w:t>
      </w:r>
      <w:proofErr w:type="spellStart"/>
      <w:r>
        <w:t>biotech</w:t>
      </w:r>
      <w:proofErr w:type="spellEnd"/>
      <w:r>
        <w:t>-sector, middels onder andere vereenvoudiging van regelgeving en een helder regelgevend kader. De Commissie onderschreef de benoemde prioriteiten in het non-paper.</w:t>
      </w:r>
    </w:p>
    <w:p w:rsidR="00A36889" w:rsidP="00A36889" w:rsidRDefault="00A36889" w14:paraId="410E1CE3" w14:textId="77777777"/>
    <w:p w:rsidRPr="003864C4" w:rsidR="00A36889" w:rsidP="00A36889" w:rsidRDefault="00A36889" w14:paraId="557706B5" w14:textId="77777777">
      <w:pPr>
        <w:rPr>
          <w:i/>
          <w:iCs/>
        </w:rPr>
      </w:pPr>
      <w:r>
        <w:rPr>
          <w:i/>
          <w:iCs/>
        </w:rPr>
        <w:t>Herziene richtlijn hernieuwbare energie (REDIII)</w:t>
      </w:r>
    </w:p>
    <w:p w:rsidR="00A36889" w:rsidP="00A36889" w:rsidRDefault="00A36889" w14:paraId="52492A37" w14:textId="77777777">
      <w:r>
        <w:t>België agendeerde een non-paper over de herziene richtlijn hernieuwbare energie (REDIII). Gesteund door zes andere lidstaten, schetste het non-paper uitdagingen waar de sector voor waterstofproductie mee te kampen zou hebben. Deze groep lidstaten riep daarbij op tot een pragmatischere omgang met de doelen in de richtlijn.</w:t>
      </w:r>
    </w:p>
    <w:p w:rsidR="00A36889" w:rsidP="00A36889" w:rsidRDefault="00A36889" w14:paraId="5BE55F5D" w14:textId="77777777"/>
    <w:p w:rsidRPr="00185FF4" w:rsidR="00A36889" w:rsidP="00A36889" w:rsidRDefault="00A36889" w14:paraId="09885565" w14:textId="77777777">
      <w:pPr>
        <w:rPr>
          <w:b/>
          <w:bCs/>
          <w:szCs w:val="18"/>
        </w:rPr>
      </w:pPr>
      <w:r w:rsidRPr="00185FF4">
        <w:rPr>
          <w:b/>
          <w:bCs/>
          <w:szCs w:val="18"/>
        </w:rPr>
        <w:t xml:space="preserve">Verslag van het onderzoeks- en innovatiedeel van de formele Raad voor Concurrentievermogen op </w:t>
      </w:r>
      <w:r>
        <w:rPr>
          <w:b/>
          <w:bCs/>
          <w:szCs w:val="18"/>
        </w:rPr>
        <w:t>27 februari 2026</w:t>
      </w:r>
      <w:r w:rsidRPr="00185FF4">
        <w:rPr>
          <w:b/>
          <w:bCs/>
          <w:szCs w:val="18"/>
        </w:rPr>
        <w:t xml:space="preserve"> te Brussel</w:t>
      </w:r>
    </w:p>
    <w:p w:rsidRPr="00185FF4" w:rsidR="00A36889" w:rsidP="00A36889" w:rsidRDefault="00A36889" w14:paraId="4E40B8AA" w14:textId="77777777">
      <w:pPr>
        <w:suppressAutoHyphens/>
        <w:rPr>
          <w:szCs w:val="18"/>
        </w:rPr>
      </w:pPr>
    </w:p>
    <w:p w:rsidRPr="00185FF4" w:rsidR="00A36889" w:rsidP="00A36889" w:rsidRDefault="00A36889" w14:paraId="23F93BB5" w14:textId="77777777">
      <w:pPr>
        <w:suppressAutoHyphens/>
        <w:rPr>
          <w:szCs w:val="18"/>
        </w:rPr>
      </w:pPr>
      <w:r w:rsidRPr="00185FF4">
        <w:rPr>
          <w:szCs w:val="18"/>
        </w:rPr>
        <w:t xml:space="preserve">Dit deel van het verslag is mede namens de minister van Onderwijs, Cultuur en Wetenschap en gaat enkel over het onderzoeks-en innovatiedeel van de Raad. </w:t>
      </w:r>
    </w:p>
    <w:p w:rsidRPr="00185FF4" w:rsidR="00A36889" w:rsidP="00A36889" w:rsidRDefault="00A36889" w14:paraId="2B746273" w14:textId="77777777">
      <w:pPr>
        <w:suppressAutoHyphens/>
        <w:rPr>
          <w:rFonts w:eastAsia="Aptos"/>
          <w:b/>
          <w:szCs w:val="18"/>
        </w:rPr>
      </w:pPr>
    </w:p>
    <w:p w:rsidRPr="0048260D" w:rsidR="00A36889" w:rsidP="00A36889" w:rsidRDefault="00A36889" w14:paraId="2AF1AB7F" w14:textId="77777777">
      <w:pPr>
        <w:suppressAutoHyphens/>
        <w:rPr>
          <w:rFonts w:eastAsia="Aptos"/>
          <w:b/>
          <w:szCs w:val="18"/>
        </w:rPr>
      </w:pPr>
      <w:r w:rsidRPr="00C11701">
        <w:rPr>
          <w:rFonts w:eastAsia="Aptos"/>
          <w:b/>
          <w:szCs w:val="18"/>
        </w:rPr>
        <w:t>Fonds voor Onderzoek inzake Kolen en Staal</w:t>
      </w:r>
    </w:p>
    <w:p w:rsidRPr="00185FF4" w:rsidR="00A36889" w:rsidP="00A36889" w:rsidRDefault="00A36889" w14:paraId="144CF930" w14:textId="77777777">
      <w:pPr>
        <w:suppressAutoHyphens/>
        <w:rPr>
          <w:szCs w:val="18"/>
        </w:rPr>
      </w:pPr>
      <w:r w:rsidRPr="00185FF4">
        <w:rPr>
          <w:rFonts w:eastAsia="Aptos"/>
          <w:i/>
          <w:szCs w:val="18"/>
        </w:rPr>
        <w:t xml:space="preserve">Aanname </w:t>
      </w:r>
      <w:r>
        <w:rPr>
          <w:rFonts w:eastAsia="Aptos"/>
          <w:i/>
          <w:szCs w:val="18"/>
        </w:rPr>
        <w:t>verordening</w:t>
      </w:r>
    </w:p>
    <w:p w:rsidR="00A36889" w:rsidP="00A36889" w:rsidRDefault="00A36889" w14:paraId="680055F1" w14:textId="77777777">
      <w:pPr>
        <w:widowControl w:val="0"/>
        <w:rPr>
          <w:szCs w:val="18"/>
        </w:rPr>
      </w:pPr>
    </w:p>
    <w:p w:rsidR="00A36889" w:rsidP="00A36889" w:rsidRDefault="00A36889" w14:paraId="6FEDDE88" w14:textId="77777777">
      <w:pPr>
        <w:widowControl w:val="0"/>
        <w:rPr>
          <w:szCs w:val="18"/>
        </w:rPr>
      </w:pPr>
      <w:r w:rsidRPr="00C243DF">
        <w:rPr>
          <w:szCs w:val="18"/>
        </w:rPr>
        <w:t xml:space="preserve">De Raad </w:t>
      </w:r>
      <w:r>
        <w:rPr>
          <w:szCs w:val="18"/>
        </w:rPr>
        <w:t>heeft</w:t>
      </w:r>
      <w:r w:rsidRPr="00C243DF">
        <w:rPr>
          <w:szCs w:val="18"/>
        </w:rPr>
        <w:t xml:space="preserve"> de herziening van de verordening voor het Fonds voor Onderzoek inzake Kolen en Staal (RFCS) </w:t>
      </w:r>
      <w:r>
        <w:rPr>
          <w:szCs w:val="18"/>
        </w:rPr>
        <w:t xml:space="preserve">aangenomen. Het Europees Parlement zal hier vervolgens over worden geraadpleegd. </w:t>
      </w:r>
    </w:p>
    <w:p w:rsidR="00A36889" w:rsidP="00A36889" w:rsidRDefault="00A36889" w14:paraId="137EFB66" w14:textId="77777777">
      <w:pPr>
        <w:widowControl w:val="0"/>
        <w:rPr>
          <w:szCs w:val="18"/>
        </w:rPr>
      </w:pPr>
    </w:p>
    <w:p w:rsidR="00A36889" w:rsidP="00A36889" w:rsidRDefault="00A36889" w14:paraId="097F326D" w14:textId="77777777">
      <w:pPr>
        <w:widowControl w:val="0"/>
        <w:rPr>
          <w:szCs w:val="18"/>
        </w:rPr>
      </w:pPr>
      <w:r>
        <w:rPr>
          <w:szCs w:val="18"/>
        </w:rPr>
        <w:t xml:space="preserve">Het Cypriotische voorzitterschap lichtte toe dat de herziening zal leiden tot </w:t>
      </w:r>
      <w:r w:rsidRPr="00042B91">
        <w:rPr>
          <w:szCs w:val="18"/>
        </w:rPr>
        <w:t>investeringen in innovatief staalonderzoek</w:t>
      </w:r>
      <w:r>
        <w:rPr>
          <w:szCs w:val="18"/>
        </w:rPr>
        <w:t xml:space="preserve">, gericht op </w:t>
      </w:r>
      <w:proofErr w:type="spellStart"/>
      <w:r w:rsidRPr="008815F1">
        <w:rPr>
          <w:szCs w:val="18"/>
        </w:rPr>
        <w:t>decarbonisatie</w:t>
      </w:r>
      <w:proofErr w:type="spellEnd"/>
      <w:r w:rsidRPr="008815F1">
        <w:rPr>
          <w:szCs w:val="18"/>
        </w:rPr>
        <w:t xml:space="preserve"> en transitie naar schone productie</w:t>
      </w:r>
      <w:r>
        <w:rPr>
          <w:szCs w:val="18"/>
        </w:rPr>
        <w:t xml:space="preserve">. Hiermee wordt </w:t>
      </w:r>
      <w:r w:rsidRPr="0089014C">
        <w:t>ingezet o</w:t>
      </w:r>
      <w:r>
        <w:t>p het behoud van het</w:t>
      </w:r>
      <w:r w:rsidRPr="0089014C">
        <w:t xml:space="preserve"> </w:t>
      </w:r>
      <w:r w:rsidRPr="006F25E1">
        <w:t>technologische en industriële leiderschap van Europa</w:t>
      </w:r>
      <w:r>
        <w:rPr>
          <w:szCs w:val="18"/>
        </w:rPr>
        <w:t xml:space="preserve"> waarmee de herziening het concurrentievermogen en de strategische autonomie van de EU bevordert. </w:t>
      </w:r>
      <w:r w:rsidRPr="008815F1">
        <w:rPr>
          <w:szCs w:val="18"/>
        </w:rPr>
        <w:t xml:space="preserve">Het </w:t>
      </w:r>
      <w:r>
        <w:rPr>
          <w:szCs w:val="18"/>
        </w:rPr>
        <w:t xml:space="preserve">fonds wordt voortgezet </w:t>
      </w:r>
      <w:r w:rsidRPr="008815F1">
        <w:rPr>
          <w:szCs w:val="18"/>
        </w:rPr>
        <w:t>tot 2034.</w:t>
      </w:r>
      <w:r>
        <w:rPr>
          <w:szCs w:val="18"/>
        </w:rPr>
        <w:t xml:space="preserve"> De Eurocommissaris en enkele lidstaten namen het woord en bevestigden hun steun aan dit voorstel. </w:t>
      </w:r>
    </w:p>
    <w:p w:rsidR="00A36889" w:rsidP="00A36889" w:rsidRDefault="00A36889" w14:paraId="6FBE462D" w14:textId="77777777">
      <w:pPr>
        <w:suppressAutoHyphens/>
        <w:rPr>
          <w:szCs w:val="18"/>
        </w:rPr>
      </w:pPr>
    </w:p>
    <w:p w:rsidRPr="00610126" w:rsidR="00A36889" w:rsidP="00A36889" w:rsidRDefault="00A36889" w14:paraId="71973098" w14:textId="77777777">
      <w:r w:rsidRPr="00610126">
        <w:rPr>
          <w:b/>
          <w:bCs/>
        </w:rPr>
        <w:t xml:space="preserve">Horizon Europe (2028-2034), het tiende kaderprogramma voor </w:t>
      </w:r>
      <w:r>
        <w:rPr>
          <w:b/>
          <w:bCs/>
        </w:rPr>
        <w:t>o</w:t>
      </w:r>
      <w:r w:rsidRPr="00610126">
        <w:rPr>
          <w:b/>
          <w:bCs/>
        </w:rPr>
        <w:t xml:space="preserve">nderzoek en </w:t>
      </w:r>
      <w:r>
        <w:rPr>
          <w:b/>
          <w:bCs/>
        </w:rPr>
        <w:t>i</w:t>
      </w:r>
      <w:r w:rsidRPr="00610126">
        <w:rPr>
          <w:b/>
          <w:bCs/>
        </w:rPr>
        <w:t>nnovatie</w:t>
      </w:r>
    </w:p>
    <w:p w:rsidRPr="00610126" w:rsidR="00A36889" w:rsidP="00A36889" w:rsidRDefault="00A36889" w14:paraId="503027FC" w14:textId="77777777">
      <w:pPr>
        <w:widowControl w:val="0"/>
        <w:rPr>
          <w:i/>
          <w:szCs w:val="18"/>
        </w:rPr>
      </w:pPr>
      <w:r w:rsidRPr="00610126">
        <w:rPr>
          <w:i/>
          <w:szCs w:val="18"/>
        </w:rPr>
        <w:t xml:space="preserve">Beleidsdebat </w:t>
      </w:r>
    </w:p>
    <w:p w:rsidRPr="00660448" w:rsidR="00A36889" w:rsidP="00A36889" w:rsidRDefault="00A36889" w14:paraId="627AD69F" w14:textId="77777777">
      <w:pPr>
        <w:contextualSpacing/>
        <w:rPr>
          <w:rFonts w:eastAsia="Calibri" w:cstheme="minorHAnsi"/>
        </w:rPr>
      </w:pPr>
    </w:p>
    <w:p w:rsidR="00A36889" w:rsidP="00A36889" w:rsidRDefault="00A36889" w14:paraId="1D887711" w14:textId="77777777">
      <w:pPr>
        <w:rPr>
          <w:szCs w:val="18"/>
        </w:rPr>
      </w:pPr>
      <w:r w:rsidRPr="00660448">
        <w:rPr>
          <w:rFonts w:cstheme="minorHAnsi"/>
          <w:szCs w:val="18"/>
        </w:rPr>
        <w:t>De onderhandelingen over het tiende kaderprogramma voor onderzoek en innovatie</w:t>
      </w:r>
      <w:r>
        <w:rPr>
          <w:rFonts w:cstheme="minorHAnsi"/>
          <w:szCs w:val="18"/>
        </w:rPr>
        <w:t xml:space="preserve"> </w:t>
      </w:r>
      <w:r w:rsidRPr="00660448">
        <w:rPr>
          <w:rFonts w:cstheme="minorHAnsi"/>
          <w:szCs w:val="18"/>
        </w:rPr>
        <w:t>(voorgesteld budget € 175 miljard) zijn in volle gang. Nederland zet, conform het BNC-fiche</w:t>
      </w:r>
      <w:r w:rsidRPr="00660448">
        <w:rPr>
          <w:rStyle w:val="Voetnootmarkering"/>
          <w:rFonts w:cstheme="minorHAnsi"/>
          <w:szCs w:val="18"/>
        </w:rPr>
        <w:footnoteReference w:id="4"/>
      </w:r>
      <w:r w:rsidRPr="00660448">
        <w:rPr>
          <w:rFonts w:cstheme="minorHAnsi"/>
          <w:szCs w:val="18"/>
        </w:rPr>
        <w:t xml:space="preserve">, </w:t>
      </w:r>
      <w:r>
        <w:rPr>
          <w:rFonts w:cstheme="minorHAnsi"/>
          <w:szCs w:val="18"/>
        </w:rPr>
        <w:t xml:space="preserve">in op een </w:t>
      </w:r>
      <w:r w:rsidRPr="00660448">
        <w:rPr>
          <w:szCs w:val="18"/>
        </w:rPr>
        <w:t xml:space="preserve">kaderprogramma </w:t>
      </w:r>
      <w:r>
        <w:rPr>
          <w:szCs w:val="18"/>
        </w:rPr>
        <w:t xml:space="preserve">dat </w:t>
      </w:r>
      <w:r w:rsidRPr="00660448">
        <w:rPr>
          <w:szCs w:val="18"/>
        </w:rPr>
        <w:t>op een samenhangende en integrale wijze het hele spectrum van onderzo</w:t>
      </w:r>
      <w:r>
        <w:rPr>
          <w:szCs w:val="18"/>
        </w:rPr>
        <w:t>e</w:t>
      </w:r>
      <w:r w:rsidRPr="00660448">
        <w:rPr>
          <w:szCs w:val="18"/>
        </w:rPr>
        <w:t xml:space="preserve">k en innovatie (O&amp;I) </w:t>
      </w:r>
      <w:r>
        <w:rPr>
          <w:szCs w:val="18"/>
        </w:rPr>
        <w:t>ondersteunt</w:t>
      </w:r>
      <w:r w:rsidRPr="00660448">
        <w:rPr>
          <w:szCs w:val="18"/>
        </w:rPr>
        <w:t xml:space="preserve">: van fundamenteel onderzoek tot innovatie, commercialisatie en maatschappelijke impact, en van nieuwsgierigheid-gedreven tot thematisch gestuurd O&amp;I. </w:t>
      </w:r>
    </w:p>
    <w:p w:rsidR="00A36889" w:rsidP="00A36889" w:rsidRDefault="00A36889" w14:paraId="174C90D5" w14:textId="77777777">
      <w:pPr>
        <w:rPr>
          <w:szCs w:val="18"/>
        </w:rPr>
      </w:pPr>
    </w:p>
    <w:p w:rsidRPr="0054551A" w:rsidR="00A36889" w:rsidP="00A36889" w:rsidRDefault="00A36889" w14:paraId="6F5D040F" w14:textId="77777777">
      <w:r w:rsidRPr="00660448">
        <w:t>Door gerichte inzet kunnen O&amp;I-ecosystemen op strategische thema’s binnen Europa groeien, in goede verbinding met de benodigde expertise en talent wereldwijd.</w:t>
      </w:r>
      <w:r>
        <w:t xml:space="preserve"> </w:t>
      </w:r>
      <w:r w:rsidRPr="00660448">
        <w:rPr>
          <w:rFonts w:eastAsiaTheme="minorEastAsia" w:cstheme="minorHAnsi"/>
          <w:color w:val="000000" w:themeColor="text1"/>
          <w:kern w:val="24"/>
          <w:szCs w:val="18"/>
        </w:rPr>
        <w:t>Hiermee levert het programma een cruciale bijdrage aan</w:t>
      </w:r>
      <w:r>
        <w:rPr>
          <w:rFonts w:eastAsiaTheme="minorEastAsia" w:cstheme="minorHAnsi"/>
          <w:color w:val="000000" w:themeColor="text1"/>
          <w:kern w:val="24"/>
          <w:szCs w:val="18"/>
        </w:rPr>
        <w:t xml:space="preserve"> excellente en impactvolle</w:t>
      </w:r>
      <w:r w:rsidRPr="00660448">
        <w:rPr>
          <w:rFonts w:eastAsiaTheme="minorEastAsia" w:cstheme="minorHAnsi"/>
          <w:color w:val="000000" w:themeColor="text1"/>
          <w:kern w:val="24"/>
          <w:szCs w:val="18"/>
        </w:rPr>
        <w:t xml:space="preserve"> O&amp;I in Nederland </w:t>
      </w:r>
      <w:r w:rsidRPr="00660448">
        <w:rPr>
          <w:szCs w:val="18"/>
        </w:rPr>
        <w:t xml:space="preserve">en het bereiken van de doelstelling om minimaal 3% van het bruto binnenlands product aan </w:t>
      </w:r>
      <w:r>
        <w:rPr>
          <w:szCs w:val="18"/>
        </w:rPr>
        <w:t>onderzoek en ontwikkeling</w:t>
      </w:r>
      <w:r w:rsidRPr="00660448">
        <w:rPr>
          <w:szCs w:val="18"/>
        </w:rPr>
        <w:t xml:space="preserve"> te besteden. </w:t>
      </w:r>
    </w:p>
    <w:p w:rsidR="00A36889" w:rsidP="00A36889" w:rsidRDefault="00A36889" w14:paraId="5E7194A1" w14:textId="77777777">
      <w:pPr>
        <w:contextualSpacing/>
        <w:rPr>
          <w:rFonts w:cstheme="minorHAnsi"/>
          <w:szCs w:val="18"/>
        </w:rPr>
      </w:pPr>
    </w:p>
    <w:p w:rsidRPr="003864C4" w:rsidR="00A36889" w:rsidP="00A36889" w:rsidRDefault="00A36889" w14:paraId="465FD4F5" w14:textId="77777777">
      <w:pPr>
        <w:contextualSpacing/>
        <w:rPr>
          <w:rFonts w:cstheme="minorHAnsi"/>
          <w:szCs w:val="18"/>
        </w:rPr>
      </w:pPr>
      <w:r w:rsidRPr="00660448">
        <w:rPr>
          <w:rFonts w:cstheme="minorHAnsi"/>
          <w:szCs w:val="18"/>
        </w:rPr>
        <w:t xml:space="preserve">De volgende stap in de onderhandelingen is het bereiken </w:t>
      </w:r>
      <w:r>
        <w:rPr>
          <w:rFonts w:cstheme="minorHAnsi"/>
          <w:szCs w:val="18"/>
        </w:rPr>
        <w:t xml:space="preserve">van een </w:t>
      </w:r>
      <w:r w:rsidRPr="00F200C2">
        <w:t xml:space="preserve">voorlopig politiek akkoord </w:t>
      </w:r>
      <w:r>
        <w:t>in de Raad o</w:t>
      </w:r>
      <w:r w:rsidRPr="00F200C2">
        <w:t xml:space="preserve">ver de hoofdlijnen van het programma, zonder dat de definitieve begrotingscijfers of </w:t>
      </w:r>
      <w:r>
        <w:t xml:space="preserve">eventuele </w:t>
      </w:r>
      <w:r w:rsidRPr="00F200C2">
        <w:t>gevoelige</w:t>
      </w:r>
      <w:r>
        <w:t xml:space="preserve"> of beladen</w:t>
      </w:r>
      <w:r w:rsidRPr="00F200C2">
        <w:t xml:space="preserve"> onderwerpen worden vastgesteld</w:t>
      </w:r>
      <w:r>
        <w:rPr>
          <w:rFonts w:cstheme="minorHAnsi"/>
          <w:szCs w:val="18"/>
        </w:rPr>
        <w:t xml:space="preserve">; </w:t>
      </w:r>
      <w:r w:rsidRPr="00660448">
        <w:rPr>
          <w:rFonts w:cstheme="minorHAnsi"/>
          <w:szCs w:val="18"/>
        </w:rPr>
        <w:t xml:space="preserve">een </w:t>
      </w:r>
      <w:r>
        <w:rPr>
          <w:rFonts w:cstheme="minorHAnsi"/>
          <w:szCs w:val="18"/>
        </w:rPr>
        <w:t xml:space="preserve">zogenaamde </w:t>
      </w:r>
      <w:r w:rsidRPr="00660448">
        <w:rPr>
          <w:rFonts w:cstheme="minorHAnsi"/>
          <w:szCs w:val="18"/>
        </w:rPr>
        <w:t>gedeeltelijke algemene oriëntatie (PGA)</w:t>
      </w:r>
      <w:r>
        <w:rPr>
          <w:rFonts w:cstheme="minorHAnsi"/>
          <w:szCs w:val="18"/>
        </w:rPr>
        <w:t xml:space="preserve">. </w:t>
      </w:r>
      <w:r w:rsidRPr="00660448">
        <w:rPr>
          <w:rFonts w:cstheme="minorHAnsi"/>
          <w:szCs w:val="18"/>
        </w:rPr>
        <w:t>Het Cypriotisch voorzitterschap zet in op een PGA in de Raad van 29 mei aanstaande. In haar inleiding van het beleidsdebat benadrukte</w:t>
      </w:r>
      <w:r w:rsidRPr="00660448">
        <w:rPr>
          <w:rFonts w:cstheme="minorHAnsi"/>
        </w:rPr>
        <w:t xml:space="preserve"> het </w:t>
      </w:r>
      <w:r w:rsidRPr="00660448">
        <w:rPr>
          <w:rFonts w:eastAsia="Calibri" w:cstheme="minorHAnsi"/>
        </w:rPr>
        <w:t xml:space="preserve">voorzitterschap het belang van Horizon Europe (2028-2034) voor de EU. Zij vroeg de lidstaten om aan te geven op welke onderdelen zij al overeenstemming zien en op welke onderdelen zij vinden dat verdere onderhandelingen nodig zijn. </w:t>
      </w:r>
    </w:p>
    <w:p w:rsidRPr="00610126" w:rsidR="00A36889" w:rsidP="00A36889" w:rsidRDefault="00A36889" w14:paraId="65798721" w14:textId="77777777">
      <w:pPr>
        <w:contextualSpacing/>
        <w:rPr>
          <w:rFonts w:cs="Calibri"/>
          <w:szCs w:val="18"/>
        </w:rPr>
      </w:pPr>
      <w:r w:rsidRPr="00660448">
        <w:rPr>
          <w:rFonts w:cstheme="minorHAnsi"/>
        </w:rPr>
        <w:t>De Eurocommissaris drong in haar interventie aan op urgentie, pragmatisme en ambitie. Ze benadrukte dat ze een ambitieus programma met moderne programmering nastreeft dat in kan</w:t>
      </w:r>
      <w:r>
        <w:rPr>
          <w:rFonts w:cs="Calibri"/>
          <w:szCs w:val="18"/>
        </w:rPr>
        <w:t xml:space="preserve"> spelen op de </w:t>
      </w:r>
      <w:r w:rsidRPr="00610126">
        <w:rPr>
          <w:rFonts w:cs="Calibri"/>
          <w:szCs w:val="18"/>
        </w:rPr>
        <w:t xml:space="preserve">actualiteit. Het is daarbij de bedoeling dat de vormgeving samen met de lidstaten gebeurt. </w:t>
      </w:r>
    </w:p>
    <w:p w:rsidRPr="00610126" w:rsidR="00A36889" w:rsidP="00A36889" w:rsidRDefault="00A36889" w14:paraId="0241EBD0" w14:textId="77777777">
      <w:pPr>
        <w:contextualSpacing/>
        <w:rPr>
          <w:rFonts w:cs="Calibri"/>
          <w:szCs w:val="18"/>
        </w:rPr>
      </w:pPr>
    </w:p>
    <w:p w:rsidR="00A36889" w:rsidP="00A36889" w:rsidRDefault="00A36889" w14:paraId="3600307A" w14:textId="77777777">
      <w:pPr>
        <w:contextualSpacing/>
        <w:rPr>
          <w:rFonts w:cs="Calibri"/>
          <w:szCs w:val="18"/>
        </w:rPr>
      </w:pPr>
      <w:r w:rsidRPr="00610126">
        <w:rPr>
          <w:rFonts w:cs="Calibri"/>
          <w:szCs w:val="18"/>
        </w:rPr>
        <w:t xml:space="preserve">De lidstaten onderschreven de inzet van de Eurocommissaris, maar benadrukten </w:t>
      </w:r>
      <w:r>
        <w:rPr>
          <w:rFonts w:cs="Calibri"/>
          <w:szCs w:val="18"/>
        </w:rPr>
        <w:t>tegelijkertijd</w:t>
      </w:r>
      <w:r w:rsidRPr="00610126">
        <w:rPr>
          <w:rFonts w:cs="Calibri"/>
          <w:szCs w:val="18"/>
        </w:rPr>
        <w:t xml:space="preserve"> dat er nog </w:t>
      </w:r>
      <w:r>
        <w:rPr>
          <w:rFonts w:cs="Calibri"/>
          <w:szCs w:val="18"/>
        </w:rPr>
        <w:t>stappen moeten worden gezet</w:t>
      </w:r>
      <w:r w:rsidRPr="00610126">
        <w:rPr>
          <w:rFonts w:cs="Calibri"/>
          <w:szCs w:val="18"/>
        </w:rPr>
        <w:t xml:space="preserve"> om in mei tot een PGA te komen</w:t>
      </w:r>
      <w:r>
        <w:rPr>
          <w:rFonts w:cs="Calibri"/>
          <w:szCs w:val="18"/>
        </w:rPr>
        <w:t xml:space="preserve">. </w:t>
      </w:r>
      <w:r w:rsidRPr="00610126">
        <w:rPr>
          <w:rFonts w:cs="Calibri"/>
          <w:szCs w:val="18"/>
        </w:rPr>
        <w:t>Over het algemeen gaven veel lidstaten aan</w:t>
      </w:r>
      <w:r>
        <w:rPr>
          <w:rFonts w:cs="Calibri"/>
          <w:szCs w:val="18"/>
        </w:rPr>
        <w:t xml:space="preserve"> dat de opzet van het programma en </w:t>
      </w:r>
      <w:r w:rsidRPr="00610126">
        <w:rPr>
          <w:rFonts w:cs="Calibri"/>
          <w:szCs w:val="18"/>
        </w:rPr>
        <w:t>de inhoud van de eerste pijler (excellente wetenschap) vrijwel afgerond</w:t>
      </w:r>
      <w:r>
        <w:rPr>
          <w:rFonts w:cs="Calibri"/>
          <w:szCs w:val="18"/>
        </w:rPr>
        <w:t xml:space="preserve"> is. De verschillende lidstaten gaven daarnaast aan dat er op vele onderdelen nog wel wat werk te doen was. Nagenoeg</w:t>
      </w:r>
      <w:r w:rsidRPr="00610126">
        <w:rPr>
          <w:rFonts w:cs="Calibri"/>
          <w:szCs w:val="18"/>
        </w:rPr>
        <w:t xml:space="preserve"> alle lidstaten, inclusief Nederland, benoemden de noodzaak </w:t>
      </w:r>
      <w:r>
        <w:rPr>
          <w:rFonts w:cs="Calibri"/>
          <w:szCs w:val="18"/>
        </w:rPr>
        <w:t>van</w:t>
      </w:r>
      <w:r w:rsidRPr="00610126">
        <w:rPr>
          <w:rFonts w:cs="Calibri"/>
          <w:szCs w:val="18"/>
        </w:rPr>
        <w:t xml:space="preserve"> een naadloos investeringstraject van fundamenteel en toegepast onderzoek tot startup, </w:t>
      </w:r>
      <w:proofErr w:type="spellStart"/>
      <w:r w:rsidRPr="00610126">
        <w:rPr>
          <w:rFonts w:cs="Calibri"/>
          <w:szCs w:val="18"/>
        </w:rPr>
        <w:t>scale</w:t>
      </w:r>
      <w:proofErr w:type="spellEnd"/>
      <w:r w:rsidRPr="00610126">
        <w:rPr>
          <w:rFonts w:cs="Calibri"/>
          <w:szCs w:val="18"/>
        </w:rPr>
        <w:t>-up en wereldwijde productie</w:t>
      </w:r>
      <w:r>
        <w:rPr>
          <w:rFonts w:cs="Calibri"/>
          <w:szCs w:val="18"/>
        </w:rPr>
        <w:t xml:space="preserve">. Een goede wisselwerking tussen Horizon Europe en </w:t>
      </w:r>
      <w:r w:rsidRPr="00610126">
        <w:rPr>
          <w:rFonts w:cs="Calibri"/>
          <w:szCs w:val="18"/>
        </w:rPr>
        <w:t>het Europees Concurrentievermogen Fonds (ECF)</w:t>
      </w:r>
      <w:r>
        <w:rPr>
          <w:rFonts w:cs="Calibri"/>
          <w:szCs w:val="18"/>
        </w:rPr>
        <w:t xml:space="preserve"> kan hiervoor zorgen. </w:t>
      </w:r>
    </w:p>
    <w:p w:rsidR="00A36889" w:rsidP="00A36889" w:rsidRDefault="00A36889" w14:paraId="40508EB7" w14:textId="77777777">
      <w:pPr>
        <w:contextualSpacing/>
        <w:rPr>
          <w:rFonts w:cs="Calibri"/>
          <w:szCs w:val="18"/>
        </w:rPr>
      </w:pPr>
    </w:p>
    <w:p w:rsidR="00A36889" w:rsidP="00A36889" w:rsidRDefault="00A36889" w14:paraId="6D7FDD84" w14:textId="77777777">
      <w:pPr>
        <w:contextualSpacing/>
        <w:rPr>
          <w:rFonts w:cs="Calibri"/>
          <w:szCs w:val="18"/>
        </w:rPr>
      </w:pPr>
      <w:r>
        <w:rPr>
          <w:rFonts w:cs="Calibri"/>
          <w:szCs w:val="18"/>
        </w:rPr>
        <w:t xml:space="preserve">Nederland benoemde, samen met </w:t>
      </w:r>
      <w:r w:rsidRPr="00610126">
        <w:rPr>
          <w:rFonts w:cs="Calibri"/>
          <w:szCs w:val="18"/>
        </w:rPr>
        <w:t xml:space="preserve">veel </w:t>
      </w:r>
      <w:r>
        <w:rPr>
          <w:rFonts w:cs="Calibri"/>
          <w:szCs w:val="18"/>
        </w:rPr>
        <w:t xml:space="preserve">andere </w:t>
      </w:r>
      <w:r w:rsidRPr="00610126">
        <w:rPr>
          <w:rFonts w:cs="Calibri"/>
          <w:szCs w:val="18"/>
        </w:rPr>
        <w:t>lidstaten</w:t>
      </w:r>
      <w:r>
        <w:rPr>
          <w:rFonts w:cs="Calibri"/>
          <w:szCs w:val="18"/>
        </w:rPr>
        <w:t>,</w:t>
      </w:r>
      <w:r w:rsidRPr="00610126">
        <w:rPr>
          <w:rFonts w:cs="Calibri"/>
          <w:szCs w:val="18"/>
        </w:rPr>
        <w:t xml:space="preserve"> </w:t>
      </w:r>
      <w:r>
        <w:rPr>
          <w:rFonts w:cs="Calibri"/>
          <w:szCs w:val="18"/>
        </w:rPr>
        <w:t xml:space="preserve">dat het belangrijk is dat de Commissie de lidstaten en stakeholders goed betrekt bij </w:t>
      </w:r>
      <w:r w:rsidRPr="00610126">
        <w:rPr>
          <w:rFonts w:cs="Calibri"/>
          <w:szCs w:val="18"/>
        </w:rPr>
        <w:t xml:space="preserve">implementatie van Horizon Europe en de opzet van de </w:t>
      </w:r>
      <w:r w:rsidRPr="000C6520">
        <w:rPr>
          <w:rFonts w:cs="Calibri"/>
          <w:szCs w:val="18"/>
        </w:rPr>
        <w:t xml:space="preserve">werkprogramma’s. Een deel van de lidstaten benadrukte dat de inbedding van onder andere </w:t>
      </w:r>
      <w:proofErr w:type="spellStart"/>
      <w:r w:rsidRPr="000C6520">
        <w:rPr>
          <w:rFonts w:cs="Calibri"/>
          <w:szCs w:val="18"/>
        </w:rPr>
        <w:t>dual-use</w:t>
      </w:r>
      <w:proofErr w:type="spellEnd"/>
      <w:r w:rsidRPr="000C6520">
        <w:rPr>
          <w:rFonts w:cs="Calibri"/>
          <w:szCs w:val="18"/>
        </w:rPr>
        <w:t xml:space="preserve"> O&amp;I goed geregeld moet zijn, op dit moment wordt er nog weinig duidelijkheid gegeven hoe de Commissie dit in wil richten.</w:t>
      </w:r>
      <w:r w:rsidRPr="00610126">
        <w:rPr>
          <w:rFonts w:cs="Calibri"/>
          <w:szCs w:val="18"/>
        </w:rPr>
        <w:t xml:space="preserve"> Hierbij werd meer dan eens</w:t>
      </w:r>
      <w:r>
        <w:rPr>
          <w:rFonts w:cs="Calibri"/>
          <w:szCs w:val="18"/>
        </w:rPr>
        <w:t xml:space="preserve"> door een lidstaat</w:t>
      </w:r>
      <w:r w:rsidRPr="00610126">
        <w:rPr>
          <w:rFonts w:cs="Calibri"/>
          <w:szCs w:val="18"/>
        </w:rPr>
        <w:t xml:space="preserve"> opgemerkt dat financiering van </w:t>
      </w:r>
      <w:proofErr w:type="spellStart"/>
      <w:r w:rsidRPr="00610126">
        <w:rPr>
          <w:rFonts w:cs="Calibri"/>
          <w:szCs w:val="18"/>
        </w:rPr>
        <w:t>defensiegerelateerde</w:t>
      </w:r>
      <w:proofErr w:type="spellEnd"/>
      <w:r w:rsidRPr="00610126">
        <w:rPr>
          <w:rFonts w:cs="Calibri"/>
          <w:szCs w:val="18"/>
        </w:rPr>
        <w:t xml:space="preserve"> O&amp;I alleen vanuit het budget van het ECF moet komen.</w:t>
      </w:r>
    </w:p>
    <w:p w:rsidR="00A36889" w:rsidP="00A36889" w:rsidRDefault="00A36889" w14:paraId="5D620564" w14:textId="77777777">
      <w:pPr>
        <w:contextualSpacing/>
        <w:rPr>
          <w:rFonts w:cs="Calibri"/>
          <w:szCs w:val="18"/>
        </w:rPr>
      </w:pPr>
    </w:p>
    <w:p w:rsidR="00A36889" w:rsidP="00A36889" w:rsidRDefault="00A36889" w14:paraId="1475B1A9" w14:textId="77777777">
      <w:pPr>
        <w:contextualSpacing/>
        <w:rPr>
          <w:rFonts w:cs="Calibri"/>
          <w:szCs w:val="18"/>
        </w:rPr>
      </w:pPr>
      <w:r w:rsidRPr="00610126">
        <w:rPr>
          <w:rFonts w:cs="Calibri"/>
          <w:szCs w:val="18"/>
        </w:rPr>
        <w:t xml:space="preserve">Verschillende, met name </w:t>
      </w:r>
      <w:r>
        <w:rPr>
          <w:rFonts w:cs="Calibri"/>
          <w:szCs w:val="18"/>
        </w:rPr>
        <w:t>Centraal</w:t>
      </w:r>
      <w:r w:rsidRPr="00610126">
        <w:rPr>
          <w:rFonts w:cs="Calibri"/>
          <w:szCs w:val="18"/>
        </w:rPr>
        <w:t>-Europese, lidstaten riepen ook op om de onderhandeling over verdeling van een deel van de middelen op basis van geografische criteria (‘</w:t>
      </w:r>
      <w:proofErr w:type="spellStart"/>
      <w:r w:rsidRPr="00610126">
        <w:rPr>
          <w:rFonts w:cs="Calibri"/>
          <w:szCs w:val="18"/>
        </w:rPr>
        <w:t>widening</w:t>
      </w:r>
      <w:proofErr w:type="spellEnd"/>
      <w:r w:rsidRPr="00610126">
        <w:rPr>
          <w:rFonts w:cs="Calibri"/>
          <w:szCs w:val="18"/>
        </w:rPr>
        <w:t xml:space="preserve"> </w:t>
      </w:r>
      <w:proofErr w:type="spellStart"/>
      <w:r w:rsidRPr="00610126">
        <w:rPr>
          <w:rFonts w:cs="Calibri"/>
          <w:szCs w:val="18"/>
        </w:rPr>
        <w:t>participation</w:t>
      </w:r>
      <w:proofErr w:type="spellEnd"/>
      <w:r w:rsidRPr="00610126">
        <w:rPr>
          <w:rFonts w:cs="Calibri"/>
          <w:szCs w:val="18"/>
        </w:rPr>
        <w:t>’) te openen. Andere lidstaten, waaronder Nederland, benadrukten dat inzet op het verbreden van de deelname via geografische criteria</w:t>
      </w:r>
      <w:r>
        <w:rPr>
          <w:rFonts w:cs="Calibri"/>
          <w:szCs w:val="18"/>
        </w:rPr>
        <w:t xml:space="preserve"> </w:t>
      </w:r>
      <w:r w:rsidRPr="00610126">
        <w:rPr>
          <w:rFonts w:cs="Calibri"/>
          <w:szCs w:val="18"/>
        </w:rPr>
        <w:t>zich dient te beperken tot het daartoe voorgestelde instrument onder de vierde pijler (Europese onderzoeksruimte</w:t>
      </w:r>
      <w:r>
        <w:rPr>
          <w:rFonts w:cs="Calibri"/>
          <w:szCs w:val="18"/>
        </w:rPr>
        <w:t xml:space="preserve"> (</w:t>
      </w:r>
      <w:r w:rsidRPr="00610126">
        <w:rPr>
          <w:rFonts w:cs="Calibri"/>
          <w:szCs w:val="18"/>
        </w:rPr>
        <w:t>ERA</w:t>
      </w:r>
      <w:r>
        <w:rPr>
          <w:rFonts w:cs="Calibri"/>
          <w:szCs w:val="18"/>
        </w:rPr>
        <w:t>)</w:t>
      </w:r>
      <w:r w:rsidRPr="00610126">
        <w:rPr>
          <w:rFonts w:cs="Calibri"/>
          <w:szCs w:val="18"/>
        </w:rPr>
        <w:t xml:space="preserve">). </w:t>
      </w:r>
      <w:r>
        <w:rPr>
          <w:rFonts w:cs="Calibri"/>
          <w:szCs w:val="18"/>
        </w:rPr>
        <w:t>E</w:t>
      </w:r>
      <w:r w:rsidRPr="00610126">
        <w:rPr>
          <w:rFonts w:cs="Calibri"/>
          <w:szCs w:val="18"/>
        </w:rPr>
        <w:t xml:space="preserve">xcellentie en impact </w:t>
      </w:r>
      <w:r>
        <w:rPr>
          <w:rFonts w:cs="Calibri"/>
          <w:szCs w:val="18"/>
        </w:rPr>
        <w:t xml:space="preserve">moeten wat betreft Nederland en veel andere lidstaten </w:t>
      </w:r>
      <w:r w:rsidRPr="00610126">
        <w:rPr>
          <w:rFonts w:cs="Calibri"/>
          <w:szCs w:val="18"/>
        </w:rPr>
        <w:t xml:space="preserve">de uitgangspunten </w:t>
      </w:r>
      <w:r>
        <w:rPr>
          <w:rFonts w:cs="Calibri"/>
          <w:szCs w:val="18"/>
        </w:rPr>
        <w:t xml:space="preserve">blijven </w:t>
      </w:r>
      <w:r w:rsidRPr="00610126">
        <w:rPr>
          <w:rFonts w:cs="Calibri"/>
          <w:szCs w:val="18"/>
        </w:rPr>
        <w:t xml:space="preserve">voor de verdeling van de middelen uit Horizon Europe. </w:t>
      </w:r>
    </w:p>
    <w:p w:rsidR="00A36889" w:rsidP="00A36889" w:rsidRDefault="00A36889" w14:paraId="022D5C31" w14:textId="77777777">
      <w:pPr>
        <w:contextualSpacing/>
        <w:rPr>
          <w:rFonts w:cs="Calibri"/>
          <w:szCs w:val="18"/>
        </w:rPr>
      </w:pPr>
      <w:r>
        <w:rPr>
          <w:rFonts w:cs="Calibri"/>
          <w:szCs w:val="18"/>
        </w:rPr>
        <w:t xml:space="preserve">Lidstaten hebben daarnaast </w:t>
      </w:r>
      <w:r w:rsidRPr="00610126">
        <w:rPr>
          <w:rFonts w:eastAsia="Calibri" w:cs="Calibri"/>
          <w:szCs w:val="18"/>
        </w:rPr>
        <w:t>een nationale verantwoordelijkheid</w:t>
      </w:r>
      <w:r>
        <w:rPr>
          <w:rFonts w:eastAsia="Calibri" w:cs="Calibri"/>
          <w:szCs w:val="18"/>
        </w:rPr>
        <w:t xml:space="preserve"> </w:t>
      </w:r>
      <w:r>
        <w:rPr>
          <w:rFonts w:cs="Calibri"/>
          <w:szCs w:val="18"/>
        </w:rPr>
        <w:t>v</w:t>
      </w:r>
      <w:r w:rsidRPr="00610126">
        <w:rPr>
          <w:rFonts w:eastAsia="Calibri" w:cs="Calibri"/>
          <w:szCs w:val="18"/>
        </w:rPr>
        <w:t>oor capaciteitsopbouw voor O&amp;I</w:t>
      </w:r>
      <w:r>
        <w:rPr>
          <w:rFonts w:eastAsia="Calibri" w:cs="Calibri"/>
          <w:szCs w:val="18"/>
        </w:rPr>
        <w:t>.</w:t>
      </w:r>
      <w:r w:rsidRPr="00610126">
        <w:rPr>
          <w:rFonts w:eastAsia="Calibri" w:cs="Calibri"/>
          <w:szCs w:val="18"/>
        </w:rPr>
        <w:t xml:space="preserve"> </w:t>
      </w:r>
      <w:r w:rsidRPr="00610126">
        <w:rPr>
          <w:rFonts w:cs="Calibri"/>
          <w:szCs w:val="18"/>
        </w:rPr>
        <w:t xml:space="preserve">Verder werd de noodzaak tot het opvolgen van de aanbevelingen van </w:t>
      </w:r>
      <w:proofErr w:type="spellStart"/>
      <w:r w:rsidRPr="00610126">
        <w:rPr>
          <w:rFonts w:cs="Calibri"/>
          <w:szCs w:val="18"/>
        </w:rPr>
        <w:t>Draghi</w:t>
      </w:r>
      <w:proofErr w:type="spellEnd"/>
      <w:r w:rsidRPr="00610126">
        <w:rPr>
          <w:rFonts w:cs="Calibri"/>
          <w:szCs w:val="18"/>
        </w:rPr>
        <w:t xml:space="preserve"> </w:t>
      </w:r>
      <w:r>
        <w:rPr>
          <w:rFonts w:cs="Calibri"/>
          <w:szCs w:val="18"/>
        </w:rPr>
        <w:t xml:space="preserve">genoemd en daarbij </w:t>
      </w:r>
      <w:r w:rsidRPr="00610126">
        <w:rPr>
          <w:rFonts w:cs="Calibri"/>
          <w:szCs w:val="18"/>
        </w:rPr>
        <w:t xml:space="preserve">keuzes te maken </w:t>
      </w:r>
      <w:r>
        <w:rPr>
          <w:rFonts w:cs="Calibri"/>
          <w:szCs w:val="18"/>
        </w:rPr>
        <w:t>om te komen tot</w:t>
      </w:r>
      <w:r w:rsidRPr="00610126">
        <w:rPr>
          <w:rFonts w:cs="Calibri"/>
          <w:szCs w:val="18"/>
        </w:rPr>
        <w:t xml:space="preserve"> een beperkt aantal technologische en onderzoeksgebieden</w:t>
      </w:r>
      <w:r>
        <w:rPr>
          <w:rFonts w:cs="Calibri"/>
          <w:szCs w:val="18"/>
        </w:rPr>
        <w:t xml:space="preserve">. </w:t>
      </w:r>
    </w:p>
    <w:p w:rsidR="00A36889" w:rsidP="00A36889" w:rsidRDefault="00A36889" w14:paraId="21367555" w14:textId="77777777">
      <w:pPr>
        <w:contextualSpacing/>
        <w:rPr>
          <w:rFonts w:cs="Calibri"/>
          <w:szCs w:val="18"/>
        </w:rPr>
      </w:pPr>
    </w:p>
    <w:p w:rsidR="00A36889" w:rsidP="00A36889" w:rsidRDefault="00A36889" w14:paraId="413FF3D4" w14:textId="77777777">
      <w:pPr>
        <w:contextualSpacing/>
        <w:rPr>
          <w:rFonts w:cs="Calibri"/>
          <w:szCs w:val="18"/>
        </w:rPr>
      </w:pPr>
      <w:r w:rsidRPr="00610126">
        <w:rPr>
          <w:rFonts w:cs="Calibri"/>
          <w:szCs w:val="18"/>
        </w:rPr>
        <w:t xml:space="preserve">Andere punten die ter tafel kwamen, waren kennisveiligheid, de onzekerheid over de voortzetting van het </w:t>
      </w:r>
      <w:r w:rsidRPr="003864C4">
        <w:rPr>
          <w:rFonts w:cs="Calibri"/>
          <w:i/>
          <w:iCs/>
          <w:szCs w:val="18"/>
        </w:rPr>
        <w:t xml:space="preserve">European </w:t>
      </w:r>
      <w:proofErr w:type="spellStart"/>
      <w:r w:rsidRPr="003864C4">
        <w:rPr>
          <w:rFonts w:cs="Calibri"/>
          <w:i/>
          <w:iCs/>
          <w:szCs w:val="18"/>
        </w:rPr>
        <w:t>Institute</w:t>
      </w:r>
      <w:proofErr w:type="spellEnd"/>
      <w:r w:rsidRPr="003864C4">
        <w:rPr>
          <w:rFonts w:cs="Calibri"/>
          <w:i/>
          <w:iCs/>
          <w:szCs w:val="18"/>
        </w:rPr>
        <w:t xml:space="preserve"> of </w:t>
      </w:r>
      <w:proofErr w:type="spellStart"/>
      <w:r w:rsidRPr="003864C4">
        <w:rPr>
          <w:rFonts w:cs="Calibri"/>
          <w:i/>
          <w:iCs/>
          <w:szCs w:val="18"/>
        </w:rPr>
        <w:t>Innovation</w:t>
      </w:r>
      <w:proofErr w:type="spellEnd"/>
      <w:r w:rsidRPr="003864C4">
        <w:rPr>
          <w:rFonts w:cs="Calibri"/>
          <w:i/>
          <w:iCs/>
          <w:szCs w:val="18"/>
        </w:rPr>
        <w:t xml:space="preserve"> </w:t>
      </w:r>
      <w:proofErr w:type="spellStart"/>
      <w:r w:rsidRPr="003864C4">
        <w:rPr>
          <w:rFonts w:cs="Calibri"/>
          <w:i/>
          <w:iCs/>
          <w:szCs w:val="18"/>
        </w:rPr>
        <w:t>and</w:t>
      </w:r>
      <w:proofErr w:type="spellEnd"/>
      <w:r w:rsidRPr="003864C4">
        <w:rPr>
          <w:rFonts w:cs="Calibri"/>
          <w:i/>
          <w:iCs/>
          <w:szCs w:val="18"/>
        </w:rPr>
        <w:t xml:space="preserve"> Technology</w:t>
      </w:r>
      <w:r w:rsidRPr="00610126">
        <w:rPr>
          <w:rFonts w:cs="Calibri"/>
          <w:szCs w:val="18"/>
        </w:rPr>
        <w:t xml:space="preserve"> (EIT) en de noodzaak tot </w:t>
      </w:r>
      <w:r>
        <w:rPr>
          <w:rFonts w:cs="Calibri"/>
          <w:szCs w:val="18"/>
        </w:rPr>
        <w:t>v</w:t>
      </w:r>
      <w:r w:rsidRPr="00610126">
        <w:rPr>
          <w:rFonts w:cs="Calibri"/>
          <w:szCs w:val="18"/>
        </w:rPr>
        <w:t>oorspelbaarheid en vereenvoudiging van het programma</w:t>
      </w:r>
      <w:r w:rsidRPr="008670CC">
        <w:rPr>
          <w:rFonts w:cs="Calibri"/>
          <w:szCs w:val="18"/>
        </w:rPr>
        <w:t xml:space="preserve"> </w:t>
      </w:r>
      <w:r>
        <w:rPr>
          <w:rFonts w:cs="Calibri"/>
          <w:szCs w:val="18"/>
        </w:rPr>
        <w:t>voor deelnemers</w:t>
      </w:r>
      <w:r w:rsidRPr="00610126">
        <w:rPr>
          <w:rFonts w:cs="Calibri"/>
          <w:szCs w:val="18"/>
        </w:rPr>
        <w:t xml:space="preserve">. </w:t>
      </w:r>
    </w:p>
    <w:p w:rsidRPr="00610126" w:rsidR="00A36889" w:rsidP="00A36889" w:rsidRDefault="00A36889" w14:paraId="5AA45B03" w14:textId="77777777">
      <w:pPr>
        <w:contextualSpacing/>
      </w:pPr>
      <w:r w:rsidRPr="00610126">
        <w:t xml:space="preserve">De Eurocommissaris gaf aan dat een gezamenlijk doel en pragmatisme nodig zijn om de onderhandelingen tot een goed resultaat te brengen. Ze erkende dat er meer duidelijkheid nodig is op de punten die de lidstaten aanhaalden. </w:t>
      </w:r>
      <w:r>
        <w:t xml:space="preserve">Zij gaf aan dat wat de Commissie betreft </w:t>
      </w:r>
      <w:r w:rsidRPr="00610126">
        <w:t>de onderhandelingen</w:t>
      </w:r>
      <w:r>
        <w:t xml:space="preserve"> idealiter</w:t>
      </w:r>
      <w:r w:rsidRPr="00610126">
        <w:t xml:space="preserve"> voor het einde van het jaar afgerond</w:t>
      </w:r>
      <w:r>
        <w:t xml:space="preserve"> zijn via </w:t>
      </w:r>
      <w:r w:rsidRPr="00610126">
        <w:t>een zorgvuldig proces</w:t>
      </w:r>
      <w:r>
        <w:t xml:space="preserve">. </w:t>
      </w:r>
      <w:r w:rsidRPr="00610126">
        <w:t>Het voorzitterschap gaf</w:t>
      </w:r>
      <w:r>
        <w:t xml:space="preserve"> aan</w:t>
      </w:r>
      <w:r w:rsidRPr="00610126">
        <w:t xml:space="preserve"> dat het nu tijd is voor meer technische discussies. Zij </w:t>
      </w:r>
      <w:r>
        <w:t>heeft</w:t>
      </w:r>
      <w:r w:rsidRPr="00610126">
        <w:t xml:space="preserve"> er vertrouwen in dat de knelpunten</w:t>
      </w:r>
      <w:r>
        <w:t xml:space="preserve"> zullen</w:t>
      </w:r>
      <w:r w:rsidRPr="00610126">
        <w:t xml:space="preserve"> worden opgelost en er aan het eind van de voorzitterschapsperiode een deelakkoord ligt. </w:t>
      </w:r>
    </w:p>
    <w:p w:rsidRPr="00610126" w:rsidR="00A36889" w:rsidP="00A36889" w:rsidRDefault="00A36889" w14:paraId="6E445D80" w14:textId="77777777">
      <w:pPr>
        <w:rPr>
          <w:szCs w:val="18"/>
        </w:rPr>
      </w:pPr>
    </w:p>
    <w:p w:rsidRPr="00610126" w:rsidR="00A36889" w:rsidP="00A36889" w:rsidRDefault="00A36889" w14:paraId="4FC3E86B" w14:textId="77777777">
      <w:pPr>
        <w:widowControl w:val="0"/>
        <w:rPr>
          <w:b/>
          <w:bCs/>
          <w:szCs w:val="18"/>
        </w:rPr>
      </w:pPr>
      <w:r w:rsidRPr="00610126">
        <w:rPr>
          <w:b/>
          <w:bCs/>
          <w:szCs w:val="18"/>
        </w:rPr>
        <w:t>Diversenpunt</w:t>
      </w:r>
    </w:p>
    <w:p w:rsidR="00A36889" w:rsidP="00A36889" w:rsidRDefault="00A36889" w14:paraId="29B82086" w14:textId="77777777">
      <w:pPr>
        <w:rPr>
          <w:szCs w:val="18"/>
        </w:rPr>
      </w:pPr>
    </w:p>
    <w:p w:rsidR="00A36889" w:rsidP="00A36889" w:rsidRDefault="00A36889" w14:paraId="17C46B61" w14:textId="77777777">
      <w:pPr>
        <w:rPr>
          <w:szCs w:val="18"/>
        </w:rPr>
      </w:pPr>
      <w:r w:rsidRPr="00660448">
        <w:rPr>
          <w:szCs w:val="18"/>
        </w:rPr>
        <w:t xml:space="preserve">Spanje had een diversenpunt aangevraagd waarbij het een oproep deed aan de Commissie en de lidstaten om het belang te onderkennen van een verduidelijking van de link tussen Horizon Europe en het ECF, waarbij speciaal aandacht werd gevraagd voor het ontwikkelen van een mechanisme voor het kiezen van strategische prioriteiten en de betrokkenheid daarin van lidstaten en stakeholders. </w:t>
      </w:r>
    </w:p>
    <w:p w:rsidR="00A36889" w:rsidP="00A36889" w:rsidRDefault="00A36889" w14:paraId="655832A4" w14:textId="77777777">
      <w:pPr>
        <w:rPr>
          <w:szCs w:val="18"/>
        </w:rPr>
      </w:pPr>
    </w:p>
    <w:p w:rsidR="00A36889" w:rsidP="00A36889" w:rsidRDefault="00A36889" w14:paraId="039BA595" w14:textId="77777777">
      <w:pPr>
        <w:rPr>
          <w:rFonts w:cstheme="minorHAnsi"/>
          <w:szCs w:val="18"/>
        </w:rPr>
      </w:pPr>
      <w:r w:rsidRPr="00660448">
        <w:rPr>
          <w:szCs w:val="18"/>
        </w:rPr>
        <w:t xml:space="preserve">Dit diversenpunt werd gesteund door verschillende lidstaten, inclusief Nederland, vanwege de noodzaak tot een goede verbinding tussen Horizon Europe en het ECF. </w:t>
      </w:r>
      <w:r w:rsidRPr="00660448">
        <w:rPr>
          <w:rFonts w:cstheme="minorHAnsi"/>
          <w:szCs w:val="18"/>
        </w:rPr>
        <w:t>Nederland ziet deze link met het ECF als kans om het gehele ontwikkeltraject van idee tot toepassing</w:t>
      </w:r>
      <w:r>
        <w:rPr>
          <w:rFonts w:cstheme="minorHAnsi"/>
          <w:b/>
          <w:bCs/>
          <w:szCs w:val="18"/>
        </w:rPr>
        <w:t xml:space="preserve"> </w:t>
      </w:r>
      <w:r w:rsidRPr="00660448">
        <w:rPr>
          <w:rFonts w:cstheme="minorHAnsi"/>
          <w:i/>
          <w:iCs/>
          <w:szCs w:val="18"/>
        </w:rPr>
        <w:t>(</w:t>
      </w:r>
      <w:proofErr w:type="spellStart"/>
      <w:r w:rsidRPr="00660448">
        <w:rPr>
          <w:rFonts w:cstheme="minorHAnsi"/>
          <w:i/>
          <w:iCs/>
          <w:szCs w:val="18"/>
        </w:rPr>
        <w:t>seamless</w:t>
      </w:r>
      <w:proofErr w:type="spellEnd"/>
      <w:r w:rsidRPr="00660448">
        <w:rPr>
          <w:rFonts w:cstheme="minorHAnsi"/>
          <w:i/>
          <w:iCs/>
          <w:szCs w:val="18"/>
        </w:rPr>
        <w:t xml:space="preserve"> investment </w:t>
      </w:r>
      <w:proofErr w:type="spellStart"/>
      <w:r w:rsidRPr="00660448">
        <w:rPr>
          <w:rFonts w:cstheme="minorHAnsi"/>
          <w:i/>
          <w:iCs/>
          <w:szCs w:val="18"/>
        </w:rPr>
        <w:t>journey</w:t>
      </w:r>
      <w:proofErr w:type="spellEnd"/>
      <w:r w:rsidRPr="00660448">
        <w:rPr>
          <w:rFonts w:cstheme="minorHAnsi"/>
          <w:i/>
          <w:iCs/>
          <w:szCs w:val="18"/>
        </w:rPr>
        <w:t>)</w:t>
      </w:r>
      <w:r w:rsidRPr="00660448">
        <w:rPr>
          <w:rFonts w:cstheme="minorHAnsi"/>
          <w:szCs w:val="18"/>
        </w:rPr>
        <w:t xml:space="preserve"> zo goed mogelijk te ondersteunen, zodat resultaten niet onbenut blijven</w:t>
      </w:r>
      <w:r>
        <w:rPr>
          <w:rFonts w:cstheme="minorHAnsi"/>
          <w:szCs w:val="18"/>
        </w:rPr>
        <w:t xml:space="preserve">. Dit zal een </w:t>
      </w:r>
      <w:r w:rsidRPr="00FA78C5">
        <w:rPr>
          <w:rFonts w:cstheme="minorHAnsi"/>
          <w:szCs w:val="18"/>
        </w:rPr>
        <w:t xml:space="preserve">positieve </w:t>
      </w:r>
      <w:r>
        <w:rPr>
          <w:rFonts w:cstheme="minorHAnsi"/>
          <w:szCs w:val="18"/>
        </w:rPr>
        <w:t xml:space="preserve">uitwerking hebben op </w:t>
      </w:r>
      <w:r w:rsidRPr="00FA78C5">
        <w:rPr>
          <w:rFonts w:cstheme="minorHAnsi"/>
          <w:szCs w:val="18"/>
        </w:rPr>
        <w:t>het Nederlandse concurrentievermogen</w:t>
      </w:r>
      <w:r>
        <w:rPr>
          <w:rFonts w:cstheme="minorHAnsi"/>
          <w:szCs w:val="18"/>
        </w:rPr>
        <w:t xml:space="preserve"> en sluit aan bij de nationale inzet op het optimaliseren van de kennisketen, zodat beschikbare kennis maximaal benut kan worden</w:t>
      </w:r>
      <w:r w:rsidRPr="00FA78C5">
        <w:rPr>
          <w:rFonts w:cstheme="minorHAnsi"/>
          <w:szCs w:val="18"/>
        </w:rPr>
        <w:t>.</w:t>
      </w:r>
      <w:r>
        <w:rPr>
          <w:rFonts w:cstheme="minorHAnsi"/>
          <w:szCs w:val="18"/>
        </w:rPr>
        <w:t xml:space="preserve"> </w:t>
      </w:r>
    </w:p>
    <w:p w:rsidR="00A36889" w:rsidP="00A36889" w:rsidRDefault="00A36889" w14:paraId="052BFD1B" w14:textId="77777777">
      <w:pPr>
        <w:rPr>
          <w:rFonts w:cstheme="minorHAnsi"/>
          <w:szCs w:val="18"/>
        </w:rPr>
      </w:pPr>
    </w:p>
    <w:p w:rsidRPr="00012B4F" w:rsidR="00A36889" w:rsidP="00A36889" w:rsidRDefault="00A36889" w14:paraId="03999C3A" w14:textId="77777777">
      <w:r w:rsidRPr="00660448">
        <w:rPr>
          <w:szCs w:val="18"/>
        </w:rPr>
        <w:t xml:space="preserve">De Eurocommissaris stelde in </w:t>
      </w:r>
      <w:r>
        <w:rPr>
          <w:szCs w:val="18"/>
        </w:rPr>
        <w:t xml:space="preserve">haar </w:t>
      </w:r>
      <w:r w:rsidRPr="00660448">
        <w:rPr>
          <w:szCs w:val="18"/>
        </w:rPr>
        <w:t xml:space="preserve">reactie dat President Von der Leyen juist heeft aangegeven O&amp;I in het hart van de Europese economie te willen plaatsen. </w:t>
      </w:r>
      <w:r w:rsidRPr="006F63BB">
        <w:rPr>
          <w:szCs w:val="18"/>
        </w:rPr>
        <w:t>Dit was ook een v</w:t>
      </w:r>
      <w:r>
        <w:rPr>
          <w:szCs w:val="18"/>
        </w:rPr>
        <w:t>an</w:t>
      </w:r>
      <w:r w:rsidRPr="006F63BB">
        <w:rPr>
          <w:szCs w:val="18"/>
        </w:rPr>
        <w:t xml:space="preserve"> de belangrijkste adviezen van het </w:t>
      </w:r>
      <w:proofErr w:type="spellStart"/>
      <w:r w:rsidRPr="006F63BB">
        <w:rPr>
          <w:szCs w:val="18"/>
        </w:rPr>
        <w:t>Draghi</w:t>
      </w:r>
      <w:proofErr w:type="spellEnd"/>
      <w:r w:rsidRPr="006F63BB">
        <w:rPr>
          <w:szCs w:val="18"/>
        </w:rPr>
        <w:t>-rapport.</w:t>
      </w:r>
      <w:r>
        <w:rPr>
          <w:szCs w:val="18"/>
        </w:rPr>
        <w:t xml:space="preserve"> </w:t>
      </w:r>
      <w:r w:rsidRPr="00660448">
        <w:rPr>
          <w:szCs w:val="18"/>
        </w:rPr>
        <w:t xml:space="preserve">O&amp;I is daarbij niet ondergeschikt aan de industrie. Desalniettemin moet de link tussen Horizon Europe en het ECF inderdaad nog verder uitgewerkt worden, waarbij de Commissie graag het gesprek aangaat met de lidstaten. </w:t>
      </w:r>
    </w:p>
    <w:p w:rsidRPr="00D6281F" w:rsidR="00A36889" w:rsidP="00A36889" w:rsidRDefault="00A36889" w14:paraId="370AFF04" w14:textId="77777777"/>
    <w:p w:rsidRPr="00A36889" w:rsidR="0036488C" w:rsidP="00A36889" w:rsidRDefault="0036488C" w14:paraId="4F318303" w14:textId="6791138A"/>
    <w:sectPr w:rsidRPr="00A36889" w:rsidR="0036488C"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F3C4" w14:textId="77777777" w:rsidR="0084204E" w:rsidRDefault="0084204E">
      <w:r>
        <w:separator/>
      </w:r>
    </w:p>
    <w:p w14:paraId="7EE69E89" w14:textId="77777777" w:rsidR="0084204E" w:rsidRDefault="0084204E"/>
  </w:endnote>
  <w:endnote w:type="continuationSeparator" w:id="0">
    <w:p w14:paraId="367E8E16" w14:textId="77777777" w:rsidR="0084204E" w:rsidRDefault="0084204E">
      <w:r>
        <w:continuationSeparator/>
      </w:r>
    </w:p>
    <w:p w14:paraId="301DB64A" w14:textId="77777777" w:rsidR="0084204E" w:rsidRDefault="00842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F46A" w14:textId="3CAB7681"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75695C7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B0579B"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523C3DA2" w:rsidR="006D1737" w:rsidRPr="00645414" w:rsidRDefault="00CE61B5"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B160C5">
            <w:t>9</w:t>
          </w:r>
          <w:r w:rsidR="00D72F45">
            <w:fldChar w:fldCharType="end"/>
          </w:r>
          <w:r w:rsidRPr="00ED539E">
            <w:t xml:space="preserve"> </w:t>
          </w:r>
        </w:p>
      </w:tc>
      <w:tc>
        <w:tcPr>
          <w:tcW w:w="2156" w:type="dxa"/>
        </w:tcPr>
        <w:p w14:paraId="712503FD" w14:textId="78904AAB" w:rsidR="006D1737" w:rsidRPr="00645414" w:rsidRDefault="00CE61B5"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0579B" w14:paraId="7943CD49" w14:textId="77777777" w:rsidTr="00CA6A25">
      <w:trPr>
        <w:trHeight w:hRule="exact" w:val="240"/>
      </w:trPr>
      <w:tc>
        <w:tcPr>
          <w:tcW w:w="7601" w:type="dxa"/>
        </w:tcPr>
        <w:p w14:paraId="1D3A63A6" w14:textId="013A8275" w:rsidR="00527BD4" w:rsidRDefault="00527BD4" w:rsidP="008C356D">
          <w:pPr>
            <w:pStyle w:val="Huisstijl-Rubricering"/>
          </w:pPr>
        </w:p>
      </w:tc>
      <w:tc>
        <w:tcPr>
          <w:tcW w:w="2170" w:type="dxa"/>
        </w:tcPr>
        <w:p w14:paraId="640D9CC3" w14:textId="5F3C24C4" w:rsidR="00527BD4" w:rsidRPr="00ED539E" w:rsidRDefault="00CE61B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B160C5">
            <w:t>9</w:t>
          </w:r>
          <w:r w:rsidR="004B0F0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A6FF" w14:textId="77777777" w:rsidR="0084204E" w:rsidRDefault="0084204E">
      <w:r>
        <w:separator/>
      </w:r>
    </w:p>
    <w:p w14:paraId="62F838EF" w14:textId="77777777" w:rsidR="0084204E" w:rsidRDefault="0084204E"/>
  </w:footnote>
  <w:footnote w:type="continuationSeparator" w:id="0">
    <w:p w14:paraId="77CF9170" w14:textId="77777777" w:rsidR="0084204E" w:rsidRDefault="0084204E">
      <w:r>
        <w:continuationSeparator/>
      </w:r>
    </w:p>
    <w:p w14:paraId="710B6E65" w14:textId="77777777" w:rsidR="0084204E" w:rsidRDefault="0084204E"/>
  </w:footnote>
  <w:footnote w:id="1">
    <w:p w14:paraId="3BE5FACB" w14:textId="77777777" w:rsidR="00A36889" w:rsidRPr="0091477A" w:rsidRDefault="00A36889" w:rsidP="00A36889">
      <w:pPr>
        <w:pStyle w:val="Voetnoottekst"/>
        <w:rPr>
          <w:szCs w:val="13"/>
        </w:rPr>
      </w:pPr>
      <w:r w:rsidRPr="0091477A">
        <w:rPr>
          <w:rStyle w:val="Voetnootmarkering"/>
          <w:szCs w:val="13"/>
        </w:rPr>
        <w:footnoteRef/>
      </w:r>
      <w:r w:rsidRPr="0091477A">
        <w:rPr>
          <w:szCs w:val="13"/>
        </w:rPr>
        <w:t xml:space="preserve"> </w:t>
      </w:r>
      <w:hyperlink r:id="rId1" w:history="1">
        <w:r w:rsidRPr="0091477A">
          <w:rPr>
            <w:rStyle w:val="Hyperlink"/>
            <w:szCs w:val="13"/>
          </w:rPr>
          <w:t xml:space="preserve">Fiche 11: [MFK] Europees </w:t>
        </w:r>
        <w:proofErr w:type="spellStart"/>
        <w:r w:rsidRPr="0091477A">
          <w:rPr>
            <w:rStyle w:val="Hyperlink"/>
            <w:szCs w:val="13"/>
          </w:rPr>
          <w:t>Concurrentievermogenfonds</w:t>
        </w:r>
        <w:proofErr w:type="spellEnd"/>
        <w:r w:rsidRPr="0091477A">
          <w:rPr>
            <w:rStyle w:val="Hyperlink"/>
            <w:szCs w:val="13"/>
          </w:rPr>
          <w:t xml:space="preserve"> | Publicatie | Rijksoverheid.nl</w:t>
        </w:r>
      </w:hyperlink>
    </w:p>
  </w:footnote>
  <w:footnote w:id="2">
    <w:p w14:paraId="00D31C62" w14:textId="77777777" w:rsidR="00A36889" w:rsidRPr="0091477A" w:rsidRDefault="00A36889" w:rsidP="00A36889">
      <w:pPr>
        <w:pStyle w:val="Voetnoottekst"/>
        <w:rPr>
          <w:szCs w:val="13"/>
        </w:rPr>
      </w:pPr>
      <w:r w:rsidRPr="0091477A">
        <w:rPr>
          <w:rStyle w:val="Voetnootmarkering"/>
          <w:szCs w:val="13"/>
        </w:rPr>
        <w:footnoteRef/>
      </w:r>
      <w:r w:rsidRPr="0091477A">
        <w:rPr>
          <w:szCs w:val="13"/>
        </w:rPr>
        <w:t xml:space="preserve"> Voor de Nederlandse inzet ten aanzien van deze strategie zie: </w:t>
      </w:r>
      <w:hyperlink r:id="rId2" w:history="1">
        <w:r w:rsidRPr="0091477A">
          <w:rPr>
            <w:rStyle w:val="Hyperlink"/>
            <w:szCs w:val="13"/>
          </w:rPr>
          <w:t xml:space="preserve">Fiche 10 Mededeling </w:t>
        </w:r>
        <w:proofErr w:type="spellStart"/>
        <w:r w:rsidRPr="0091477A">
          <w:rPr>
            <w:rStyle w:val="Hyperlink"/>
            <w:szCs w:val="13"/>
          </w:rPr>
          <w:t>Battery</w:t>
        </w:r>
        <w:proofErr w:type="spellEnd"/>
        <w:r w:rsidRPr="0091477A">
          <w:rPr>
            <w:rStyle w:val="Hyperlink"/>
            <w:szCs w:val="13"/>
          </w:rPr>
          <w:t xml:space="preserve"> Booster </w:t>
        </w:r>
        <w:proofErr w:type="spellStart"/>
        <w:r w:rsidRPr="0091477A">
          <w:rPr>
            <w:rStyle w:val="Hyperlink"/>
            <w:szCs w:val="13"/>
          </w:rPr>
          <w:t>Strategy</w:t>
        </w:r>
        <w:proofErr w:type="spellEnd"/>
        <w:r w:rsidRPr="0091477A">
          <w:rPr>
            <w:rStyle w:val="Hyperlink"/>
            <w:szCs w:val="13"/>
          </w:rPr>
          <w:t xml:space="preserve"> | Publicatie | Rijksoverheid.nl</w:t>
        </w:r>
      </w:hyperlink>
    </w:p>
  </w:footnote>
  <w:footnote w:id="3">
    <w:p w14:paraId="3DF49EE3" w14:textId="77777777" w:rsidR="00A36889" w:rsidRPr="0091477A" w:rsidRDefault="00A36889" w:rsidP="00A36889">
      <w:pPr>
        <w:pStyle w:val="Voetnoottekst"/>
        <w:rPr>
          <w:szCs w:val="13"/>
        </w:rPr>
      </w:pPr>
      <w:r w:rsidRPr="0091477A">
        <w:rPr>
          <w:rStyle w:val="Voetnootmarkering"/>
          <w:szCs w:val="13"/>
        </w:rPr>
        <w:footnoteRef/>
      </w:r>
      <w:r w:rsidRPr="0091477A">
        <w:rPr>
          <w:szCs w:val="13"/>
        </w:rPr>
        <w:t xml:space="preserve"> https://eur-lex.europa.eu/legal-content/EN/TXT/?uri=celex%3A52025DC0960</w:t>
      </w:r>
    </w:p>
  </w:footnote>
  <w:footnote w:id="4">
    <w:p w14:paraId="6C8048A6" w14:textId="77777777" w:rsidR="00A36889" w:rsidRPr="0091477A" w:rsidRDefault="00A36889" w:rsidP="00A36889">
      <w:pPr>
        <w:pStyle w:val="Voetnoottekst"/>
        <w:rPr>
          <w:szCs w:val="13"/>
        </w:rPr>
      </w:pPr>
      <w:r w:rsidRPr="0091477A">
        <w:rPr>
          <w:rStyle w:val="Voetnootmarkering"/>
          <w:szCs w:val="13"/>
        </w:rPr>
        <w:footnoteRef/>
      </w:r>
      <w:r w:rsidRPr="0091477A">
        <w:rPr>
          <w:szCs w:val="13"/>
        </w:rPr>
        <w:t xml:space="preserve"> </w:t>
      </w:r>
      <w:hyperlink r:id="rId3" w:history="1">
        <w:r w:rsidRPr="0091477A">
          <w:rPr>
            <w:color w:val="0000FF"/>
            <w:szCs w:val="13"/>
            <w:u w:val="single"/>
          </w:rPr>
          <w:t>Fiche 12: [MFK] Voorstel Verordening en Besluit Horizon Europa – het Europese kaderprogramma voor onderzoek en innovatie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0579B" w14:paraId="02B05E6B" w14:textId="77777777" w:rsidTr="00A50CF6">
      <w:tc>
        <w:tcPr>
          <w:tcW w:w="2156" w:type="dxa"/>
        </w:tcPr>
        <w:p w14:paraId="6965D52F" w14:textId="0FA45351" w:rsidR="00527BD4" w:rsidRPr="00624D22" w:rsidRDefault="00CE61B5" w:rsidP="00A50CF6">
          <w:pPr>
            <w:pStyle w:val="Huisstijl-Adres"/>
            <w:rPr>
              <w:b/>
            </w:rPr>
          </w:pPr>
          <w:r>
            <w:rPr>
              <w:b/>
            </w:rPr>
            <w:t>Directie Europese en Internationale Zaken</w:t>
          </w:r>
        </w:p>
      </w:tc>
    </w:tr>
    <w:tr w:rsidR="00B0579B" w14:paraId="2D6075DA" w14:textId="77777777" w:rsidTr="00A50CF6">
      <w:trPr>
        <w:trHeight w:hRule="exact" w:val="200"/>
      </w:trPr>
      <w:tc>
        <w:tcPr>
          <w:tcW w:w="2156" w:type="dxa"/>
        </w:tcPr>
        <w:p w14:paraId="4322E964" w14:textId="77777777" w:rsidR="00527BD4" w:rsidRPr="005819CE" w:rsidRDefault="00527BD4" w:rsidP="00A50CF6"/>
      </w:tc>
    </w:tr>
    <w:tr w:rsidR="00B0579B"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5601B6BD" w:rsidR="00502512" w:rsidRPr="00502512" w:rsidRDefault="00CE61B5" w:rsidP="003A5290">
          <w:pPr>
            <w:pStyle w:val="Huisstijl-Kopje"/>
            <w:rPr>
              <w:b w:val="0"/>
            </w:rPr>
          </w:pPr>
          <w:r>
            <w:rPr>
              <w:b w:val="0"/>
            </w:rPr>
            <w:t>DEIZ</w:t>
          </w:r>
          <w:r w:rsidRPr="00502512">
            <w:rPr>
              <w:b w:val="0"/>
            </w:rPr>
            <w:t xml:space="preserve"> / </w:t>
          </w:r>
          <w:r w:rsidR="00921781" w:rsidRPr="00921781">
            <w:rPr>
              <w:b w:val="0"/>
            </w:rPr>
            <w:t>105159071</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0579B"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59035B58" w:rsidR="00527BD4" w:rsidRDefault="00CE61B5"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1DB55E2F" wp14:editId="51EAE97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0579B" w14:paraId="28205A36" w14:textId="77777777" w:rsidTr="00A50CF6">
      <w:tc>
        <w:tcPr>
          <w:tcW w:w="2160" w:type="dxa"/>
        </w:tcPr>
        <w:p w14:paraId="62B71825" w14:textId="67D357ED" w:rsidR="00527BD4" w:rsidRPr="00781DCA" w:rsidRDefault="00CE61B5" w:rsidP="00A50CF6">
          <w:pPr>
            <w:pStyle w:val="Huisstijl-Adres"/>
            <w:rPr>
              <w:b/>
            </w:rPr>
          </w:pPr>
          <w:r>
            <w:rPr>
              <w:b/>
            </w:rPr>
            <w:t>Directie Europese en Internationale Zaken</w:t>
          </w:r>
          <w:r w:rsidRPr="005819CE">
            <w:rPr>
              <w:b/>
            </w:rPr>
            <w:br/>
          </w:r>
        </w:p>
        <w:p w14:paraId="25262D9E" w14:textId="235B991A" w:rsidR="00527BD4" w:rsidRPr="00BE5ED9" w:rsidRDefault="00CE61B5" w:rsidP="00A50CF6">
          <w:pPr>
            <w:pStyle w:val="Huisstijl-Adres"/>
          </w:pPr>
          <w:r>
            <w:rPr>
              <w:b/>
            </w:rPr>
            <w:t>Bezoekadres</w:t>
          </w:r>
          <w:r>
            <w:rPr>
              <w:b/>
            </w:rPr>
            <w:br/>
          </w:r>
          <w:r>
            <w:t>Bezuidenhoutseweg 73</w:t>
          </w:r>
          <w:r w:rsidRPr="005819CE">
            <w:br/>
          </w:r>
          <w:r>
            <w:t>2594 AC Den Haag</w:t>
          </w:r>
        </w:p>
        <w:p w14:paraId="0097E862" w14:textId="77777777" w:rsidR="00EF495B" w:rsidRDefault="00CE61B5" w:rsidP="0098788A">
          <w:pPr>
            <w:pStyle w:val="Huisstijl-Adres"/>
          </w:pPr>
          <w:r>
            <w:rPr>
              <w:b/>
            </w:rPr>
            <w:t>Postadres</w:t>
          </w:r>
          <w:r>
            <w:rPr>
              <w:b/>
            </w:rPr>
            <w:br/>
          </w:r>
          <w:r>
            <w:t>Postbus 20401</w:t>
          </w:r>
          <w:r w:rsidRPr="005819CE">
            <w:br/>
            <w:t>2500 E</w:t>
          </w:r>
          <w:r>
            <w:t>K</w:t>
          </w:r>
          <w:r w:rsidRPr="005819CE">
            <w:t xml:space="preserve"> Den Haag</w:t>
          </w:r>
        </w:p>
        <w:p w14:paraId="5EBAB9B0" w14:textId="77777777" w:rsidR="00EF495B" w:rsidRPr="005B3814" w:rsidRDefault="00CE61B5" w:rsidP="0098788A">
          <w:pPr>
            <w:pStyle w:val="Huisstijl-Adres"/>
          </w:pPr>
          <w:r>
            <w:rPr>
              <w:b/>
            </w:rPr>
            <w:t>Overheidsidentificatienr</w:t>
          </w:r>
          <w:r>
            <w:rPr>
              <w:b/>
            </w:rPr>
            <w:br/>
          </w:r>
          <w:r w:rsidRPr="005B3814">
            <w:t>00000001003214369000</w:t>
          </w:r>
        </w:p>
        <w:p w14:paraId="4D0DDE92" w14:textId="5C5C3C83" w:rsidR="00527BD4" w:rsidRPr="00921781" w:rsidRDefault="00CE61B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0579B"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B0579B" w14:paraId="7374243A" w14:textId="77777777" w:rsidTr="00A50CF6">
      <w:tc>
        <w:tcPr>
          <w:tcW w:w="2160" w:type="dxa"/>
        </w:tcPr>
        <w:p w14:paraId="2A6A05F3" w14:textId="473319C5" w:rsidR="000C0163" w:rsidRPr="005819CE" w:rsidRDefault="00CE61B5" w:rsidP="000C0163">
          <w:pPr>
            <w:pStyle w:val="Huisstijl-Kopje"/>
          </w:pPr>
          <w:r>
            <w:t>Ons kenmerk</w:t>
          </w:r>
        </w:p>
        <w:p w14:paraId="23E9C7EB" w14:textId="6BC91D52" w:rsidR="00921781" w:rsidRDefault="00CE61B5" w:rsidP="00921781">
          <w:pPr>
            <w:pStyle w:val="Huisstijl-Gegeven"/>
          </w:pPr>
          <w:r>
            <w:t>DEIZ</w:t>
          </w:r>
          <w:r w:rsidR="00926AE2">
            <w:t xml:space="preserve"> / </w:t>
          </w:r>
          <w:r w:rsidR="00921781" w:rsidRPr="00921781">
            <w:t>105159071</w:t>
          </w:r>
        </w:p>
        <w:p w14:paraId="32654902" w14:textId="77777777" w:rsidR="00921781" w:rsidRDefault="00921781" w:rsidP="00921781">
          <w:pPr>
            <w:pStyle w:val="Huisstijl-Kopje"/>
          </w:pPr>
        </w:p>
        <w:p w14:paraId="711889EE" w14:textId="3C2D56BC" w:rsidR="00921781" w:rsidRDefault="00921781" w:rsidP="00921781">
          <w:pPr>
            <w:pStyle w:val="Huisstijl-Kopje"/>
          </w:pPr>
          <w:r>
            <w:t>Bijlage(n)</w:t>
          </w:r>
        </w:p>
        <w:p w14:paraId="780C6630" w14:textId="1AA166B7" w:rsidR="00921781" w:rsidRPr="00921781" w:rsidRDefault="00921781" w:rsidP="00921781">
          <w:pPr>
            <w:pStyle w:val="Huisstijl-Kopje"/>
            <w:rPr>
              <w:b w:val="0"/>
              <w:bCs/>
            </w:rPr>
          </w:pPr>
          <w:r w:rsidRPr="00921781">
            <w:rPr>
              <w:b w:val="0"/>
              <w:bCs/>
            </w:rPr>
            <w:t>1</w:t>
          </w:r>
        </w:p>
        <w:p w14:paraId="7112A5EB" w14:textId="5AA75551" w:rsidR="00527BD4" w:rsidRPr="005819CE" w:rsidRDefault="00527BD4" w:rsidP="00921781">
          <w:pPr>
            <w:pStyle w:val="Huisstijl-Gegeven"/>
          </w:pP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0579B" w14:paraId="5B4CFC79" w14:textId="77777777" w:rsidTr="00C37826">
      <w:trPr>
        <w:trHeight w:val="400"/>
      </w:trPr>
      <w:tc>
        <w:tcPr>
          <w:tcW w:w="7371" w:type="dxa"/>
          <w:gridSpan w:val="2"/>
        </w:tcPr>
        <w:p w14:paraId="66B8D194" w14:textId="71A592D4" w:rsidR="00527BD4" w:rsidRPr="00BC3B53" w:rsidRDefault="00CE61B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B0579B"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B0579B" w14:paraId="416AB3FC" w14:textId="77777777" w:rsidTr="00C37826">
      <w:trPr>
        <w:trHeight w:hRule="exact" w:val="2440"/>
      </w:trPr>
      <w:tc>
        <w:tcPr>
          <w:tcW w:w="7371" w:type="dxa"/>
          <w:gridSpan w:val="2"/>
        </w:tcPr>
        <w:p w14:paraId="7EF847CE" w14:textId="77777777" w:rsidR="00921781" w:rsidRDefault="00921781" w:rsidP="00921781">
          <w:pPr>
            <w:pStyle w:val="Huisstijl-NAW"/>
          </w:pPr>
          <w:r>
            <w:t>De Voorzitter van de Tweede Kamer</w:t>
          </w:r>
        </w:p>
        <w:p w14:paraId="15E797E9" w14:textId="77777777" w:rsidR="00921781" w:rsidRDefault="00921781" w:rsidP="00921781">
          <w:pPr>
            <w:pStyle w:val="Huisstijl-NAW"/>
          </w:pPr>
          <w:r>
            <w:t>der Staten-Generaal</w:t>
          </w:r>
        </w:p>
        <w:p w14:paraId="70BB72AC" w14:textId="77777777" w:rsidR="00921781" w:rsidRDefault="00921781" w:rsidP="00921781">
          <w:pPr>
            <w:pStyle w:val="Huisstijl-NAW"/>
          </w:pPr>
          <w:r>
            <w:t>Prinses Irenestraat 6</w:t>
          </w:r>
        </w:p>
        <w:p w14:paraId="35373C24" w14:textId="192229E2" w:rsidR="00985E56" w:rsidRPr="00F260A1" w:rsidRDefault="00921781" w:rsidP="00921781">
          <w:pPr>
            <w:pStyle w:val="Huisstijl-NAW"/>
          </w:pPr>
          <w:r>
            <w:t>2595 BD  DEN HAAG</w:t>
          </w:r>
        </w:p>
      </w:tc>
    </w:tr>
    <w:tr w:rsidR="00B0579B"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0579B" w14:paraId="22FDAA48" w14:textId="77777777" w:rsidTr="00C37826">
      <w:trPr>
        <w:trHeight w:val="240"/>
      </w:trPr>
      <w:tc>
        <w:tcPr>
          <w:tcW w:w="709" w:type="dxa"/>
        </w:tcPr>
        <w:p w14:paraId="00AA000D" w14:textId="7FD1E373" w:rsidR="00527BD4" w:rsidRPr="00C37826" w:rsidRDefault="00CE61B5" w:rsidP="00A50CF6">
          <w:pPr>
            <w:rPr>
              <w:szCs w:val="18"/>
            </w:rPr>
          </w:pPr>
          <w:r>
            <w:rPr>
              <w:szCs w:val="18"/>
            </w:rPr>
            <w:t>Datum</w:t>
          </w:r>
        </w:p>
      </w:tc>
      <w:tc>
        <w:tcPr>
          <w:tcW w:w="6662" w:type="dxa"/>
        </w:tcPr>
        <w:p w14:paraId="14D0A2AE" w14:textId="667E5AE5" w:rsidR="00527BD4" w:rsidRPr="007709EF" w:rsidRDefault="00B246D2" w:rsidP="00A50CF6">
          <w:r>
            <w:t>23 maart 2026</w:t>
          </w:r>
        </w:p>
      </w:tc>
    </w:tr>
    <w:tr w:rsidR="00B0579B" w14:paraId="211B7753" w14:textId="77777777" w:rsidTr="00C37826">
      <w:trPr>
        <w:trHeight w:val="240"/>
      </w:trPr>
      <w:tc>
        <w:tcPr>
          <w:tcW w:w="709" w:type="dxa"/>
        </w:tcPr>
        <w:p w14:paraId="787A4C8E" w14:textId="6B87EADD" w:rsidR="00527BD4" w:rsidRPr="00C37826" w:rsidRDefault="00CE61B5" w:rsidP="00A50CF6">
          <w:pPr>
            <w:rPr>
              <w:szCs w:val="18"/>
            </w:rPr>
          </w:pPr>
          <w:r>
            <w:rPr>
              <w:szCs w:val="18"/>
            </w:rPr>
            <w:t>Betreft</w:t>
          </w:r>
        </w:p>
      </w:tc>
      <w:tc>
        <w:tcPr>
          <w:tcW w:w="6662" w:type="dxa"/>
        </w:tcPr>
        <w:p w14:paraId="06D7D538" w14:textId="63C6EEAF" w:rsidR="00527BD4" w:rsidRPr="007709EF" w:rsidRDefault="00CE61B5" w:rsidP="00A50CF6">
          <w:r>
            <w:t xml:space="preserve">Verslag Raad voor Concurrentievermogen 26 en 27 februari </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3A6568">
      <w:start w:val="1"/>
      <w:numFmt w:val="bullet"/>
      <w:pStyle w:val="Lijstopsomteken"/>
      <w:lvlText w:val="•"/>
      <w:lvlJc w:val="left"/>
      <w:pPr>
        <w:tabs>
          <w:tab w:val="num" w:pos="227"/>
        </w:tabs>
        <w:ind w:left="227" w:hanging="227"/>
      </w:pPr>
      <w:rPr>
        <w:rFonts w:ascii="Verdana" w:hAnsi="Verdana" w:hint="default"/>
        <w:sz w:val="18"/>
        <w:szCs w:val="18"/>
      </w:rPr>
    </w:lvl>
    <w:lvl w:ilvl="1" w:tplc="B074071E" w:tentative="1">
      <w:start w:val="1"/>
      <w:numFmt w:val="bullet"/>
      <w:lvlText w:val="o"/>
      <w:lvlJc w:val="left"/>
      <w:pPr>
        <w:tabs>
          <w:tab w:val="num" w:pos="1440"/>
        </w:tabs>
        <w:ind w:left="1440" w:hanging="360"/>
      </w:pPr>
      <w:rPr>
        <w:rFonts w:ascii="Courier New" w:hAnsi="Courier New" w:cs="Courier New" w:hint="default"/>
      </w:rPr>
    </w:lvl>
    <w:lvl w:ilvl="2" w:tplc="50646558" w:tentative="1">
      <w:start w:val="1"/>
      <w:numFmt w:val="bullet"/>
      <w:lvlText w:val=""/>
      <w:lvlJc w:val="left"/>
      <w:pPr>
        <w:tabs>
          <w:tab w:val="num" w:pos="2160"/>
        </w:tabs>
        <w:ind w:left="2160" w:hanging="360"/>
      </w:pPr>
      <w:rPr>
        <w:rFonts w:ascii="Wingdings" w:hAnsi="Wingdings" w:hint="default"/>
      </w:rPr>
    </w:lvl>
    <w:lvl w:ilvl="3" w:tplc="724C60BA" w:tentative="1">
      <w:start w:val="1"/>
      <w:numFmt w:val="bullet"/>
      <w:lvlText w:val=""/>
      <w:lvlJc w:val="left"/>
      <w:pPr>
        <w:tabs>
          <w:tab w:val="num" w:pos="2880"/>
        </w:tabs>
        <w:ind w:left="2880" w:hanging="360"/>
      </w:pPr>
      <w:rPr>
        <w:rFonts w:ascii="Symbol" w:hAnsi="Symbol" w:hint="default"/>
      </w:rPr>
    </w:lvl>
    <w:lvl w:ilvl="4" w:tplc="5B2C03C6" w:tentative="1">
      <w:start w:val="1"/>
      <w:numFmt w:val="bullet"/>
      <w:lvlText w:val="o"/>
      <w:lvlJc w:val="left"/>
      <w:pPr>
        <w:tabs>
          <w:tab w:val="num" w:pos="3600"/>
        </w:tabs>
        <w:ind w:left="3600" w:hanging="360"/>
      </w:pPr>
      <w:rPr>
        <w:rFonts w:ascii="Courier New" w:hAnsi="Courier New" w:cs="Courier New" w:hint="default"/>
      </w:rPr>
    </w:lvl>
    <w:lvl w:ilvl="5" w:tplc="27EE5C6C" w:tentative="1">
      <w:start w:val="1"/>
      <w:numFmt w:val="bullet"/>
      <w:lvlText w:val=""/>
      <w:lvlJc w:val="left"/>
      <w:pPr>
        <w:tabs>
          <w:tab w:val="num" w:pos="4320"/>
        </w:tabs>
        <w:ind w:left="4320" w:hanging="360"/>
      </w:pPr>
      <w:rPr>
        <w:rFonts w:ascii="Wingdings" w:hAnsi="Wingdings" w:hint="default"/>
      </w:rPr>
    </w:lvl>
    <w:lvl w:ilvl="6" w:tplc="EF8EB7F8" w:tentative="1">
      <w:start w:val="1"/>
      <w:numFmt w:val="bullet"/>
      <w:lvlText w:val=""/>
      <w:lvlJc w:val="left"/>
      <w:pPr>
        <w:tabs>
          <w:tab w:val="num" w:pos="5040"/>
        </w:tabs>
        <w:ind w:left="5040" w:hanging="360"/>
      </w:pPr>
      <w:rPr>
        <w:rFonts w:ascii="Symbol" w:hAnsi="Symbol" w:hint="default"/>
      </w:rPr>
    </w:lvl>
    <w:lvl w:ilvl="7" w:tplc="3C341B74" w:tentative="1">
      <w:start w:val="1"/>
      <w:numFmt w:val="bullet"/>
      <w:lvlText w:val="o"/>
      <w:lvlJc w:val="left"/>
      <w:pPr>
        <w:tabs>
          <w:tab w:val="num" w:pos="5760"/>
        </w:tabs>
        <w:ind w:left="5760" w:hanging="360"/>
      </w:pPr>
      <w:rPr>
        <w:rFonts w:ascii="Courier New" w:hAnsi="Courier New" w:cs="Courier New" w:hint="default"/>
      </w:rPr>
    </w:lvl>
    <w:lvl w:ilvl="8" w:tplc="AD5AEA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95AFDDA">
      <w:start w:val="1"/>
      <w:numFmt w:val="bullet"/>
      <w:pStyle w:val="Lijstopsomteken2"/>
      <w:lvlText w:val="–"/>
      <w:lvlJc w:val="left"/>
      <w:pPr>
        <w:tabs>
          <w:tab w:val="num" w:pos="227"/>
        </w:tabs>
        <w:ind w:left="227" w:firstLine="0"/>
      </w:pPr>
      <w:rPr>
        <w:rFonts w:ascii="Verdana" w:hAnsi="Verdana" w:hint="default"/>
      </w:rPr>
    </w:lvl>
    <w:lvl w:ilvl="1" w:tplc="3C82910A" w:tentative="1">
      <w:start w:val="1"/>
      <w:numFmt w:val="bullet"/>
      <w:lvlText w:val="o"/>
      <w:lvlJc w:val="left"/>
      <w:pPr>
        <w:tabs>
          <w:tab w:val="num" w:pos="1440"/>
        </w:tabs>
        <w:ind w:left="1440" w:hanging="360"/>
      </w:pPr>
      <w:rPr>
        <w:rFonts w:ascii="Courier New" w:hAnsi="Courier New" w:cs="Courier New" w:hint="default"/>
      </w:rPr>
    </w:lvl>
    <w:lvl w:ilvl="2" w:tplc="C9D814DC" w:tentative="1">
      <w:start w:val="1"/>
      <w:numFmt w:val="bullet"/>
      <w:lvlText w:val=""/>
      <w:lvlJc w:val="left"/>
      <w:pPr>
        <w:tabs>
          <w:tab w:val="num" w:pos="2160"/>
        </w:tabs>
        <w:ind w:left="2160" w:hanging="360"/>
      </w:pPr>
      <w:rPr>
        <w:rFonts w:ascii="Wingdings" w:hAnsi="Wingdings" w:hint="default"/>
      </w:rPr>
    </w:lvl>
    <w:lvl w:ilvl="3" w:tplc="ADB8F564" w:tentative="1">
      <w:start w:val="1"/>
      <w:numFmt w:val="bullet"/>
      <w:lvlText w:val=""/>
      <w:lvlJc w:val="left"/>
      <w:pPr>
        <w:tabs>
          <w:tab w:val="num" w:pos="2880"/>
        </w:tabs>
        <w:ind w:left="2880" w:hanging="360"/>
      </w:pPr>
      <w:rPr>
        <w:rFonts w:ascii="Symbol" w:hAnsi="Symbol" w:hint="default"/>
      </w:rPr>
    </w:lvl>
    <w:lvl w:ilvl="4" w:tplc="BC02500C" w:tentative="1">
      <w:start w:val="1"/>
      <w:numFmt w:val="bullet"/>
      <w:lvlText w:val="o"/>
      <w:lvlJc w:val="left"/>
      <w:pPr>
        <w:tabs>
          <w:tab w:val="num" w:pos="3600"/>
        </w:tabs>
        <w:ind w:left="3600" w:hanging="360"/>
      </w:pPr>
      <w:rPr>
        <w:rFonts w:ascii="Courier New" w:hAnsi="Courier New" w:cs="Courier New" w:hint="default"/>
      </w:rPr>
    </w:lvl>
    <w:lvl w:ilvl="5" w:tplc="5DC00E3E" w:tentative="1">
      <w:start w:val="1"/>
      <w:numFmt w:val="bullet"/>
      <w:lvlText w:val=""/>
      <w:lvlJc w:val="left"/>
      <w:pPr>
        <w:tabs>
          <w:tab w:val="num" w:pos="4320"/>
        </w:tabs>
        <w:ind w:left="4320" w:hanging="360"/>
      </w:pPr>
      <w:rPr>
        <w:rFonts w:ascii="Wingdings" w:hAnsi="Wingdings" w:hint="default"/>
      </w:rPr>
    </w:lvl>
    <w:lvl w:ilvl="6" w:tplc="A3AA38E8" w:tentative="1">
      <w:start w:val="1"/>
      <w:numFmt w:val="bullet"/>
      <w:lvlText w:val=""/>
      <w:lvlJc w:val="left"/>
      <w:pPr>
        <w:tabs>
          <w:tab w:val="num" w:pos="5040"/>
        </w:tabs>
        <w:ind w:left="5040" w:hanging="360"/>
      </w:pPr>
      <w:rPr>
        <w:rFonts w:ascii="Symbol" w:hAnsi="Symbol" w:hint="default"/>
      </w:rPr>
    </w:lvl>
    <w:lvl w:ilvl="7" w:tplc="755CC758" w:tentative="1">
      <w:start w:val="1"/>
      <w:numFmt w:val="bullet"/>
      <w:lvlText w:val="o"/>
      <w:lvlJc w:val="left"/>
      <w:pPr>
        <w:tabs>
          <w:tab w:val="num" w:pos="5760"/>
        </w:tabs>
        <w:ind w:left="5760" w:hanging="360"/>
      </w:pPr>
      <w:rPr>
        <w:rFonts w:ascii="Courier New" w:hAnsi="Courier New" w:cs="Courier New" w:hint="default"/>
      </w:rPr>
    </w:lvl>
    <w:lvl w:ilvl="8" w:tplc="F35224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E3221"/>
    <w:multiLevelType w:val="multilevel"/>
    <w:tmpl w:val="A7CA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E908F5"/>
    <w:multiLevelType w:val="hybridMultilevel"/>
    <w:tmpl w:val="2BDACAD4"/>
    <w:lvl w:ilvl="0" w:tplc="105A88F6">
      <w:numFmt w:val="bullet"/>
      <w:lvlText w:val="-"/>
      <w:lvlJc w:val="left"/>
      <w:pPr>
        <w:ind w:left="720" w:hanging="360"/>
      </w:pPr>
      <w:rPr>
        <w:rFonts w:ascii="Calibri" w:eastAsia="Times New Roman" w:hAnsi="Calibri" w:cs="Calibri" w:hint="default"/>
      </w:rPr>
    </w:lvl>
    <w:lvl w:ilvl="1" w:tplc="C7BA9E30">
      <w:start w:val="1"/>
      <w:numFmt w:val="bullet"/>
      <w:lvlText w:val="o"/>
      <w:lvlJc w:val="left"/>
      <w:pPr>
        <w:ind w:left="1440" w:hanging="360"/>
      </w:pPr>
      <w:rPr>
        <w:rFonts w:ascii="Courier New" w:hAnsi="Courier New" w:cs="Courier New" w:hint="default"/>
      </w:rPr>
    </w:lvl>
    <w:lvl w:ilvl="2" w:tplc="0B3C6B80">
      <w:start w:val="1"/>
      <w:numFmt w:val="bullet"/>
      <w:lvlText w:val=""/>
      <w:lvlJc w:val="left"/>
      <w:pPr>
        <w:ind w:left="2160" w:hanging="360"/>
      </w:pPr>
      <w:rPr>
        <w:rFonts w:ascii="Wingdings" w:hAnsi="Wingdings" w:hint="default"/>
      </w:rPr>
    </w:lvl>
    <w:lvl w:ilvl="3" w:tplc="7F66FCCC">
      <w:start w:val="1"/>
      <w:numFmt w:val="bullet"/>
      <w:lvlText w:val=""/>
      <w:lvlJc w:val="left"/>
      <w:pPr>
        <w:ind w:left="2880" w:hanging="360"/>
      </w:pPr>
      <w:rPr>
        <w:rFonts w:ascii="Symbol" w:hAnsi="Symbol" w:hint="default"/>
      </w:rPr>
    </w:lvl>
    <w:lvl w:ilvl="4" w:tplc="AEC8B76E">
      <w:start w:val="1"/>
      <w:numFmt w:val="bullet"/>
      <w:lvlText w:val="o"/>
      <w:lvlJc w:val="left"/>
      <w:pPr>
        <w:ind w:left="3600" w:hanging="360"/>
      </w:pPr>
      <w:rPr>
        <w:rFonts w:ascii="Courier New" w:hAnsi="Courier New" w:cs="Courier New" w:hint="default"/>
      </w:rPr>
    </w:lvl>
    <w:lvl w:ilvl="5" w:tplc="999C6098">
      <w:start w:val="1"/>
      <w:numFmt w:val="bullet"/>
      <w:lvlText w:val=""/>
      <w:lvlJc w:val="left"/>
      <w:pPr>
        <w:ind w:left="4320" w:hanging="360"/>
      </w:pPr>
      <w:rPr>
        <w:rFonts w:ascii="Wingdings" w:hAnsi="Wingdings" w:hint="default"/>
      </w:rPr>
    </w:lvl>
    <w:lvl w:ilvl="6" w:tplc="2F74FC9E">
      <w:start w:val="1"/>
      <w:numFmt w:val="bullet"/>
      <w:lvlText w:val=""/>
      <w:lvlJc w:val="left"/>
      <w:pPr>
        <w:ind w:left="5040" w:hanging="360"/>
      </w:pPr>
      <w:rPr>
        <w:rFonts w:ascii="Symbol" w:hAnsi="Symbol" w:hint="default"/>
      </w:rPr>
    </w:lvl>
    <w:lvl w:ilvl="7" w:tplc="F72A9044">
      <w:start w:val="1"/>
      <w:numFmt w:val="bullet"/>
      <w:lvlText w:val="o"/>
      <w:lvlJc w:val="left"/>
      <w:pPr>
        <w:ind w:left="5760" w:hanging="360"/>
      </w:pPr>
      <w:rPr>
        <w:rFonts w:ascii="Courier New" w:hAnsi="Courier New" w:cs="Courier New" w:hint="default"/>
      </w:rPr>
    </w:lvl>
    <w:lvl w:ilvl="8" w:tplc="FF146244">
      <w:start w:val="1"/>
      <w:numFmt w:val="bullet"/>
      <w:lvlText w:val=""/>
      <w:lvlJc w:val="left"/>
      <w:pPr>
        <w:ind w:left="6480" w:hanging="360"/>
      </w:pPr>
      <w:rPr>
        <w:rFonts w:ascii="Wingdings" w:hAnsi="Wingdings" w:hint="default"/>
      </w:rPr>
    </w:lvl>
  </w:abstractNum>
  <w:abstractNum w:abstractNumId="15" w15:restartNumberingAfterBreak="0">
    <w:nsid w:val="434E48F4"/>
    <w:multiLevelType w:val="hybridMultilevel"/>
    <w:tmpl w:val="B8B0EC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2574535">
    <w:abstractNumId w:val="10"/>
  </w:num>
  <w:num w:numId="2" w16cid:durableId="1710496693">
    <w:abstractNumId w:val="7"/>
  </w:num>
  <w:num w:numId="3" w16cid:durableId="1851287454">
    <w:abstractNumId w:val="6"/>
  </w:num>
  <w:num w:numId="4" w16cid:durableId="113597360">
    <w:abstractNumId w:val="5"/>
  </w:num>
  <w:num w:numId="5" w16cid:durableId="2063363196">
    <w:abstractNumId w:val="4"/>
  </w:num>
  <w:num w:numId="6" w16cid:durableId="1349138892">
    <w:abstractNumId w:val="8"/>
  </w:num>
  <w:num w:numId="7" w16cid:durableId="473837758">
    <w:abstractNumId w:val="3"/>
  </w:num>
  <w:num w:numId="8" w16cid:durableId="2000501244">
    <w:abstractNumId w:val="2"/>
  </w:num>
  <w:num w:numId="9" w16cid:durableId="1231618852">
    <w:abstractNumId w:val="1"/>
  </w:num>
  <w:num w:numId="10" w16cid:durableId="1419209860">
    <w:abstractNumId w:val="0"/>
  </w:num>
  <w:num w:numId="11" w16cid:durableId="625356308">
    <w:abstractNumId w:val="9"/>
  </w:num>
  <w:num w:numId="12" w16cid:durableId="1363553718">
    <w:abstractNumId w:val="11"/>
  </w:num>
  <w:num w:numId="13" w16cid:durableId="2008244234">
    <w:abstractNumId w:val="16"/>
  </w:num>
  <w:num w:numId="14" w16cid:durableId="1420255826">
    <w:abstractNumId w:val="12"/>
  </w:num>
  <w:num w:numId="15" w16cid:durableId="1431850664">
    <w:abstractNumId w:val="14"/>
  </w:num>
  <w:num w:numId="16" w16cid:durableId="1959018839">
    <w:abstractNumId w:val="15"/>
  </w:num>
  <w:num w:numId="17" w16cid:durableId="16171057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DD"/>
    <w:rsid w:val="00000C97"/>
    <w:rsid w:val="00003BDE"/>
    <w:rsid w:val="000049FB"/>
    <w:rsid w:val="00004A07"/>
    <w:rsid w:val="000056A6"/>
    <w:rsid w:val="00007916"/>
    <w:rsid w:val="00010082"/>
    <w:rsid w:val="000122F3"/>
    <w:rsid w:val="00012B4F"/>
    <w:rsid w:val="0001366D"/>
    <w:rsid w:val="00013862"/>
    <w:rsid w:val="000149C3"/>
    <w:rsid w:val="00014A30"/>
    <w:rsid w:val="00015B3B"/>
    <w:rsid w:val="00016012"/>
    <w:rsid w:val="00016504"/>
    <w:rsid w:val="00020189"/>
    <w:rsid w:val="00020EE4"/>
    <w:rsid w:val="00023514"/>
    <w:rsid w:val="00023E9A"/>
    <w:rsid w:val="00024C5C"/>
    <w:rsid w:val="00027DE7"/>
    <w:rsid w:val="00031165"/>
    <w:rsid w:val="0003285E"/>
    <w:rsid w:val="0003374F"/>
    <w:rsid w:val="00033CDD"/>
    <w:rsid w:val="00034A84"/>
    <w:rsid w:val="00035B16"/>
    <w:rsid w:val="00035E67"/>
    <w:rsid w:val="000366F3"/>
    <w:rsid w:val="000368D0"/>
    <w:rsid w:val="00042442"/>
    <w:rsid w:val="00045EE3"/>
    <w:rsid w:val="000465C9"/>
    <w:rsid w:val="00046605"/>
    <w:rsid w:val="00050593"/>
    <w:rsid w:val="0005106A"/>
    <w:rsid w:val="000518D1"/>
    <w:rsid w:val="00051CD9"/>
    <w:rsid w:val="00055EA6"/>
    <w:rsid w:val="00056ACB"/>
    <w:rsid w:val="00056E92"/>
    <w:rsid w:val="0006024D"/>
    <w:rsid w:val="000616EF"/>
    <w:rsid w:val="00061736"/>
    <w:rsid w:val="00063878"/>
    <w:rsid w:val="00066523"/>
    <w:rsid w:val="00067033"/>
    <w:rsid w:val="00071346"/>
    <w:rsid w:val="00071F28"/>
    <w:rsid w:val="000726A3"/>
    <w:rsid w:val="00073246"/>
    <w:rsid w:val="00073F44"/>
    <w:rsid w:val="00073FF1"/>
    <w:rsid w:val="00074079"/>
    <w:rsid w:val="00077DE2"/>
    <w:rsid w:val="0008198E"/>
    <w:rsid w:val="00083400"/>
    <w:rsid w:val="000878FE"/>
    <w:rsid w:val="00090A6E"/>
    <w:rsid w:val="00090C82"/>
    <w:rsid w:val="00092782"/>
    <w:rsid w:val="00092799"/>
    <w:rsid w:val="000927BA"/>
    <w:rsid w:val="00092C5F"/>
    <w:rsid w:val="00096680"/>
    <w:rsid w:val="000A0281"/>
    <w:rsid w:val="000A0F36"/>
    <w:rsid w:val="000A174A"/>
    <w:rsid w:val="000A1CF2"/>
    <w:rsid w:val="000A3E0A"/>
    <w:rsid w:val="000A501D"/>
    <w:rsid w:val="000A5CDA"/>
    <w:rsid w:val="000A65AC"/>
    <w:rsid w:val="000A7E00"/>
    <w:rsid w:val="000B4A28"/>
    <w:rsid w:val="000B5119"/>
    <w:rsid w:val="000B7281"/>
    <w:rsid w:val="000B76F4"/>
    <w:rsid w:val="000B7CDD"/>
    <w:rsid w:val="000B7FAB"/>
    <w:rsid w:val="000C0163"/>
    <w:rsid w:val="000C1166"/>
    <w:rsid w:val="000C1BA1"/>
    <w:rsid w:val="000C293F"/>
    <w:rsid w:val="000C3EA9"/>
    <w:rsid w:val="000C55BF"/>
    <w:rsid w:val="000D0225"/>
    <w:rsid w:val="000D101D"/>
    <w:rsid w:val="000D1936"/>
    <w:rsid w:val="000D2207"/>
    <w:rsid w:val="000D2A47"/>
    <w:rsid w:val="000D5AA1"/>
    <w:rsid w:val="000D6CCE"/>
    <w:rsid w:val="000D6D7C"/>
    <w:rsid w:val="000E113B"/>
    <w:rsid w:val="000E3973"/>
    <w:rsid w:val="000E3F04"/>
    <w:rsid w:val="000E441E"/>
    <w:rsid w:val="000E550B"/>
    <w:rsid w:val="000E5A9C"/>
    <w:rsid w:val="000E704B"/>
    <w:rsid w:val="000E7895"/>
    <w:rsid w:val="000F0A60"/>
    <w:rsid w:val="000F161D"/>
    <w:rsid w:val="000F3CAA"/>
    <w:rsid w:val="000F6867"/>
    <w:rsid w:val="00102425"/>
    <w:rsid w:val="0010663E"/>
    <w:rsid w:val="00107753"/>
    <w:rsid w:val="0011069D"/>
    <w:rsid w:val="00111D00"/>
    <w:rsid w:val="00111ED6"/>
    <w:rsid w:val="0011256C"/>
    <w:rsid w:val="00113421"/>
    <w:rsid w:val="0011455E"/>
    <w:rsid w:val="00116E53"/>
    <w:rsid w:val="00116F9D"/>
    <w:rsid w:val="00117950"/>
    <w:rsid w:val="00120B59"/>
    <w:rsid w:val="00121BF0"/>
    <w:rsid w:val="00122C06"/>
    <w:rsid w:val="00123704"/>
    <w:rsid w:val="001238CD"/>
    <w:rsid w:val="0012491A"/>
    <w:rsid w:val="001252D6"/>
    <w:rsid w:val="0012702B"/>
    <w:rsid w:val="001270C7"/>
    <w:rsid w:val="00132540"/>
    <w:rsid w:val="00132722"/>
    <w:rsid w:val="00134557"/>
    <w:rsid w:val="00137318"/>
    <w:rsid w:val="00137675"/>
    <w:rsid w:val="00142132"/>
    <w:rsid w:val="00143C93"/>
    <w:rsid w:val="00144E58"/>
    <w:rsid w:val="00145E2B"/>
    <w:rsid w:val="0014640D"/>
    <w:rsid w:val="00146C54"/>
    <w:rsid w:val="0014786A"/>
    <w:rsid w:val="00147D8C"/>
    <w:rsid w:val="00150A0C"/>
    <w:rsid w:val="00150FAD"/>
    <w:rsid w:val="001516A4"/>
    <w:rsid w:val="001516AF"/>
    <w:rsid w:val="00151E5F"/>
    <w:rsid w:val="00152A37"/>
    <w:rsid w:val="00153E28"/>
    <w:rsid w:val="00154908"/>
    <w:rsid w:val="001569AB"/>
    <w:rsid w:val="001622C6"/>
    <w:rsid w:val="00162DAA"/>
    <w:rsid w:val="001634B8"/>
    <w:rsid w:val="00164C95"/>
    <w:rsid w:val="00164D63"/>
    <w:rsid w:val="0016615A"/>
    <w:rsid w:val="00166D6C"/>
    <w:rsid w:val="0016725C"/>
    <w:rsid w:val="001726F3"/>
    <w:rsid w:val="001727A5"/>
    <w:rsid w:val="00173BBD"/>
    <w:rsid w:val="00173C51"/>
    <w:rsid w:val="00174267"/>
    <w:rsid w:val="00174CC2"/>
    <w:rsid w:val="0017664E"/>
    <w:rsid w:val="001769C7"/>
    <w:rsid w:val="00176CC6"/>
    <w:rsid w:val="00176EF8"/>
    <w:rsid w:val="0017701F"/>
    <w:rsid w:val="001777BB"/>
    <w:rsid w:val="00177E16"/>
    <w:rsid w:val="001817A6"/>
    <w:rsid w:val="00181BE4"/>
    <w:rsid w:val="00183E8E"/>
    <w:rsid w:val="00185576"/>
    <w:rsid w:val="00185951"/>
    <w:rsid w:val="0018712C"/>
    <w:rsid w:val="00191552"/>
    <w:rsid w:val="00191F20"/>
    <w:rsid w:val="001964EA"/>
    <w:rsid w:val="00196B8B"/>
    <w:rsid w:val="00197333"/>
    <w:rsid w:val="001A2BEA"/>
    <w:rsid w:val="001A31FE"/>
    <w:rsid w:val="001A3C06"/>
    <w:rsid w:val="001A4FD6"/>
    <w:rsid w:val="001A6AF9"/>
    <w:rsid w:val="001A6D93"/>
    <w:rsid w:val="001B46C5"/>
    <w:rsid w:val="001B5D71"/>
    <w:rsid w:val="001B7C19"/>
    <w:rsid w:val="001C14EC"/>
    <w:rsid w:val="001C1747"/>
    <w:rsid w:val="001C32EC"/>
    <w:rsid w:val="001C38BD"/>
    <w:rsid w:val="001C4A1F"/>
    <w:rsid w:val="001C4D5A"/>
    <w:rsid w:val="001C4E39"/>
    <w:rsid w:val="001C5D5E"/>
    <w:rsid w:val="001C7749"/>
    <w:rsid w:val="001D3C10"/>
    <w:rsid w:val="001D48D6"/>
    <w:rsid w:val="001D4CD8"/>
    <w:rsid w:val="001D791B"/>
    <w:rsid w:val="001E1B04"/>
    <w:rsid w:val="001E34C6"/>
    <w:rsid w:val="001E36F2"/>
    <w:rsid w:val="001E5581"/>
    <w:rsid w:val="001F0FF2"/>
    <w:rsid w:val="001F1800"/>
    <w:rsid w:val="001F1D14"/>
    <w:rsid w:val="001F2E29"/>
    <w:rsid w:val="001F3C70"/>
    <w:rsid w:val="001F5C09"/>
    <w:rsid w:val="001F6531"/>
    <w:rsid w:val="00200B08"/>
    <w:rsid w:val="00200D88"/>
    <w:rsid w:val="002019EA"/>
    <w:rsid w:val="00201F68"/>
    <w:rsid w:val="0020525C"/>
    <w:rsid w:val="00205484"/>
    <w:rsid w:val="0021060D"/>
    <w:rsid w:val="00212F2A"/>
    <w:rsid w:val="00213E67"/>
    <w:rsid w:val="00214F2B"/>
    <w:rsid w:val="00217880"/>
    <w:rsid w:val="0022026C"/>
    <w:rsid w:val="0022245B"/>
    <w:rsid w:val="00222D66"/>
    <w:rsid w:val="0022352F"/>
    <w:rsid w:val="002238F9"/>
    <w:rsid w:val="00224A8A"/>
    <w:rsid w:val="00225E50"/>
    <w:rsid w:val="00226E9D"/>
    <w:rsid w:val="00230238"/>
    <w:rsid w:val="002309A8"/>
    <w:rsid w:val="002357E8"/>
    <w:rsid w:val="00236CFE"/>
    <w:rsid w:val="00241B46"/>
    <w:rsid w:val="002428E3"/>
    <w:rsid w:val="00242F5F"/>
    <w:rsid w:val="00243031"/>
    <w:rsid w:val="0024452E"/>
    <w:rsid w:val="002505F2"/>
    <w:rsid w:val="00250C73"/>
    <w:rsid w:val="00250E74"/>
    <w:rsid w:val="002514CA"/>
    <w:rsid w:val="00252058"/>
    <w:rsid w:val="00253A9A"/>
    <w:rsid w:val="00254246"/>
    <w:rsid w:val="00254E38"/>
    <w:rsid w:val="0025612D"/>
    <w:rsid w:val="0025665F"/>
    <w:rsid w:val="0025668C"/>
    <w:rsid w:val="002570B4"/>
    <w:rsid w:val="00257D5E"/>
    <w:rsid w:val="00260BAF"/>
    <w:rsid w:val="002650F7"/>
    <w:rsid w:val="0026755B"/>
    <w:rsid w:val="00270DEF"/>
    <w:rsid w:val="00272162"/>
    <w:rsid w:val="002737D6"/>
    <w:rsid w:val="00273F3B"/>
    <w:rsid w:val="00274DB7"/>
    <w:rsid w:val="00275187"/>
    <w:rsid w:val="00275984"/>
    <w:rsid w:val="00280F74"/>
    <w:rsid w:val="002822CA"/>
    <w:rsid w:val="00283AA7"/>
    <w:rsid w:val="002843D6"/>
    <w:rsid w:val="00284F25"/>
    <w:rsid w:val="002855EF"/>
    <w:rsid w:val="0028581A"/>
    <w:rsid w:val="00286998"/>
    <w:rsid w:val="0029131E"/>
    <w:rsid w:val="00291AB7"/>
    <w:rsid w:val="00292022"/>
    <w:rsid w:val="002922A5"/>
    <w:rsid w:val="00292EB2"/>
    <w:rsid w:val="002941AF"/>
    <w:rsid w:val="0029422B"/>
    <w:rsid w:val="00295839"/>
    <w:rsid w:val="0029756E"/>
    <w:rsid w:val="002A03D8"/>
    <w:rsid w:val="002A0508"/>
    <w:rsid w:val="002A0938"/>
    <w:rsid w:val="002A1FEA"/>
    <w:rsid w:val="002A5A6E"/>
    <w:rsid w:val="002A5AC1"/>
    <w:rsid w:val="002A69F3"/>
    <w:rsid w:val="002B0500"/>
    <w:rsid w:val="002B153C"/>
    <w:rsid w:val="002B2BCD"/>
    <w:rsid w:val="002B52FC"/>
    <w:rsid w:val="002B6A9A"/>
    <w:rsid w:val="002C2830"/>
    <w:rsid w:val="002C3CD5"/>
    <w:rsid w:val="002D001A"/>
    <w:rsid w:val="002D28E2"/>
    <w:rsid w:val="002D317B"/>
    <w:rsid w:val="002D3587"/>
    <w:rsid w:val="002D45B1"/>
    <w:rsid w:val="002D502D"/>
    <w:rsid w:val="002D5E6E"/>
    <w:rsid w:val="002D7846"/>
    <w:rsid w:val="002E0F69"/>
    <w:rsid w:val="002E5AF7"/>
    <w:rsid w:val="002E6AF2"/>
    <w:rsid w:val="002E77EA"/>
    <w:rsid w:val="002E7BB9"/>
    <w:rsid w:val="002F04F4"/>
    <w:rsid w:val="002F2195"/>
    <w:rsid w:val="002F4597"/>
    <w:rsid w:val="002F4C08"/>
    <w:rsid w:val="002F4F20"/>
    <w:rsid w:val="002F5147"/>
    <w:rsid w:val="002F7ABD"/>
    <w:rsid w:val="002F7AC7"/>
    <w:rsid w:val="002F7F21"/>
    <w:rsid w:val="0030029B"/>
    <w:rsid w:val="00302D18"/>
    <w:rsid w:val="00305043"/>
    <w:rsid w:val="003060C9"/>
    <w:rsid w:val="00306CD8"/>
    <w:rsid w:val="00306E7F"/>
    <w:rsid w:val="003079AE"/>
    <w:rsid w:val="003124E4"/>
    <w:rsid w:val="00312597"/>
    <w:rsid w:val="0031311A"/>
    <w:rsid w:val="00314E17"/>
    <w:rsid w:val="00317331"/>
    <w:rsid w:val="00317F53"/>
    <w:rsid w:val="00320784"/>
    <w:rsid w:val="00321966"/>
    <w:rsid w:val="00321B04"/>
    <w:rsid w:val="003231BD"/>
    <w:rsid w:val="00327706"/>
    <w:rsid w:val="00327BA5"/>
    <w:rsid w:val="00330B80"/>
    <w:rsid w:val="003315F1"/>
    <w:rsid w:val="00333795"/>
    <w:rsid w:val="00334154"/>
    <w:rsid w:val="003372C4"/>
    <w:rsid w:val="0033732F"/>
    <w:rsid w:val="00337EF9"/>
    <w:rsid w:val="00340ECA"/>
    <w:rsid w:val="00341FA0"/>
    <w:rsid w:val="00343037"/>
    <w:rsid w:val="0034389B"/>
    <w:rsid w:val="00344F3D"/>
    <w:rsid w:val="00345299"/>
    <w:rsid w:val="003478BC"/>
    <w:rsid w:val="00351A8D"/>
    <w:rsid w:val="0035222A"/>
    <w:rsid w:val="003526BB"/>
    <w:rsid w:val="00352BCF"/>
    <w:rsid w:val="00352DFB"/>
    <w:rsid w:val="00353932"/>
    <w:rsid w:val="0035464B"/>
    <w:rsid w:val="00357387"/>
    <w:rsid w:val="00360364"/>
    <w:rsid w:val="003612D3"/>
    <w:rsid w:val="00361A56"/>
    <w:rsid w:val="0036252A"/>
    <w:rsid w:val="0036488C"/>
    <w:rsid w:val="00364D9D"/>
    <w:rsid w:val="0036552E"/>
    <w:rsid w:val="00366FA7"/>
    <w:rsid w:val="003671ED"/>
    <w:rsid w:val="00370F9E"/>
    <w:rsid w:val="00371048"/>
    <w:rsid w:val="00371392"/>
    <w:rsid w:val="0037396C"/>
    <w:rsid w:val="0037421D"/>
    <w:rsid w:val="003750E5"/>
    <w:rsid w:val="00376093"/>
    <w:rsid w:val="00376273"/>
    <w:rsid w:val="00377B8B"/>
    <w:rsid w:val="00380242"/>
    <w:rsid w:val="003807D7"/>
    <w:rsid w:val="0038279F"/>
    <w:rsid w:val="00382F4D"/>
    <w:rsid w:val="003830D4"/>
    <w:rsid w:val="003833CE"/>
    <w:rsid w:val="003833F1"/>
    <w:rsid w:val="00383DA1"/>
    <w:rsid w:val="003845A7"/>
    <w:rsid w:val="00385F30"/>
    <w:rsid w:val="0038639A"/>
    <w:rsid w:val="003864C4"/>
    <w:rsid w:val="003879C4"/>
    <w:rsid w:val="00387EB9"/>
    <w:rsid w:val="00391522"/>
    <w:rsid w:val="00393696"/>
    <w:rsid w:val="00393963"/>
    <w:rsid w:val="00393CA2"/>
    <w:rsid w:val="00395575"/>
    <w:rsid w:val="003955A6"/>
    <w:rsid w:val="00395672"/>
    <w:rsid w:val="00396AD5"/>
    <w:rsid w:val="003A06C8"/>
    <w:rsid w:val="003A0D7C"/>
    <w:rsid w:val="003A200D"/>
    <w:rsid w:val="003A3B91"/>
    <w:rsid w:val="003A5290"/>
    <w:rsid w:val="003A70A8"/>
    <w:rsid w:val="003B0155"/>
    <w:rsid w:val="003B1C68"/>
    <w:rsid w:val="003B39FE"/>
    <w:rsid w:val="003B7557"/>
    <w:rsid w:val="003B7EE7"/>
    <w:rsid w:val="003C0D68"/>
    <w:rsid w:val="003C2CCB"/>
    <w:rsid w:val="003C486D"/>
    <w:rsid w:val="003C4B6D"/>
    <w:rsid w:val="003C5716"/>
    <w:rsid w:val="003D39EC"/>
    <w:rsid w:val="003D4AB8"/>
    <w:rsid w:val="003D5DED"/>
    <w:rsid w:val="003D7AF1"/>
    <w:rsid w:val="003E0A13"/>
    <w:rsid w:val="003E23C0"/>
    <w:rsid w:val="003E23C8"/>
    <w:rsid w:val="003E3911"/>
    <w:rsid w:val="003E3DD5"/>
    <w:rsid w:val="003E4281"/>
    <w:rsid w:val="003E460E"/>
    <w:rsid w:val="003E4B03"/>
    <w:rsid w:val="003E7CE0"/>
    <w:rsid w:val="003F07C6"/>
    <w:rsid w:val="003F0D42"/>
    <w:rsid w:val="003F183A"/>
    <w:rsid w:val="003F1F6B"/>
    <w:rsid w:val="003F2F7A"/>
    <w:rsid w:val="003F3757"/>
    <w:rsid w:val="003F38BD"/>
    <w:rsid w:val="003F44B7"/>
    <w:rsid w:val="003F4C5E"/>
    <w:rsid w:val="003F6C98"/>
    <w:rsid w:val="003F6FEB"/>
    <w:rsid w:val="003F779D"/>
    <w:rsid w:val="004008E9"/>
    <w:rsid w:val="004018DA"/>
    <w:rsid w:val="00402EA9"/>
    <w:rsid w:val="00403128"/>
    <w:rsid w:val="00403C14"/>
    <w:rsid w:val="004045E9"/>
    <w:rsid w:val="0040527E"/>
    <w:rsid w:val="004071A8"/>
    <w:rsid w:val="00411B35"/>
    <w:rsid w:val="00413D48"/>
    <w:rsid w:val="004167ED"/>
    <w:rsid w:val="004174C5"/>
    <w:rsid w:val="00417D9A"/>
    <w:rsid w:val="0042101D"/>
    <w:rsid w:val="004229BA"/>
    <w:rsid w:val="00422D5C"/>
    <w:rsid w:val="00424568"/>
    <w:rsid w:val="004313AE"/>
    <w:rsid w:val="004330CA"/>
    <w:rsid w:val="00433156"/>
    <w:rsid w:val="0043316C"/>
    <w:rsid w:val="0043327C"/>
    <w:rsid w:val="00433984"/>
    <w:rsid w:val="0043666C"/>
    <w:rsid w:val="00436828"/>
    <w:rsid w:val="00441ABB"/>
    <w:rsid w:val="00441AC2"/>
    <w:rsid w:val="0044249B"/>
    <w:rsid w:val="0044500D"/>
    <w:rsid w:val="00445A9C"/>
    <w:rsid w:val="00446092"/>
    <w:rsid w:val="0045023C"/>
    <w:rsid w:val="00451A5B"/>
    <w:rsid w:val="00452BCD"/>
    <w:rsid w:val="00452CEA"/>
    <w:rsid w:val="00452D9B"/>
    <w:rsid w:val="00452F95"/>
    <w:rsid w:val="00456354"/>
    <w:rsid w:val="00460756"/>
    <w:rsid w:val="00460971"/>
    <w:rsid w:val="00461053"/>
    <w:rsid w:val="0046121D"/>
    <w:rsid w:val="00461805"/>
    <w:rsid w:val="004639BC"/>
    <w:rsid w:val="00465884"/>
    <w:rsid w:val="00465B52"/>
    <w:rsid w:val="0046708E"/>
    <w:rsid w:val="00467B9D"/>
    <w:rsid w:val="00472A65"/>
    <w:rsid w:val="00474463"/>
    <w:rsid w:val="00474B75"/>
    <w:rsid w:val="004757B5"/>
    <w:rsid w:val="00475DC1"/>
    <w:rsid w:val="0047782A"/>
    <w:rsid w:val="00477C5B"/>
    <w:rsid w:val="00481AC6"/>
    <w:rsid w:val="00482C3F"/>
    <w:rsid w:val="00482D70"/>
    <w:rsid w:val="00483F0B"/>
    <w:rsid w:val="00485176"/>
    <w:rsid w:val="004860B5"/>
    <w:rsid w:val="00486652"/>
    <w:rsid w:val="004879EF"/>
    <w:rsid w:val="0049157C"/>
    <w:rsid w:val="004925BE"/>
    <w:rsid w:val="0049442C"/>
    <w:rsid w:val="00495126"/>
    <w:rsid w:val="00496077"/>
    <w:rsid w:val="00496319"/>
    <w:rsid w:val="00496403"/>
    <w:rsid w:val="004969E7"/>
    <w:rsid w:val="00497279"/>
    <w:rsid w:val="00497B12"/>
    <w:rsid w:val="004A09DF"/>
    <w:rsid w:val="004A163B"/>
    <w:rsid w:val="004A2EC9"/>
    <w:rsid w:val="004A670A"/>
    <w:rsid w:val="004B01A7"/>
    <w:rsid w:val="004B0DFD"/>
    <w:rsid w:val="004B0F05"/>
    <w:rsid w:val="004B1B8E"/>
    <w:rsid w:val="004B3D72"/>
    <w:rsid w:val="004B4111"/>
    <w:rsid w:val="004B4651"/>
    <w:rsid w:val="004B4FC1"/>
    <w:rsid w:val="004B5465"/>
    <w:rsid w:val="004B70F0"/>
    <w:rsid w:val="004B7211"/>
    <w:rsid w:val="004B7EC7"/>
    <w:rsid w:val="004C288B"/>
    <w:rsid w:val="004C3B5F"/>
    <w:rsid w:val="004C4E2F"/>
    <w:rsid w:val="004C5E5C"/>
    <w:rsid w:val="004D22A0"/>
    <w:rsid w:val="004D41B5"/>
    <w:rsid w:val="004D505E"/>
    <w:rsid w:val="004D548E"/>
    <w:rsid w:val="004D5513"/>
    <w:rsid w:val="004D72CA"/>
    <w:rsid w:val="004E2242"/>
    <w:rsid w:val="004E2674"/>
    <w:rsid w:val="004E3526"/>
    <w:rsid w:val="004E4776"/>
    <w:rsid w:val="004E505E"/>
    <w:rsid w:val="004E63E1"/>
    <w:rsid w:val="004F0D1B"/>
    <w:rsid w:val="004F1779"/>
    <w:rsid w:val="004F1DA9"/>
    <w:rsid w:val="004F25F4"/>
    <w:rsid w:val="004F285B"/>
    <w:rsid w:val="004F2CF3"/>
    <w:rsid w:val="004F4124"/>
    <w:rsid w:val="004F42FF"/>
    <w:rsid w:val="004F44C2"/>
    <w:rsid w:val="004F577A"/>
    <w:rsid w:val="004F57C2"/>
    <w:rsid w:val="004F791C"/>
    <w:rsid w:val="004F7C17"/>
    <w:rsid w:val="00502512"/>
    <w:rsid w:val="00503FD2"/>
    <w:rsid w:val="005042EC"/>
    <w:rsid w:val="00504B30"/>
    <w:rsid w:val="00504B5D"/>
    <w:rsid w:val="00505262"/>
    <w:rsid w:val="005056B5"/>
    <w:rsid w:val="00510AB7"/>
    <w:rsid w:val="00510B8E"/>
    <w:rsid w:val="0051108D"/>
    <w:rsid w:val="00511521"/>
    <w:rsid w:val="0051258E"/>
    <w:rsid w:val="0051325F"/>
    <w:rsid w:val="00516022"/>
    <w:rsid w:val="00516D5C"/>
    <w:rsid w:val="00521CEE"/>
    <w:rsid w:val="00522DED"/>
    <w:rsid w:val="00523829"/>
    <w:rsid w:val="00523ACF"/>
    <w:rsid w:val="00523BBC"/>
    <w:rsid w:val="00524FB4"/>
    <w:rsid w:val="0052704F"/>
    <w:rsid w:val="00527862"/>
    <w:rsid w:val="00527BD4"/>
    <w:rsid w:val="005322E5"/>
    <w:rsid w:val="00532764"/>
    <w:rsid w:val="00532C38"/>
    <w:rsid w:val="00533B05"/>
    <w:rsid w:val="00536946"/>
    <w:rsid w:val="00536BE0"/>
    <w:rsid w:val="00536E23"/>
    <w:rsid w:val="00536EC5"/>
    <w:rsid w:val="00537095"/>
    <w:rsid w:val="00537907"/>
    <w:rsid w:val="005403C8"/>
    <w:rsid w:val="00542479"/>
    <w:rsid w:val="005429DC"/>
    <w:rsid w:val="00550569"/>
    <w:rsid w:val="00551128"/>
    <w:rsid w:val="005515E0"/>
    <w:rsid w:val="00553177"/>
    <w:rsid w:val="0055437A"/>
    <w:rsid w:val="0055479D"/>
    <w:rsid w:val="005565F9"/>
    <w:rsid w:val="005601B1"/>
    <w:rsid w:val="00560B9F"/>
    <w:rsid w:val="005617E4"/>
    <w:rsid w:val="00562387"/>
    <w:rsid w:val="00562E5E"/>
    <w:rsid w:val="0056389E"/>
    <w:rsid w:val="00563D12"/>
    <w:rsid w:val="00565069"/>
    <w:rsid w:val="00566A42"/>
    <w:rsid w:val="00571C4C"/>
    <w:rsid w:val="00573041"/>
    <w:rsid w:val="00573110"/>
    <w:rsid w:val="0057312A"/>
    <w:rsid w:val="00575B80"/>
    <w:rsid w:val="0057620F"/>
    <w:rsid w:val="00576808"/>
    <w:rsid w:val="0057689F"/>
    <w:rsid w:val="005819CE"/>
    <w:rsid w:val="005823DA"/>
    <w:rsid w:val="0058298D"/>
    <w:rsid w:val="00583DD8"/>
    <w:rsid w:val="00584C1A"/>
    <w:rsid w:val="00586CFF"/>
    <w:rsid w:val="00590C1B"/>
    <w:rsid w:val="005911DE"/>
    <w:rsid w:val="00591E4A"/>
    <w:rsid w:val="00593B6E"/>
    <w:rsid w:val="00593C2B"/>
    <w:rsid w:val="00595231"/>
    <w:rsid w:val="00596166"/>
    <w:rsid w:val="005972A0"/>
    <w:rsid w:val="00597693"/>
    <w:rsid w:val="00597F64"/>
    <w:rsid w:val="005A1419"/>
    <w:rsid w:val="005A207F"/>
    <w:rsid w:val="005A2277"/>
    <w:rsid w:val="005A2E31"/>
    <w:rsid w:val="005A2F35"/>
    <w:rsid w:val="005A332B"/>
    <w:rsid w:val="005A38FE"/>
    <w:rsid w:val="005A5F73"/>
    <w:rsid w:val="005B0905"/>
    <w:rsid w:val="005B27FB"/>
    <w:rsid w:val="005B32E7"/>
    <w:rsid w:val="005B3814"/>
    <w:rsid w:val="005B463E"/>
    <w:rsid w:val="005B4E62"/>
    <w:rsid w:val="005B5F69"/>
    <w:rsid w:val="005C018B"/>
    <w:rsid w:val="005C04A4"/>
    <w:rsid w:val="005C0508"/>
    <w:rsid w:val="005C0839"/>
    <w:rsid w:val="005C13F6"/>
    <w:rsid w:val="005C1DC4"/>
    <w:rsid w:val="005C21E9"/>
    <w:rsid w:val="005C2538"/>
    <w:rsid w:val="005C34E1"/>
    <w:rsid w:val="005C34E3"/>
    <w:rsid w:val="005C3FE0"/>
    <w:rsid w:val="005C5552"/>
    <w:rsid w:val="005C65B5"/>
    <w:rsid w:val="005C687F"/>
    <w:rsid w:val="005C740C"/>
    <w:rsid w:val="005D32D1"/>
    <w:rsid w:val="005D4973"/>
    <w:rsid w:val="005D4FE6"/>
    <w:rsid w:val="005D625B"/>
    <w:rsid w:val="005D7466"/>
    <w:rsid w:val="005E03BC"/>
    <w:rsid w:val="005E1486"/>
    <w:rsid w:val="005E235D"/>
    <w:rsid w:val="005E2C71"/>
    <w:rsid w:val="005E2DFE"/>
    <w:rsid w:val="005E33D0"/>
    <w:rsid w:val="005E4F04"/>
    <w:rsid w:val="005E52F8"/>
    <w:rsid w:val="005E757E"/>
    <w:rsid w:val="005F134E"/>
    <w:rsid w:val="005F2C32"/>
    <w:rsid w:val="005F40BA"/>
    <w:rsid w:val="005F547C"/>
    <w:rsid w:val="005F62D3"/>
    <w:rsid w:val="005F6D11"/>
    <w:rsid w:val="005F7292"/>
    <w:rsid w:val="00600CF0"/>
    <w:rsid w:val="0060198E"/>
    <w:rsid w:val="00602018"/>
    <w:rsid w:val="0060377E"/>
    <w:rsid w:val="00603B46"/>
    <w:rsid w:val="006048F4"/>
    <w:rsid w:val="0060660A"/>
    <w:rsid w:val="00607686"/>
    <w:rsid w:val="00612051"/>
    <w:rsid w:val="00613B1D"/>
    <w:rsid w:val="00614747"/>
    <w:rsid w:val="00615F82"/>
    <w:rsid w:val="00616B45"/>
    <w:rsid w:val="00617958"/>
    <w:rsid w:val="00617A44"/>
    <w:rsid w:val="006202B6"/>
    <w:rsid w:val="00621DEC"/>
    <w:rsid w:val="00624537"/>
    <w:rsid w:val="00624D22"/>
    <w:rsid w:val="00625CD0"/>
    <w:rsid w:val="0062627D"/>
    <w:rsid w:val="00627432"/>
    <w:rsid w:val="00634E37"/>
    <w:rsid w:val="00635A0D"/>
    <w:rsid w:val="00636C37"/>
    <w:rsid w:val="00641708"/>
    <w:rsid w:val="00641CCD"/>
    <w:rsid w:val="00642C52"/>
    <w:rsid w:val="006448E4"/>
    <w:rsid w:val="00645414"/>
    <w:rsid w:val="006464FC"/>
    <w:rsid w:val="006468EF"/>
    <w:rsid w:val="00650F19"/>
    <w:rsid w:val="00651CEE"/>
    <w:rsid w:val="00653606"/>
    <w:rsid w:val="00653A6E"/>
    <w:rsid w:val="006549BE"/>
    <w:rsid w:val="00657C3A"/>
    <w:rsid w:val="006610E9"/>
    <w:rsid w:val="00661591"/>
    <w:rsid w:val="00664678"/>
    <w:rsid w:val="0066632F"/>
    <w:rsid w:val="00667489"/>
    <w:rsid w:val="00667666"/>
    <w:rsid w:val="006678E4"/>
    <w:rsid w:val="00671259"/>
    <w:rsid w:val="00671796"/>
    <w:rsid w:val="00673796"/>
    <w:rsid w:val="00674A89"/>
    <w:rsid w:val="00674F3D"/>
    <w:rsid w:val="00676674"/>
    <w:rsid w:val="00680D96"/>
    <w:rsid w:val="00682D9E"/>
    <w:rsid w:val="0068398D"/>
    <w:rsid w:val="00685545"/>
    <w:rsid w:val="006864B3"/>
    <w:rsid w:val="006879CB"/>
    <w:rsid w:val="00692D31"/>
    <w:rsid w:val="00692D64"/>
    <w:rsid w:val="00694F44"/>
    <w:rsid w:val="006971C8"/>
    <w:rsid w:val="006A10F8"/>
    <w:rsid w:val="006A1209"/>
    <w:rsid w:val="006A2100"/>
    <w:rsid w:val="006A2751"/>
    <w:rsid w:val="006A2876"/>
    <w:rsid w:val="006A2BBC"/>
    <w:rsid w:val="006A4383"/>
    <w:rsid w:val="006A4709"/>
    <w:rsid w:val="006A5C3B"/>
    <w:rsid w:val="006A63D2"/>
    <w:rsid w:val="006A653E"/>
    <w:rsid w:val="006A72E0"/>
    <w:rsid w:val="006B0BF3"/>
    <w:rsid w:val="006B54BC"/>
    <w:rsid w:val="006B6806"/>
    <w:rsid w:val="006B775E"/>
    <w:rsid w:val="006B7BC7"/>
    <w:rsid w:val="006C1823"/>
    <w:rsid w:val="006C1F64"/>
    <w:rsid w:val="006C2535"/>
    <w:rsid w:val="006C3944"/>
    <w:rsid w:val="006C441E"/>
    <w:rsid w:val="006C4B90"/>
    <w:rsid w:val="006C7AAC"/>
    <w:rsid w:val="006D1016"/>
    <w:rsid w:val="006D1737"/>
    <w:rsid w:val="006D17F2"/>
    <w:rsid w:val="006E15EE"/>
    <w:rsid w:val="006E1FA3"/>
    <w:rsid w:val="006E3227"/>
    <w:rsid w:val="006E3546"/>
    <w:rsid w:val="006E3FA9"/>
    <w:rsid w:val="006E43C3"/>
    <w:rsid w:val="006E5398"/>
    <w:rsid w:val="006E6369"/>
    <w:rsid w:val="006E767D"/>
    <w:rsid w:val="006E7D82"/>
    <w:rsid w:val="006E7D97"/>
    <w:rsid w:val="006E7F97"/>
    <w:rsid w:val="006F038F"/>
    <w:rsid w:val="006F0F93"/>
    <w:rsid w:val="006F228A"/>
    <w:rsid w:val="006F31F2"/>
    <w:rsid w:val="006F3E02"/>
    <w:rsid w:val="006F5369"/>
    <w:rsid w:val="006F5C51"/>
    <w:rsid w:val="006F62CF"/>
    <w:rsid w:val="006F7494"/>
    <w:rsid w:val="006F751F"/>
    <w:rsid w:val="006F7BCC"/>
    <w:rsid w:val="007008C0"/>
    <w:rsid w:val="0070099A"/>
    <w:rsid w:val="00706633"/>
    <w:rsid w:val="007118E1"/>
    <w:rsid w:val="00714DC5"/>
    <w:rsid w:val="00715237"/>
    <w:rsid w:val="007205F9"/>
    <w:rsid w:val="00721AE1"/>
    <w:rsid w:val="007254A5"/>
    <w:rsid w:val="0072554C"/>
    <w:rsid w:val="00725748"/>
    <w:rsid w:val="00735D88"/>
    <w:rsid w:val="0073720D"/>
    <w:rsid w:val="00737507"/>
    <w:rsid w:val="00740712"/>
    <w:rsid w:val="00741D9D"/>
    <w:rsid w:val="00742467"/>
    <w:rsid w:val="00742AB9"/>
    <w:rsid w:val="0074643E"/>
    <w:rsid w:val="00746A88"/>
    <w:rsid w:val="00746AAA"/>
    <w:rsid w:val="00746F81"/>
    <w:rsid w:val="00747BE1"/>
    <w:rsid w:val="00750C09"/>
    <w:rsid w:val="00751A6A"/>
    <w:rsid w:val="0075205E"/>
    <w:rsid w:val="00754146"/>
    <w:rsid w:val="00754FBF"/>
    <w:rsid w:val="007558D6"/>
    <w:rsid w:val="007610AA"/>
    <w:rsid w:val="007626CD"/>
    <w:rsid w:val="00767DEB"/>
    <w:rsid w:val="007705B8"/>
    <w:rsid w:val="007709EF"/>
    <w:rsid w:val="00771756"/>
    <w:rsid w:val="007719DD"/>
    <w:rsid w:val="00772825"/>
    <w:rsid w:val="007730B7"/>
    <w:rsid w:val="007769EA"/>
    <w:rsid w:val="00781559"/>
    <w:rsid w:val="00781DCA"/>
    <w:rsid w:val="00782701"/>
    <w:rsid w:val="00783559"/>
    <w:rsid w:val="007861AE"/>
    <w:rsid w:val="0078722B"/>
    <w:rsid w:val="00790C9E"/>
    <w:rsid w:val="0079156C"/>
    <w:rsid w:val="0079551B"/>
    <w:rsid w:val="00795BA8"/>
    <w:rsid w:val="0079645F"/>
    <w:rsid w:val="00796BC6"/>
    <w:rsid w:val="00796EC0"/>
    <w:rsid w:val="007975DC"/>
    <w:rsid w:val="00797AA5"/>
    <w:rsid w:val="00797C69"/>
    <w:rsid w:val="007A05BD"/>
    <w:rsid w:val="007A20AD"/>
    <w:rsid w:val="007A26BD"/>
    <w:rsid w:val="007A367A"/>
    <w:rsid w:val="007A4105"/>
    <w:rsid w:val="007A495E"/>
    <w:rsid w:val="007A5369"/>
    <w:rsid w:val="007A6486"/>
    <w:rsid w:val="007B0420"/>
    <w:rsid w:val="007B0915"/>
    <w:rsid w:val="007B1167"/>
    <w:rsid w:val="007B13FB"/>
    <w:rsid w:val="007B2D38"/>
    <w:rsid w:val="007B4503"/>
    <w:rsid w:val="007B67E9"/>
    <w:rsid w:val="007B7905"/>
    <w:rsid w:val="007C406E"/>
    <w:rsid w:val="007C5183"/>
    <w:rsid w:val="007C68DA"/>
    <w:rsid w:val="007C7573"/>
    <w:rsid w:val="007D0A59"/>
    <w:rsid w:val="007D605F"/>
    <w:rsid w:val="007D79EE"/>
    <w:rsid w:val="007E0ECB"/>
    <w:rsid w:val="007E1F0F"/>
    <w:rsid w:val="007E2B20"/>
    <w:rsid w:val="007E3EF5"/>
    <w:rsid w:val="007E4932"/>
    <w:rsid w:val="007E4A1D"/>
    <w:rsid w:val="007E54F4"/>
    <w:rsid w:val="007E57AF"/>
    <w:rsid w:val="007E639B"/>
    <w:rsid w:val="007E6975"/>
    <w:rsid w:val="007F09B5"/>
    <w:rsid w:val="007F0CEE"/>
    <w:rsid w:val="007F1C6F"/>
    <w:rsid w:val="007F23AC"/>
    <w:rsid w:val="007F2584"/>
    <w:rsid w:val="007F439C"/>
    <w:rsid w:val="007F4FF8"/>
    <w:rsid w:val="007F510A"/>
    <w:rsid w:val="007F5331"/>
    <w:rsid w:val="007F7639"/>
    <w:rsid w:val="00800CCA"/>
    <w:rsid w:val="008037E9"/>
    <w:rsid w:val="00806120"/>
    <w:rsid w:val="00806A3F"/>
    <w:rsid w:val="00806F63"/>
    <w:rsid w:val="0080763B"/>
    <w:rsid w:val="00810AA6"/>
    <w:rsid w:val="00810C93"/>
    <w:rsid w:val="00812028"/>
    <w:rsid w:val="0081265F"/>
    <w:rsid w:val="00812DD8"/>
    <w:rsid w:val="00813082"/>
    <w:rsid w:val="00814D03"/>
    <w:rsid w:val="00814F08"/>
    <w:rsid w:val="0081731A"/>
    <w:rsid w:val="00820371"/>
    <w:rsid w:val="00821FC1"/>
    <w:rsid w:val="00822192"/>
    <w:rsid w:val="00823AE2"/>
    <w:rsid w:val="00823FF4"/>
    <w:rsid w:val="00824190"/>
    <w:rsid w:val="0082534B"/>
    <w:rsid w:val="00830F11"/>
    <w:rsid w:val="00831421"/>
    <w:rsid w:val="0083178B"/>
    <w:rsid w:val="00831A20"/>
    <w:rsid w:val="00831EE4"/>
    <w:rsid w:val="00833384"/>
    <w:rsid w:val="00833631"/>
    <w:rsid w:val="00833695"/>
    <w:rsid w:val="008336B7"/>
    <w:rsid w:val="00833A8E"/>
    <w:rsid w:val="00833E72"/>
    <w:rsid w:val="008344BF"/>
    <w:rsid w:val="00836ACA"/>
    <w:rsid w:val="00837175"/>
    <w:rsid w:val="00841B33"/>
    <w:rsid w:val="0084204E"/>
    <w:rsid w:val="00842686"/>
    <w:rsid w:val="00842CD8"/>
    <w:rsid w:val="008431FA"/>
    <w:rsid w:val="0084394A"/>
    <w:rsid w:val="00844E64"/>
    <w:rsid w:val="0084687A"/>
    <w:rsid w:val="00847444"/>
    <w:rsid w:val="00850C8E"/>
    <w:rsid w:val="008517C6"/>
    <w:rsid w:val="008536E2"/>
    <w:rsid w:val="008547BA"/>
    <w:rsid w:val="008553C7"/>
    <w:rsid w:val="00857FEB"/>
    <w:rsid w:val="008601AF"/>
    <w:rsid w:val="008646F1"/>
    <w:rsid w:val="00870D0D"/>
    <w:rsid w:val="00872271"/>
    <w:rsid w:val="00874625"/>
    <w:rsid w:val="0087691F"/>
    <w:rsid w:val="008774EC"/>
    <w:rsid w:val="00877BF7"/>
    <w:rsid w:val="00880BB2"/>
    <w:rsid w:val="00880D1B"/>
    <w:rsid w:val="00880FEF"/>
    <w:rsid w:val="00881CC9"/>
    <w:rsid w:val="00883137"/>
    <w:rsid w:val="00884092"/>
    <w:rsid w:val="008846FB"/>
    <w:rsid w:val="00884C23"/>
    <w:rsid w:val="00884F88"/>
    <w:rsid w:val="0089079F"/>
    <w:rsid w:val="0089220D"/>
    <w:rsid w:val="00892D76"/>
    <w:rsid w:val="008939A3"/>
    <w:rsid w:val="008943B7"/>
    <w:rsid w:val="00894A3B"/>
    <w:rsid w:val="0089696B"/>
    <w:rsid w:val="00897119"/>
    <w:rsid w:val="008A1F5D"/>
    <w:rsid w:val="008A2518"/>
    <w:rsid w:val="008A28F5"/>
    <w:rsid w:val="008A29B5"/>
    <w:rsid w:val="008A376D"/>
    <w:rsid w:val="008A4DB6"/>
    <w:rsid w:val="008A53F7"/>
    <w:rsid w:val="008A5A31"/>
    <w:rsid w:val="008B1198"/>
    <w:rsid w:val="008B297E"/>
    <w:rsid w:val="008B3471"/>
    <w:rsid w:val="008B3929"/>
    <w:rsid w:val="008B4125"/>
    <w:rsid w:val="008B4CB3"/>
    <w:rsid w:val="008B5114"/>
    <w:rsid w:val="008B567B"/>
    <w:rsid w:val="008B7B24"/>
    <w:rsid w:val="008C1D5B"/>
    <w:rsid w:val="008C356D"/>
    <w:rsid w:val="008C3ABE"/>
    <w:rsid w:val="008C4B6A"/>
    <w:rsid w:val="008C6307"/>
    <w:rsid w:val="008C7437"/>
    <w:rsid w:val="008C78E3"/>
    <w:rsid w:val="008C7DAF"/>
    <w:rsid w:val="008D18CB"/>
    <w:rsid w:val="008D1D35"/>
    <w:rsid w:val="008D2C18"/>
    <w:rsid w:val="008D2E44"/>
    <w:rsid w:val="008D324C"/>
    <w:rsid w:val="008D43B5"/>
    <w:rsid w:val="008D4E41"/>
    <w:rsid w:val="008D4E72"/>
    <w:rsid w:val="008E0B3F"/>
    <w:rsid w:val="008E1000"/>
    <w:rsid w:val="008E3738"/>
    <w:rsid w:val="008E3A82"/>
    <w:rsid w:val="008E49AD"/>
    <w:rsid w:val="008E6084"/>
    <w:rsid w:val="008E698E"/>
    <w:rsid w:val="008F1038"/>
    <w:rsid w:val="008F21C4"/>
    <w:rsid w:val="008F2584"/>
    <w:rsid w:val="008F3246"/>
    <w:rsid w:val="008F3C1B"/>
    <w:rsid w:val="008F3DD9"/>
    <w:rsid w:val="008F508C"/>
    <w:rsid w:val="0090168C"/>
    <w:rsid w:val="0090271B"/>
    <w:rsid w:val="00902E9F"/>
    <w:rsid w:val="00903EE4"/>
    <w:rsid w:val="009043CB"/>
    <w:rsid w:val="00907D1B"/>
    <w:rsid w:val="00910642"/>
    <w:rsid w:val="00910DDF"/>
    <w:rsid w:val="0091155C"/>
    <w:rsid w:val="00911C26"/>
    <w:rsid w:val="009146AF"/>
    <w:rsid w:val="0091477A"/>
    <w:rsid w:val="009177B1"/>
    <w:rsid w:val="00917D99"/>
    <w:rsid w:val="0092083B"/>
    <w:rsid w:val="00921781"/>
    <w:rsid w:val="00923E4C"/>
    <w:rsid w:val="00924557"/>
    <w:rsid w:val="00926AE2"/>
    <w:rsid w:val="00930B13"/>
    <w:rsid w:val="009311C8"/>
    <w:rsid w:val="00931F68"/>
    <w:rsid w:val="00933376"/>
    <w:rsid w:val="00933A2F"/>
    <w:rsid w:val="00933A35"/>
    <w:rsid w:val="009351F5"/>
    <w:rsid w:val="0093659F"/>
    <w:rsid w:val="009414AC"/>
    <w:rsid w:val="009434EF"/>
    <w:rsid w:val="009514ED"/>
    <w:rsid w:val="009518D5"/>
    <w:rsid w:val="00953482"/>
    <w:rsid w:val="009559FB"/>
    <w:rsid w:val="00960370"/>
    <w:rsid w:val="00962986"/>
    <w:rsid w:val="00964177"/>
    <w:rsid w:val="00967600"/>
    <w:rsid w:val="009716D8"/>
    <w:rsid w:val="009718F9"/>
    <w:rsid w:val="00971F42"/>
    <w:rsid w:val="00972863"/>
    <w:rsid w:val="00972A59"/>
    <w:rsid w:val="00972FB9"/>
    <w:rsid w:val="00975112"/>
    <w:rsid w:val="009764FC"/>
    <w:rsid w:val="00980385"/>
    <w:rsid w:val="00981768"/>
    <w:rsid w:val="009836DF"/>
    <w:rsid w:val="00983DBF"/>
    <w:rsid w:val="00983E8F"/>
    <w:rsid w:val="0098425E"/>
    <w:rsid w:val="00985BD5"/>
    <w:rsid w:val="00985E56"/>
    <w:rsid w:val="0098788A"/>
    <w:rsid w:val="00993172"/>
    <w:rsid w:val="009943A4"/>
    <w:rsid w:val="00994682"/>
    <w:rsid w:val="00994A44"/>
    <w:rsid w:val="00994FDA"/>
    <w:rsid w:val="009951D2"/>
    <w:rsid w:val="00995263"/>
    <w:rsid w:val="009969F2"/>
    <w:rsid w:val="009970F7"/>
    <w:rsid w:val="009976C2"/>
    <w:rsid w:val="009A1BBC"/>
    <w:rsid w:val="009A2F99"/>
    <w:rsid w:val="009A31BF"/>
    <w:rsid w:val="009A3B71"/>
    <w:rsid w:val="009A59B3"/>
    <w:rsid w:val="009A61BC"/>
    <w:rsid w:val="009A70CD"/>
    <w:rsid w:val="009B0138"/>
    <w:rsid w:val="009B0FE9"/>
    <w:rsid w:val="009B150B"/>
    <w:rsid w:val="009B173A"/>
    <w:rsid w:val="009B249E"/>
    <w:rsid w:val="009B4F89"/>
    <w:rsid w:val="009B6EB1"/>
    <w:rsid w:val="009B74F8"/>
    <w:rsid w:val="009C21EA"/>
    <w:rsid w:val="009C3F20"/>
    <w:rsid w:val="009C420B"/>
    <w:rsid w:val="009C4D3A"/>
    <w:rsid w:val="009C7CA1"/>
    <w:rsid w:val="009D043D"/>
    <w:rsid w:val="009D0B5A"/>
    <w:rsid w:val="009D3592"/>
    <w:rsid w:val="009D3FE9"/>
    <w:rsid w:val="009D56FE"/>
    <w:rsid w:val="009D6448"/>
    <w:rsid w:val="009D773E"/>
    <w:rsid w:val="009E0DA7"/>
    <w:rsid w:val="009E107A"/>
    <w:rsid w:val="009E1626"/>
    <w:rsid w:val="009E17E6"/>
    <w:rsid w:val="009E1C13"/>
    <w:rsid w:val="009E1D3F"/>
    <w:rsid w:val="009E29B5"/>
    <w:rsid w:val="009E3E84"/>
    <w:rsid w:val="009E6DA0"/>
    <w:rsid w:val="009F00B2"/>
    <w:rsid w:val="009F0CEC"/>
    <w:rsid w:val="009F2187"/>
    <w:rsid w:val="009F2BF7"/>
    <w:rsid w:val="009F2EC3"/>
    <w:rsid w:val="009F3259"/>
    <w:rsid w:val="009F4114"/>
    <w:rsid w:val="009F4B13"/>
    <w:rsid w:val="009F5C76"/>
    <w:rsid w:val="00A01BF6"/>
    <w:rsid w:val="00A056DE"/>
    <w:rsid w:val="00A128AD"/>
    <w:rsid w:val="00A12D9C"/>
    <w:rsid w:val="00A1493D"/>
    <w:rsid w:val="00A14F41"/>
    <w:rsid w:val="00A1771D"/>
    <w:rsid w:val="00A21E76"/>
    <w:rsid w:val="00A22110"/>
    <w:rsid w:val="00A22141"/>
    <w:rsid w:val="00A23BC8"/>
    <w:rsid w:val="00A245F8"/>
    <w:rsid w:val="00A2505B"/>
    <w:rsid w:val="00A30E68"/>
    <w:rsid w:val="00A31438"/>
    <w:rsid w:val="00A31607"/>
    <w:rsid w:val="00A31933"/>
    <w:rsid w:val="00A31EC6"/>
    <w:rsid w:val="00A320D7"/>
    <w:rsid w:val="00A329D2"/>
    <w:rsid w:val="00A32C41"/>
    <w:rsid w:val="00A345D0"/>
    <w:rsid w:val="00A346C0"/>
    <w:rsid w:val="00A3473F"/>
    <w:rsid w:val="00A34AA0"/>
    <w:rsid w:val="00A34B5F"/>
    <w:rsid w:val="00A36889"/>
    <w:rsid w:val="00A36CD7"/>
    <w:rsid w:val="00A3715C"/>
    <w:rsid w:val="00A418C5"/>
    <w:rsid w:val="00A41FE2"/>
    <w:rsid w:val="00A4358A"/>
    <w:rsid w:val="00A452E9"/>
    <w:rsid w:val="00A46FEF"/>
    <w:rsid w:val="00A47948"/>
    <w:rsid w:val="00A5045B"/>
    <w:rsid w:val="00A50CF6"/>
    <w:rsid w:val="00A5188F"/>
    <w:rsid w:val="00A52652"/>
    <w:rsid w:val="00A5513E"/>
    <w:rsid w:val="00A56366"/>
    <w:rsid w:val="00A564DC"/>
    <w:rsid w:val="00A5677C"/>
    <w:rsid w:val="00A56946"/>
    <w:rsid w:val="00A56E97"/>
    <w:rsid w:val="00A60472"/>
    <w:rsid w:val="00A6170E"/>
    <w:rsid w:val="00A624DA"/>
    <w:rsid w:val="00A626CA"/>
    <w:rsid w:val="00A63B8C"/>
    <w:rsid w:val="00A6564C"/>
    <w:rsid w:val="00A66E03"/>
    <w:rsid w:val="00A67816"/>
    <w:rsid w:val="00A67CC4"/>
    <w:rsid w:val="00A71013"/>
    <w:rsid w:val="00A710DA"/>
    <w:rsid w:val="00A715F8"/>
    <w:rsid w:val="00A7161F"/>
    <w:rsid w:val="00A73439"/>
    <w:rsid w:val="00A76219"/>
    <w:rsid w:val="00A77846"/>
    <w:rsid w:val="00A77F6F"/>
    <w:rsid w:val="00A80259"/>
    <w:rsid w:val="00A81A0E"/>
    <w:rsid w:val="00A81DEA"/>
    <w:rsid w:val="00A831FD"/>
    <w:rsid w:val="00A83352"/>
    <w:rsid w:val="00A83FF8"/>
    <w:rsid w:val="00A843E7"/>
    <w:rsid w:val="00A84D09"/>
    <w:rsid w:val="00A850A2"/>
    <w:rsid w:val="00A86B3F"/>
    <w:rsid w:val="00A87D11"/>
    <w:rsid w:val="00A91555"/>
    <w:rsid w:val="00A91FA3"/>
    <w:rsid w:val="00A927D3"/>
    <w:rsid w:val="00A9363C"/>
    <w:rsid w:val="00A9480C"/>
    <w:rsid w:val="00A968B1"/>
    <w:rsid w:val="00AA0F70"/>
    <w:rsid w:val="00AA12FB"/>
    <w:rsid w:val="00AA1964"/>
    <w:rsid w:val="00AA3A28"/>
    <w:rsid w:val="00AA5468"/>
    <w:rsid w:val="00AA7929"/>
    <w:rsid w:val="00AA7FC9"/>
    <w:rsid w:val="00AB225E"/>
    <w:rsid w:val="00AB237D"/>
    <w:rsid w:val="00AB3003"/>
    <w:rsid w:val="00AB304A"/>
    <w:rsid w:val="00AB49F5"/>
    <w:rsid w:val="00AB5933"/>
    <w:rsid w:val="00AB60DD"/>
    <w:rsid w:val="00AC1171"/>
    <w:rsid w:val="00AC21F1"/>
    <w:rsid w:val="00AC234C"/>
    <w:rsid w:val="00AC2CA4"/>
    <w:rsid w:val="00AC431C"/>
    <w:rsid w:val="00AC717C"/>
    <w:rsid w:val="00AD1D09"/>
    <w:rsid w:val="00AD23B1"/>
    <w:rsid w:val="00AD36D1"/>
    <w:rsid w:val="00AD49AF"/>
    <w:rsid w:val="00AD6348"/>
    <w:rsid w:val="00AE013D"/>
    <w:rsid w:val="00AE0C1B"/>
    <w:rsid w:val="00AE0E8B"/>
    <w:rsid w:val="00AE0EE8"/>
    <w:rsid w:val="00AE11B7"/>
    <w:rsid w:val="00AE520A"/>
    <w:rsid w:val="00AE7F68"/>
    <w:rsid w:val="00AF2321"/>
    <w:rsid w:val="00AF4F20"/>
    <w:rsid w:val="00AF52F6"/>
    <w:rsid w:val="00AF54A8"/>
    <w:rsid w:val="00AF7237"/>
    <w:rsid w:val="00B0043A"/>
    <w:rsid w:val="00B00444"/>
    <w:rsid w:val="00B00470"/>
    <w:rsid w:val="00B00D75"/>
    <w:rsid w:val="00B016C7"/>
    <w:rsid w:val="00B03518"/>
    <w:rsid w:val="00B03BC3"/>
    <w:rsid w:val="00B04477"/>
    <w:rsid w:val="00B0579B"/>
    <w:rsid w:val="00B05D62"/>
    <w:rsid w:val="00B0601E"/>
    <w:rsid w:val="00B070CB"/>
    <w:rsid w:val="00B106A8"/>
    <w:rsid w:val="00B107A7"/>
    <w:rsid w:val="00B109DD"/>
    <w:rsid w:val="00B1164E"/>
    <w:rsid w:val="00B11F0C"/>
    <w:rsid w:val="00B12456"/>
    <w:rsid w:val="00B13245"/>
    <w:rsid w:val="00B137F9"/>
    <w:rsid w:val="00B13C4A"/>
    <w:rsid w:val="00B145F0"/>
    <w:rsid w:val="00B15B5E"/>
    <w:rsid w:val="00B160C5"/>
    <w:rsid w:val="00B203A1"/>
    <w:rsid w:val="00B21819"/>
    <w:rsid w:val="00B246D2"/>
    <w:rsid w:val="00B259B6"/>
    <w:rsid w:val="00B259C8"/>
    <w:rsid w:val="00B26CCF"/>
    <w:rsid w:val="00B30948"/>
    <w:rsid w:val="00B30FC2"/>
    <w:rsid w:val="00B32FF5"/>
    <w:rsid w:val="00B331A2"/>
    <w:rsid w:val="00B35152"/>
    <w:rsid w:val="00B35F0B"/>
    <w:rsid w:val="00B362B1"/>
    <w:rsid w:val="00B370F9"/>
    <w:rsid w:val="00B377FF"/>
    <w:rsid w:val="00B4047B"/>
    <w:rsid w:val="00B425F0"/>
    <w:rsid w:val="00B42DFA"/>
    <w:rsid w:val="00B4511F"/>
    <w:rsid w:val="00B4678F"/>
    <w:rsid w:val="00B502C0"/>
    <w:rsid w:val="00B504FE"/>
    <w:rsid w:val="00B51D40"/>
    <w:rsid w:val="00B531DD"/>
    <w:rsid w:val="00B5361F"/>
    <w:rsid w:val="00B53FB1"/>
    <w:rsid w:val="00B55014"/>
    <w:rsid w:val="00B56F1F"/>
    <w:rsid w:val="00B578EB"/>
    <w:rsid w:val="00B619A6"/>
    <w:rsid w:val="00B62232"/>
    <w:rsid w:val="00B635AB"/>
    <w:rsid w:val="00B67594"/>
    <w:rsid w:val="00B70BF3"/>
    <w:rsid w:val="00B719A2"/>
    <w:rsid w:val="00B71DC2"/>
    <w:rsid w:val="00B72491"/>
    <w:rsid w:val="00B73DCB"/>
    <w:rsid w:val="00B80E8A"/>
    <w:rsid w:val="00B824BA"/>
    <w:rsid w:val="00B86BD7"/>
    <w:rsid w:val="00B86ED2"/>
    <w:rsid w:val="00B878CE"/>
    <w:rsid w:val="00B903F3"/>
    <w:rsid w:val="00B90554"/>
    <w:rsid w:val="00B91CFC"/>
    <w:rsid w:val="00B92488"/>
    <w:rsid w:val="00B93893"/>
    <w:rsid w:val="00B947B1"/>
    <w:rsid w:val="00B9514F"/>
    <w:rsid w:val="00B96729"/>
    <w:rsid w:val="00BA0687"/>
    <w:rsid w:val="00BA1397"/>
    <w:rsid w:val="00BA459B"/>
    <w:rsid w:val="00BA4974"/>
    <w:rsid w:val="00BA7E0A"/>
    <w:rsid w:val="00BB224B"/>
    <w:rsid w:val="00BB22A5"/>
    <w:rsid w:val="00BB5D43"/>
    <w:rsid w:val="00BB626B"/>
    <w:rsid w:val="00BC0067"/>
    <w:rsid w:val="00BC25D4"/>
    <w:rsid w:val="00BC3B53"/>
    <w:rsid w:val="00BC3B96"/>
    <w:rsid w:val="00BC46D8"/>
    <w:rsid w:val="00BC4AE3"/>
    <w:rsid w:val="00BC4E2C"/>
    <w:rsid w:val="00BC5198"/>
    <w:rsid w:val="00BC5B28"/>
    <w:rsid w:val="00BD1890"/>
    <w:rsid w:val="00BD2370"/>
    <w:rsid w:val="00BD5DB1"/>
    <w:rsid w:val="00BE0139"/>
    <w:rsid w:val="00BE1B7D"/>
    <w:rsid w:val="00BE3F88"/>
    <w:rsid w:val="00BE4756"/>
    <w:rsid w:val="00BE5ED9"/>
    <w:rsid w:val="00BE67C5"/>
    <w:rsid w:val="00BE7B41"/>
    <w:rsid w:val="00BE7B7B"/>
    <w:rsid w:val="00BF07F1"/>
    <w:rsid w:val="00BF3B5F"/>
    <w:rsid w:val="00BF620C"/>
    <w:rsid w:val="00BF6624"/>
    <w:rsid w:val="00BF66F7"/>
    <w:rsid w:val="00BF6D83"/>
    <w:rsid w:val="00C019C0"/>
    <w:rsid w:val="00C032CC"/>
    <w:rsid w:val="00C043EF"/>
    <w:rsid w:val="00C04DC7"/>
    <w:rsid w:val="00C05020"/>
    <w:rsid w:val="00C058CB"/>
    <w:rsid w:val="00C06684"/>
    <w:rsid w:val="00C06FF5"/>
    <w:rsid w:val="00C07A3B"/>
    <w:rsid w:val="00C134A5"/>
    <w:rsid w:val="00C13BF1"/>
    <w:rsid w:val="00C15283"/>
    <w:rsid w:val="00C15473"/>
    <w:rsid w:val="00C15668"/>
    <w:rsid w:val="00C157A5"/>
    <w:rsid w:val="00C15A91"/>
    <w:rsid w:val="00C206F1"/>
    <w:rsid w:val="00C217E1"/>
    <w:rsid w:val="00C219B1"/>
    <w:rsid w:val="00C21CC9"/>
    <w:rsid w:val="00C225DD"/>
    <w:rsid w:val="00C23A1C"/>
    <w:rsid w:val="00C2589A"/>
    <w:rsid w:val="00C25989"/>
    <w:rsid w:val="00C30DD1"/>
    <w:rsid w:val="00C36E07"/>
    <w:rsid w:val="00C37826"/>
    <w:rsid w:val="00C4015B"/>
    <w:rsid w:val="00C40268"/>
    <w:rsid w:val="00C40C60"/>
    <w:rsid w:val="00C41D43"/>
    <w:rsid w:val="00C430A9"/>
    <w:rsid w:val="00C43ABE"/>
    <w:rsid w:val="00C44885"/>
    <w:rsid w:val="00C462CD"/>
    <w:rsid w:val="00C472D2"/>
    <w:rsid w:val="00C50B20"/>
    <w:rsid w:val="00C50D21"/>
    <w:rsid w:val="00C50E45"/>
    <w:rsid w:val="00C520BB"/>
    <w:rsid w:val="00C5258E"/>
    <w:rsid w:val="00C529A8"/>
    <w:rsid w:val="00C53030"/>
    <w:rsid w:val="00C530C9"/>
    <w:rsid w:val="00C5435C"/>
    <w:rsid w:val="00C55BF0"/>
    <w:rsid w:val="00C56BD2"/>
    <w:rsid w:val="00C57337"/>
    <w:rsid w:val="00C5791A"/>
    <w:rsid w:val="00C6031A"/>
    <w:rsid w:val="00C619A7"/>
    <w:rsid w:val="00C61FDB"/>
    <w:rsid w:val="00C633D1"/>
    <w:rsid w:val="00C646F1"/>
    <w:rsid w:val="00C64F95"/>
    <w:rsid w:val="00C66399"/>
    <w:rsid w:val="00C6776B"/>
    <w:rsid w:val="00C701D7"/>
    <w:rsid w:val="00C73D5F"/>
    <w:rsid w:val="00C74D09"/>
    <w:rsid w:val="00C75554"/>
    <w:rsid w:val="00C7562B"/>
    <w:rsid w:val="00C76E56"/>
    <w:rsid w:val="00C776A8"/>
    <w:rsid w:val="00C77CC4"/>
    <w:rsid w:val="00C80962"/>
    <w:rsid w:val="00C82534"/>
    <w:rsid w:val="00C82AFE"/>
    <w:rsid w:val="00C83CD4"/>
    <w:rsid w:val="00C83DBC"/>
    <w:rsid w:val="00C83EAD"/>
    <w:rsid w:val="00C90702"/>
    <w:rsid w:val="00C9080C"/>
    <w:rsid w:val="00C90824"/>
    <w:rsid w:val="00C90F54"/>
    <w:rsid w:val="00C96086"/>
    <w:rsid w:val="00C97C80"/>
    <w:rsid w:val="00CA0DFA"/>
    <w:rsid w:val="00CA0F02"/>
    <w:rsid w:val="00CA1665"/>
    <w:rsid w:val="00CA20B5"/>
    <w:rsid w:val="00CA2EBE"/>
    <w:rsid w:val="00CA2F09"/>
    <w:rsid w:val="00CA47D3"/>
    <w:rsid w:val="00CA4B69"/>
    <w:rsid w:val="00CA6533"/>
    <w:rsid w:val="00CA6A25"/>
    <w:rsid w:val="00CA6A3F"/>
    <w:rsid w:val="00CA7C99"/>
    <w:rsid w:val="00CA7E5C"/>
    <w:rsid w:val="00CB3CF3"/>
    <w:rsid w:val="00CB495E"/>
    <w:rsid w:val="00CB5F8B"/>
    <w:rsid w:val="00CB6BBF"/>
    <w:rsid w:val="00CC05EA"/>
    <w:rsid w:val="00CC17AA"/>
    <w:rsid w:val="00CC390E"/>
    <w:rsid w:val="00CC4322"/>
    <w:rsid w:val="00CC6290"/>
    <w:rsid w:val="00CC63A1"/>
    <w:rsid w:val="00CC6403"/>
    <w:rsid w:val="00CC6FDC"/>
    <w:rsid w:val="00CC7ED6"/>
    <w:rsid w:val="00CD0582"/>
    <w:rsid w:val="00CD132C"/>
    <w:rsid w:val="00CD233D"/>
    <w:rsid w:val="00CD2D16"/>
    <w:rsid w:val="00CD2D49"/>
    <w:rsid w:val="00CD3499"/>
    <w:rsid w:val="00CD362D"/>
    <w:rsid w:val="00CD3635"/>
    <w:rsid w:val="00CD61B6"/>
    <w:rsid w:val="00CE0AE6"/>
    <w:rsid w:val="00CE0BF2"/>
    <w:rsid w:val="00CE101D"/>
    <w:rsid w:val="00CE1814"/>
    <w:rsid w:val="00CE1A95"/>
    <w:rsid w:val="00CE1C84"/>
    <w:rsid w:val="00CE1F8B"/>
    <w:rsid w:val="00CE2D59"/>
    <w:rsid w:val="00CE329C"/>
    <w:rsid w:val="00CE38AD"/>
    <w:rsid w:val="00CE5055"/>
    <w:rsid w:val="00CE61B5"/>
    <w:rsid w:val="00CE66C1"/>
    <w:rsid w:val="00CF04A6"/>
    <w:rsid w:val="00CF053F"/>
    <w:rsid w:val="00CF1721"/>
    <w:rsid w:val="00CF1A17"/>
    <w:rsid w:val="00CF39AB"/>
    <w:rsid w:val="00CF71AB"/>
    <w:rsid w:val="00D00016"/>
    <w:rsid w:val="00D008C9"/>
    <w:rsid w:val="00D0375A"/>
    <w:rsid w:val="00D0512C"/>
    <w:rsid w:val="00D057AF"/>
    <w:rsid w:val="00D0609E"/>
    <w:rsid w:val="00D0633B"/>
    <w:rsid w:val="00D078E1"/>
    <w:rsid w:val="00D100E9"/>
    <w:rsid w:val="00D15779"/>
    <w:rsid w:val="00D16266"/>
    <w:rsid w:val="00D168CB"/>
    <w:rsid w:val="00D1700B"/>
    <w:rsid w:val="00D17942"/>
    <w:rsid w:val="00D21E4B"/>
    <w:rsid w:val="00D22441"/>
    <w:rsid w:val="00D23522"/>
    <w:rsid w:val="00D23D7D"/>
    <w:rsid w:val="00D2496F"/>
    <w:rsid w:val="00D2552A"/>
    <w:rsid w:val="00D264D6"/>
    <w:rsid w:val="00D273D9"/>
    <w:rsid w:val="00D307F0"/>
    <w:rsid w:val="00D30829"/>
    <w:rsid w:val="00D30E71"/>
    <w:rsid w:val="00D3203C"/>
    <w:rsid w:val="00D3257B"/>
    <w:rsid w:val="00D33BF0"/>
    <w:rsid w:val="00D33DE0"/>
    <w:rsid w:val="00D34F87"/>
    <w:rsid w:val="00D36447"/>
    <w:rsid w:val="00D40884"/>
    <w:rsid w:val="00D44DE2"/>
    <w:rsid w:val="00D47D98"/>
    <w:rsid w:val="00D502B1"/>
    <w:rsid w:val="00D5058B"/>
    <w:rsid w:val="00D506A8"/>
    <w:rsid w:val="00D516BE"/>
    <w:rsid w:val="00D5236D"/>
    <w:rsid w:val="00D53FC4"/>
    <w:rsid w:val="00D5423B"/>
    <w:rsid w:val="00D54E6A"/>
    <w:rsid w:val="00D54F4E"/>
    <w:rsid w:val="00D5560C"/>
    <w:rsid w:val="00D576B4"/>
    <w:rsid w:val="00D57A56"/>
    <w:rsid w:val="00D604B3"/>
    <w:rsid w:val="00D60BA4"/>
    <w:rsid w:val="00D62419"/>
    <w:rsid w:val="00D65421"/>
    <w:rsid w:val="00D7062D"/>
    <w:rsid w:val="00D71182"/>
    <w:rsid w:val="00D72F45"/>
    <w:rsid w:val="00D77870"/>
    <w:rsid w:val="00D80977"/>
    <w:rsid w:val="00D80CCE"/>
    <w:rsid w:val="00D817C6"/>
    <w:rsid w:val="00D831E7"/>
    <w:rsid w:val="00D86EEA"/>
    <w:rsid w:val="00D878F5"/>
    <w:rsid w:val="00D87D03"/>
    <w:rsid w:val="00D921F7"/>
    <w:rsid w:val="00D9360B"/>
    <w:rsid w:val="00D936EE"/>
    <w:rsid w:val="00D937DB"/>
    <w:rsid w:val="00D9568F"/>
    <w:rsid w:val="00D95C88"/>
    <w:rsid w:val="00D96C71"/>
    <w:rsid w:val="00D97B2E"/>
    <w:rsid w:val="00DA0C47"/>
    <w:rsid w:val="00DA1D2E"/>
    <w:rsid w:val="00DA241E"/>
    <w:rsid w:val="00DA24E6"/>
    <w:rsid w:val="00DB0CF5"/>
    <w:rsid w:val="00DB17A5"/>
    <w:rsid w:val="00DB1FD1"/>
    <w:rsid w:val="00DB299A"/>
    <w:rsid w:val="00DB36FE"/>
    <w:rsid w:val="00DB4479"/>
    <w:rsid w:val="00DB533A"/>
    <w:rsid w:val="00DB5A75"/>
    <w:rsid w:val="00DB5C26"/>
    <w:rsid w:val="00DB60AE"/>
    <w:rsid w:val="00DB62CA"/>
    <w:rsid w:val="00DB6307"/>
    <w:rsid w:val="00DB7689"/>
    <w:rsid w:val="00DC0C97"/>
    <w:rsid w:val="00DC0FFD"/>
    <w:rsid w:val="00DC3C28"/>
    <w:rsid w:val="00DC4932"/>
    <w:rsid w:val="00DC66F8"/>
    <w:rsid w:val="00DD0049"/>
    <w:rsid w:val="00DD0EDF"/>
    <w:rsid w:val="00DD1DCD"/>
    <w:rsid w:val="00DD321B"/>
    <w:rsid w:val="00DD338F"/>
    <w:rsid w:val="00DD3793"/>
    <w:rsid w:val="00DD435A"/>
    <w:rsid w:val="00DD4939"/>
    <w:rsid w:val="00DD5036"/>
    <w:rsid w:val="00DD5528"/>
    <w:rsid w:val="00DD58CB"/>
    <w:rsid w:val="00DD66F2"/>
    <w:rsid w:val="00DD7C83"/>
    <w:rsid w:val="00DE0927"/>
    <w:rsid w:val="00DE1734"/>
    <w:rsid w:val="00DE2860"/>
    <w:rsid w:val="00DE3FE0"/>
    <w:rsid w:val="00DE4FFE"/>
    <w:rsid w:val="00DE50B2"/>
    <w:rsid w:val="00DE578A"/>
    <w:rsid w:val="00DF0205"/>
    <w:rsid w:val="00DF0F6E"/>
    <w:rsid w:val="00DF1F16"/>
    <w:rsid w:val="00DF2583"/>
    <w:rsid w:val="00DF2A6D"/>
    <w:rsid w:val="00DF3DFA"/>
    <w:rsid w:val="00DF54D9"/>
    <w:rsid w:val="00DF63DB"/>
    <w:rsid w:val="00DF6A2B"/>
    <w:rsid w:val="00DF7283"/>
    <w:rsid w:val="00E00DEE"/>
    <w:rsid w:val="00E0148A"/>
    <w:rsid w:val="00E01A59"/>
    <w:rsid w:val="00E044AB"/>
    <w:rsid w:val="00E04D8A"/>
    <w:rsid w:val="00E07535"/>
    <w:rsid w:val="00E10A11"/>
    <w:rsid w:val="00E10DC6"/>
    <w:rsid w:val="00E11F8E"/>
    <w:rsid w:val="00E142D6"/>
    <w:rsid w:val="00E14FA9"/>
    <w:rsid w:val="00E15881"/>
    <w:rsid w:val="00E15E4F"/>
    <w:rsid w:val="00E1668F"/>
    <w:rsid w:val="00E1695C"/>
    <w:rsid w:val="00E16A8F"/>
    <w:rsid w:val="00E1751B"/>
    <w:rsid w:val="00E178F3"/>
    <w:rsid w:val="00E17C07"/>
    <w:rsid w:val="00E2082D"/>
    <w:rsid w:val="00E20F0D"/>
    <w:rsid w:val="00E212D1"/>
    <w:rsid w:val="00E215DB"/>
    <w:rsid w:val="00E21DE3"/>
    <w:rsid w:val="00E220E7"/>
    <w:rsid w:val="00E229F4"/>
    <w:rsid w:val="00E246E1"/>
    <w:rsid w:val="00E252EF"/>
    <w:rsid w:val="00E25EEA"/>
    <w:rsid w:val="00E26877"/>
    <w:rsid w:val="00E26C81"/>
    <w:rsid w:val="00E273C5"/>
    <w:rsid w:val="00E307D1"/>
    <w:rsid w:val="00E30A56"/>
    <w:rsid w:val="00E316C3"/>
    <w:rsid w:val="00E334BE"/>
    <w:rsid w:val="00E35057"/>
    <w:rsid w:val="00E35199"/>
    <w:rsid w:val="00E3731D"/>
    <w:rsid w:val="00E40564"/>
    <w:rsid w:val="00E42F33"/>
    <w:rsid w:val="00E467E5"/>
    <w:rsid w:val="00E51469"/>
    <w:rsid w:val="00E518F5"/>
    <w:rsid w:val="00E5264F"/>
    <w:rsid w:val="00E5281B"/>
    <w:rsid w:val="00E52FD3"/>
    <w:rsid w:val="00E54B9F"/>
    <w:rsid w:val="00E54C59"/>
    <w:rsid w:val="00E55588"/>
    <w:rsid w:val="00E55C53"/>
    <w:rsid w:val="00E573A1"/>
    <w:rsid w:val="00E611CD"/>
    <w:rsid w:val="00E634E3"/>
    <w:rsid w:val="00E65081"/>
    <w:rsid w:val="00E661E7"/>
    <w:rsid w:val="00E66386"/>
    <w:rsid w:val="00E717C4"/>
    <w:rsid w:val="00E71E1E"/>
    <w:rsid w:val="00E739FD"/>
    <w:rsid w:val="00E77E18"/>
    <w:rsid w:val="00E77F89"/>
    <w:rsid w:val="00E80330"/>
    <w:rsid w:val="00E806C5"/>
    <w:rsid w:val="00E80E71"/>
    <w:rsid w:val="00E816F4"/>
    <w:rsid w:val="00E82B54"/>
    <w:rsid w:val="00E83D35"/>
    <w:rsid w:val="00E847B4"/>
    <w:rsid w:val="00E84AC5"/>
    <w:rsid w:val="00E850D3"/>
    <w:rsid w:val="00E85186"/>
    <w:rsid w:val="00E853D6"/>
    <w:rsid w:val="00E85F32"/>
    <w:rsid w:val="00E876B9"/>
    <w:rsid w:val="00E91D25"/>
    <w:rsid w:val="00E93083"/>
    <w:rsid w:val="00E9393E"/>
    <w:rsid w:val="00E94BE3"/>
    <w:rsid w:val="00E9505B"/>
    <w:rsid w:val="00E960D2"/>
    <w:rsid w:val="00EA1D24"/>
    <w:rsid w:val="00EA5129"/>
    <w:rsid w:val="00EA7209"/>
    <w:rsid w:val="00EB1882"/>
    <w:rsid w:val="00EB255D"/>
    <w:rsid w:val="00EB3692"/>
    <w:rsid w:val="00EB465D"/>
    <w:rsid w:val="00EB4DCF"/>
    <w:rsid w:val="00EB5C6B"/>
    <w:rsid w:val="00EB6DF0"/>
    <w:rsid w:val="00EB75F7"/>
    <w:rsid w:val="00EC0DD1"/>
    <w:rsid w:val="00EC0DFF"/>
    <w:rsid w:val="00EC1BB9"/>
    <w:rsid w:val="00EC237D"/>
    <w:rsid w:val="00EC2918"/>
    <w:rsid w:val="00EC2B72"/>
    <w:rsid w:val="00EC311F"/>
    <w:rsid w:val="00EC4D0E"/>
    <w:rsid w:val="00EC4E2B"/>
    <w:rsid w:val="00ED0330"/>
    <w:rsid w:val="00ED072A"/>
    <w:rsid w:val="00ED3528"/>
    <w:rsid w:val="00ED4E47"/>
    <w:rsid w:val="00ED539E"/>
    <w:rsid w:val="00ED6EA4"/>
    <w:rsid w:val="00EE1A6C"/>
    <w:rsid w:val="00EE23E4"/>
    <w:rsid w:val="00EE33B5"/>
    <w:rsid w:val="00EE3A19"/>
    <w:rsid w:val="00EE4A1F"/>
    <w:rsid w:val="00EE4C2D"/>
    <w:rsid w:val="00EE6982"/>
    <w:rsid w:val="00EF06A9"/>
    <w:rsid w:val="00EF1B5A"/>
    <w:rsid w:val="00EF24FB"/>
    <w:rsid w:val="00EF2CCA"/>
    <w:rsid w:val="00EF495B"/>
    <w:rsid w:val="00EF4DA9"/>
    <w:rsid w:val="00EF60DC"/>
    <w:rsid w:val="00EF6AF7"/>
    <w:rsid w:val="00F009C0"/>
    <w:rsid w:val="00F00F54"/>
    <w:rsid w:val="00F029A9"/>
    <w:rsid w:val="00F03963"/>
    <w:rsid w:val="00F04180"/>
    <w:rsid w:val="00F058C4"/>
    <w:rsid w:val="00F05D0C"/>
    <w:rsid w:val="00F10CB6"/>
    <w:rsid w:val="00F11068"/>
    <w:rsid w:val="00F11255"/>
    <w:rsid w:val="00F1130A"/>
    <w:rsid w:val="00F124A0"/>
    <w:rsid w:val="00F1256D"/>
    <w:rsid w:val="00F127DA"/>
    <w:rsid w:val="00F12C95"/>
    <w:rsid w:val="00F13A4E"/>
    <w:rsid w:val="00F13B1A"/>
    <w:rsid w:val="00F151BE"/>
    <w:rsid w:val="00F159DA"/>
    <w:rsid w:val="00F16758"/>
    <w:rsid w:val="00F172BB"/>
    <w:rsid w:val="00F17AF6"/>
    <w:rsid w:val="00F17B10"/>
    <w:rsid w:val="00F21BEF"/>
    <w:rsid w:val="00F21D77"/>
    <w:rsid w:val="00F2315B"/>
    <w:rsid w:val="00F250EE"/>
    <w:rsid w:val="00F2552B"/>
    <w:rsid w:val="00F260A1"/>
    <w:rsid w:val="00F26459"/>
    <w:rsid w:val="00F27B49"/>
    <w:rsid w:val="00F27C51"/>
    <w:rsid w:val="00F30CA5"/>
    <w:rsid w:val="00F32AD3"/>
    <w:rsid w:val="00F32FF2"/>
    <w:rsid w:val="00F335CE"/>
    <w:rsid w:val="00F33C8C"/>
    <w:rsid w:val="00F33F8E"/>
    <w:rsid w:val="00F36EE4"/>
    <w:rsid w:val="00F41A6F"/>
    <w:rsid w:val="00F41E57"/>
    <w:rsid w:val="00F41EC3"/>
    <w:rsid w:val="00F42B0C"/>
    <w:rsid w:val="00F43DE7"/>
    <w:rsid w:val="00F45A25"/>
    <w:rsid w:val="00F50387"/>
    <w:rsid w:val="00F50695"/>
    <w:rsid w:val="00F50F86"/>
    <w:rsid w:val="00F523C6"/>
    <w:rsid w:val="00F53437"/>
    <w:rsid w:val="00F5368D"/>
    <w:rsid w:val="00F53F91"/>
    <w:rsid w:val="00F55211"/>
    <w:rsid w:val="00F554AA"/>
    <w:rsid w:val="00F55F5A"/>
    <w:rsid w:val="00F61569"/>
    <w:rsid w:val="00F61A72"/>
    <w:rsid w:val="00F62931"/>
    <w:rsid w:val="00F62B67"/>
    <w:rsid w:val="00F63EF1"/>
    <w:rsid w:val="00F640A7"/>
    <w:rsid w:val="00F66732"/>
    <w:rsid w:val="00F66F13"/>
    <w:rsid w:val="00F71F3C"/>
    <w:rsid w:val="00F74073"/>
    <w:rsid w:val="00F748E6"/>
    <w:rsid w:val="00F75603"/>
    <w:rsid w:val="00F77B6B"/>
    <w:rsid w:val="00F805DE"/>
    <w:rsid w:val="00F80889"/>
    <w:rsid w:val="00F80BDC"/>
    <w:rsid w:val="00F81E9A"/>
    <w:rsid w:val="00F83C28"/>
    <w:rsid w:val="00F83D6A"/>
    <w:rsid w:val="00F845B4"/>
    <w:rsid w:val="00F85555"/>
    <w:rsid w:val="00F8567F"/>
    <w:rsid w:val="00F8713B"/>
    <w:rsid w:val="00F9308C"/>
    <w:rsid w:val="00F93F9E"/>
    <w:rsid w:val="00F9718E"/>
    <w:rsid w:val="00FA107C"/>
    <w:rsid w:val="00FA2CD7"/>
    <w:rsid w:val="00FA32C1"/>
    <w:rsid w:val="00FB06ED"/>
    <w:rsid w:val="00FB0756"/>
    <w:rsid w:val="00FB0D79"/>
    <w:rsid w:val="00FB332A"/>
    <w:rsid w:val="00FB47E0"/>
    <w:rsid w:val="00FB5247"/>
    <w:rsid w:val="00FB5493"/>
    <w:rsid w:val="00FB60FC"/>
    <w:rsid w:val="00FB683F"/>
    <w:rsid w:val="00FC2311"/>
    <w:rsid w:val="00FC3165"/>
    <w:rsid w:val="00FC36AB"/>
    <w:rsid w:val="00FC4300"/>
    <w:rsid w:val="00FC46B5"/>
    <w:rsid w:val="00FC58E6"/>
    <w:rsid w:val="00FC5AB7"/>
    <w:rsid w:val="00FC5CFA"/>
    <w:rsid w:val="00FC640D"/>
    <w:rsid w:val="00FC7F66"/>
    <w:rsid w:val="00FD0BD6"/>
    <w:rsid w:val="00FD1CB9"/>
    <w:rsid w:val="00FD5776"/>
    <w:rsid w:val="00FD5DA9"/>
    <w:rsid w:val="00FE1CB6"/>
    <w:rsid w:val="00FE2ECC"/>
    <w:rsid w:val="00FE2FC3"/>
    <w:rsid w:val="00FE32C0"/>
    <w:rsid w:val="00FE4680"/>
    <w:rsid w:val="00FE486B"/>
    <w:rsid w:val="00FE4C88"/>
    <w:rsid w:val="00FE4F08"/>
    <w:rsid w:val="00FE5692"/>
    <w:rsid w:val="00FE7842"/>
    <w:rsid w:val="00FF083A"/>
    <w:rsid w:val="00FF0DE5"/>
    <w:rsid w:val="00FF1775"/>
    <w:rsid w:val="00FF192E"/>
    <w:rsid w:val="00FF3219"/>
    <w:rsid w:val="00FF3F40"/>
    <w:rsid w:val="00FF444C"/>
    <w:rsid w:val="00FF4508"/>
    <w:rsid w:val="00FF5498"/>
    <w:rsid w:val="00FF5B53"/>
    <w:rsid w:val="00FF695E"/>
    <w:rsid w:val="012C21C2"/>
    <w:rsid w:val="01538931"/>
    <w:rsid w:val="0155CC81"/>
    <w:rsid w:val="023BB402"/>
    <w:rsid w:val="029FC8D8"/>
    <w:rsid w:val="0354AC7A"/>
    <w:rsid w:val="038D9EA6"/>
    <w:rsid w:val="041AD3A7"/>
    <w:rsid w:val="054A74E3"/>
    <w:rsid w:val="055176C0"/>
    <w:rsid w:val="056B0D43"/>
    <w:rsid w:val="05EBF55F"/>
    <w:rsid w:val="0642695C"/>
    <w:rsid w:val="06791B2C"/>
    <w:rsid w:val="06E5A426"/>
    <w:rsid w:val="073308A1"/>
    <w:rsid w:val="076176DD"/>
    <w:rsid w:val="095916A2"/>
    <w:rsid w:val="09C8DF9A"/>
    <w:rsid w:val="0A68D420"/>
    <w:rsid w:val="0AC44E6E"/>
    <w:rsid w:val="0B03E2D9"/>
    <w:rsid w:val="0B6D4718"/>
    <w:rsid w:val="0C2630EB"/>
    <w:rsid w:val="0C698541"/>
    <w:rsid w:val="0D8FDEC7"/>
    <w:rsid w:val="0DD7233C"/>
    <w:rsid w:val="0EE14E3F"/>
    <w:rsid w:val="0F83262E"/>
    <w:rsid w:val="102864E2"/>
    <w:rsid w:val="1056E654"/>
    <w:rsid w:val="107E7538"/>
    <w:rsid w:val="13E56DC5"/>
    <w:rsid w:val="143204BF"/>
    <w:rsid w:val="1502B39C"/>
    <w:rsid w:val="162587AB"/>
    <w:rsid w:val="16637C6B"/>
    <w:rsid w:val="16C94E8A"/>
    <w:rsid w:val="1756EF44"/>
    <w:rsid w:val="178CA94F"/>
    <w:rsid w:val="1862CD9C"/>
    <w:rsid w:val="19DBE20C"/>
    <w:rsid w:val="1AC7DF1A"/>
    <w:rsid w:val="1AEA22D4"/>
    <w:rsid w:val="1B2F4F33"/>
    <w:rsid w:val="1B73F24D"/>
    <w:rsid w:val="1C1E805A"/>
    <w:rsid w:val="1D05BA7E"/>
    <w:rsid w:val="1D718C58"/>
    <w:rsid w:val="1DC27AD6"/>
    <w:rsid w:val="1DCD8C7A"/>
    <w:rsid w:val="1E4C2593"/>
    <w:rsid w:val="1E568089"/>
    <w:rsid w:val="1EE206CD"/>
    <w:rsid w:val="1F74EF49"/>
    <w:rsid w:val="1F9C9CCD"/>
    <w:rsid w:val="1FEBFB88"/>
    <w:rsid w:val="213F424B"/>
    <w:rsid w:val="21C6A947"/>
    <w:rsid w:val="21E57E15"/>
    <w:rsid w:val="21F86715"/>
    <w:rsid w:val="22A36D55"/>
    <w:rsid w:val="22B9FC24"/>
    <w:rsid w:val="232AFB16"/>
    <w:rsid w:val="2454C83E"/>
    <w:rsid w:val="24B81364"/>
    <w:rsid w:val="24C8C6A8"/>
    <w:rsid w:val="24D4ACCC"/>
    <w:rsid w:val="26F84CBA"/>
    <w:rsid w:val="2700278D"/>
    <w:rsid w:val="27D644C5"/>
    <w:rsid w:val="28A6CFA8"/>
    <w:rsid w:val="28AF75EB"/>
    <w:rsid w:val="2904643F"/>
    <w:rsid w:val="29492DA0"/>
    <w:rsid w:val="297D49E9"/>
    <w:rsid w:val="298CFD47"/>
    <w:rsid w:val="2B59B943"/>
    <w:rsid w:val="2BA394EE"/>
    <w:rsid w:val="2BEC485B"/>
    <w:rsid w:val="2C14E712"/>
    <w:rsid w:val="2C5403BF"/>
    <w:rsid w:val="2CDDA36A"/>
    <w:rsid w:val="2CEB1DEB"/>
    <w:rsid w:val="2ED93651"/>
    <w:rsid w:val="2F6AAA90"/>
    <w:rsid w:val="2FCCDC86"/>
    <w:rsid w:val="3029E75F"/>
    <w:rsid w:val="302AEC96"/>
    <w:rsid w:val="3099C730"/>
    <w:rsid w:val="318E095B"/>
    <w:rsid w:val="323D7245"/>
    <w:rsid w:val="3244FD05"/>
    <w:rsid w:val="324C1D19"/>
    <w:rsid w:val="325E20FB"/>
    <w:rsid w:val="3355A5CF"/>
    <w:rsid w:val="3482343F"/>
    <w:rsid w:val="37CBD3E7"/>
    <w:rsid w:val="3811B304"/>
    <w:rsid w:val="3867CCE4"/>
    <w:rsid w:val="3879493C"/>
    <w:rsid w:val="38894EA2"/>
    <w:rsid w:val="3900786A"/>
    <w:rsid w:val="390ADD36"/>
    <w:rsid w:val="39217F7E"/>
    <w:rsid w:val="398B9A89"/>
    <w:rsid w:val="3A38A957"/>
    <w:rsid w:val="3A6CF1E4"/>
    <w:rsid w:val="3A963DD2"/>
    <w:rsid w:val="3AE5C2D4"/>
    <w:rsid w:val="3B455CC6"/>
    <w:rsid w:val="3B915940"/>
    <w:rsid w:val="3BBC3835"/>
    <w:rsid w:val="3BCBDD40"/>
    <w:rsid w:val="3BEB7136"/>
    <w:rsid w:val="3D7550CF"/>
    <w:rsid w:val="3DF7C28D"/>
    <w:rsid w:val="3E333C34"/>
    <w:rsid w:val="3F401798"/>
    <w:rsid w:val="4005BA6B"/>
    <w:rsid w:val="412BB18B"/>
    <w:rsid w:val="419CE3F4"/>
    <w:rsid w:val="41B05B05"/>
    <w:rsid w:val="420E7EA0"/>
    <w:rsid w:val="4223A9BF"/>
    <w:rsid w:val="4280C521"/>
    <w:rsid w:val="42E618E3"/>
    <w:rsid w:val="4312F6F7"/>
    <w:rsid w:val="438089C7"/>
    <w:rsid w:val="4390F8D8"/>
    <w:rsid w:val="44433C60"/>
    <w:rsid w:val="448B4736"/>
    <w:rsid w:val="458AC3E1"/>
    <w:rsid w:val="45E9855E"/>
    <w:rsid w:val="462E8646"/>
    <w:rsid w:val="4646F65D"/>
    <w:rsid w:val="468363D6"/>
    <w:rsid w:val="46D14478"/>
    <w:rsid w:val="47FA6837"/>
    <w:rsid w:val="486DA3EF"/>
    <w:rsid w:val="48A44694"/>
    <w:rsid w:val="48BBAE23"/>
    <w:rsid w:val="49159869"/>
    <w:rsid w:val="4918AD3E"/>
    <w:rsid w:val="4AC3F4DA"/>
    <w:rsid w:val="4C6888F9"/>
    <w:rsid w:val="4C86BEC9"/>
    <w:rsid w:val="4D1831CE"/>
    <w:rsid w:val="4ECB0A39"/>
    <w:rsid w:val="4EFF8808"/>
    <w:rsid w:val="4F8128E1"/>
    <w:rsid w:val="4FF6EAF9"/>
    <w:rsid w:val="511CB468"/>
    <w:rsid w:val="51C5B75C"/>
    <w:rsid w:val="51E2AF0B"/>
    <w:rsid w:val="52EB9DD3"/>
    <w:rsid w:val="530074CB"/>
    <w:rsid w:val="534A00D5"/>
    <w:rsid w:val="53FE540D"/>
    <w:rsid w:val="54523472"/>
    <w:rsid w:val="54F0D6DC"/>
    <w:rsid w:val="55B77B44"/>
    <w:rsid w:val="56EBA31E"/>
    <w:rsid w:val="57239BB7"/>
    <w:rsid w:val="588DFC28"/>
    <w:rsid w:val="596691C0"/>
    <w:rsid w:val="5A1FCEF8"/>
    <w:rsid w:val="5A77DA8D"/>
    <w:rsid w:val="5AF863BF"/>
    <w:rsid w:val="5B2CC4C1"/>
    <w:rsid w:val="5B6C654D"/>
    <w:rsid w:val="5B742FAF"/>
    <w:rsid w:val="5C44E2FE"/>
    <w:rsid w:val="5D4487EA"/>
    <w:rsid w:val="5DDBBC7D"/>
    <w:rsid w:val="5E0206C0"/>
    <w:rsid w:val="5E155FCE"/>
    <w:rsid w:val="5E7EFFD5"/>
    <w:rsid w:val="5ED591C6"/>
    <w:rsid w:val="5F176805"/>
    <w:rsid w:val="609B89CC"/>
    <w:rsid w:val="61503981"/>
    <w:rsid w:val="61BF90CA"/>
    <w:rsid w:val="626B4F31"/>
    <w:rsid w:val="62F7A6EA"/>
    <w:rsid w:val="6313B354"/>
    <w:rsid w:val="6320A6AD"/>
    <w:rsid w:val="6345749F"/>
    <w:rsid w:val="63ACCDC4"/>
    <w:rsid w:val="670D9207"/>
    <w:rsid w:val="67EA5E02"/>
    <w:rsid w:val="67F27ADB"/>
    <w:rsid w:val="680B9B7F"/>
    <w:rsid w:val="680FAEA4"/>
    <w:rsid w:val="6810FD42"/>
    <w:rsid w:val="69D8E465"/>
    <w:rsid w:val="6A1A2D0E"/>
    <w:rsid w:val="6A6BC700"/>
    <w:rsid w:val="6B22EC13"/>
    <w:rsid w:val="6B36464F"/>
    <w:rsid w:val="6B6CE17A"/>
    <w:rsid w:val="6CAA980F"/>
    <w:rsid w:val="6DFCFA3D"/>
    <w:rsid w:val="6E0BC33A"/>
    <w:rsid w:val="6EE54C5E"/>
    <w:rsid w:val="6F2F0061"/>
    <w:rsid w:val="6F76B925"/>
    <w:rsid w:val="6F9BAA70"/>
    <w:rsid w:val="6FB789E4"/>
    <w:rsid w:val="7065C285"/>
    <w:rsid w:val="7096C379"/>
    <w:rsid w:val="72DBB9D8"/>
    <w:rsid w:val="73A61AD3"/>
    <w:rsid w:val="74090F46"/>
    <w:rsid w:val="747432F0"/>
    <w:rsid w:val="74DF2657"/>
    <w:rsid w:val="74F79952"/>
    <w:rsid w:val="754D1D8B"/>
    <w:rsid w:val="757200B1"/>
    <w:rsid w:val="771E97B7"/>
    <w:rsid w:val="77D39A3B"/>
    <w:rsid w:val="78A8C55F"/>
    <w:rsid w:val="79F97F50"/>
    <w:rsid w:val="7AAF43AB"/>
    <w:rsid w:val="7AD836F8"/>
    <w:rsid w:val="7AEA191F"/>
    <w:rsid w:val="7B713800"/>
    <w:rsid w:val="7BBED9C6"/>
    <w:rsid w:val="7BDAD7F7"/>
    <w:rsid w:val="7C26C4C4"/>
    <w:rsid w:val="7CA99007"/>
    <w:rsid w:val="7D5CA81E"/>
    <w:rsid w:val="7DBEDA00"/>
    <w:rsid w:val="7E57ED3A"/>
    <w:rsid w:val="7EBEF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
    <w:rsid w:val="00023E9A"/>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pPr>
    <w:rPr>
      <w:noProof/>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496077"/>
    <w:pPr>
      <w:ind w:left="720"/>
      <w:contextualSpacing/>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176EF8"/>
    <w:rPr>
      <w:vertAlign w:val="superscript"/>
    </w:rPr>
  </w:style>
  <w:style w:type="character" w:styleId="Vermelding">
    <w:name w:val="Mention"/>
    <w:basedOn w:val="Standaardalinea-lettertype"/>
    <w:uiPriority w:val="99"/>
    <w:unhideWhenUsed/>
    <w:rsid w:val="006B54BC"/>
    <w:rPr>
      <w:color w:val="2B579A"/>
      <w:shd w:val="clear" w:color="auto" w:fill="E1DFDD"/>
    </w:rPr>
  </w:style>
  <w:style w:type="paragraph" w:styleId="Revisie">
    <w:name w:val="Revision"/>
    <w:hidden/>
    <w:uiPriority w:val="99"/>
    <w:semiHidden/>
    <w:rsid w:val="004E3526"/>
    <w:rPr>
      <w:rFonts w:ascii="Verdana" w:hAnsi="Verdana"/>
      <w:sz w:val="18"/>
      <w:szCs w:val="24"/>
      <w:lang w:val="nl-NL" w:eastAsia="nl-NL"/>
    </w:rPr>
  </w:style>
  <w:style w:type="character" w:customStyle="1" w:styleId="VoetnoottekstChar1">
    <w:name w:val="Voetnoottekst Char1"/>
    <w:basedOn w:val="Standaardalinea-lettertype"/>
    <w:uiPriority w:val="99"/>
    <w:semiHidden/>
    <w:rsid w:val="00174267"/>
    <w:rPr>
      <w:sz w:val="20"/>
      <w:szCs w:val="20"/>
    </w:rPr>
  </w:style>
  <w:style w:type="character" w:styleId="Onopgelostemelding">
    <w:name w:val="Unresolved Mention"/>
    <w:basedOn w:val="Standaardalinea-lettertype"/>
    <w:uiPriority w:val="99"/>
    <w:semiHidden/>
    <w:unhideWhenUsed/>
    <w:rsid w:val="00122C06"/>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314E17"/>
    <w:rPr>
      <w:b/>
      <w:bCs/>
    </w:rPr>
  </w:style>
  <w:style w:type="character" w:customStyle="1" w:styleId="OnderwerpvanopmerkingChar">
    <w:name w:val="Onderwerp van opmerking Char"/>
    <w:basedOn w:val="TekstopmerkingChar"/>
    <w:link w:val="Onderwerpvanopmerking"/>
    <w:semiHidden/>
    <w:rsid w:val="00314E1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9/12/bnc-fiche-mfk-voorstel-verordening-en-besluit-horizon-europa-het-europese-kaderprogramma-voor-onderzoek-en-innovatie" TargetMode="External"/><Relationship Id="rId2" Type="http://schemas.openxmlformats.org/officeDocument/2006/relationships/hyperlink" Target="https://www.rijksoverheid.nl/documenten/publicaties/2025/12/16/fiche-10-mededeling-battery-booster-strategy" TargetMode="External"/><Relationship Id="rId1" Type="http://schemas.openxmlformats.org/officeDocument/2006/relationships/hyperlink" Target="https://www.rijksoverheid.nl/documenten/publicaties/2025/09/12/bnc-fiche-mfk-europees-concurrentievermogenfond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3254</ap:Words>
  <ap:Characters>17902</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2026-03-23T16:01:00.0000000Z</dcterms:created>
  <dcterms:modified xsi:type="dcterms:W3CDTF">2026-03-23T16:02:00.0000000Z</dcterms:modified>
  <dc:description>------------------------</dc:description>
  <version/>
  <category/>
</coreProperties>
</file>