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226B8" w:rsidR="00F226B8" w:rsidP="00A80559" w:rsidRDefault="00F226B8">
      <w:pPr>
        <w:pStyle w:val="NoSpacing"/>
        <w:rPr>
          <w:b/>
          <w:sz w:val="36"/>
          <w:szCs w:val="36"/>
        </w:rPr>
      </w:pPr>
      <w:r w:rsidRPr="00F226B8">
        <w:rPr>
          <w:b/>
          <w:sz w:val="36"/>
          <w:szCs w:val="36"/>
        </w:rPr>
        <w:t>Tweede Kamer der Staten-Generaal</w:t>
      </w:r>
      <w:r w:rsidRPr="00F226B8">
        <w:rPr>
          <w:b/>
          <w:sz w:val="36"/>
          <w:szCs w:val="36"/>
        </w:rPr>
        <w:tab/>
      </w:r>
      <w:r w:rsidRPr="00F226B8">
        <w:rPr>
          <w:b/>
          <w:sz w:val="36"/>
          <w:szCs w:val="36"/>
        </w:rPr>
        <w:tab/>
      </w:r>
      <w:r w:rsidRPr="00F226B8">
        <w:rPr>
          <w:b/>
          <w:sz w:val="36"/>
          <w:szCs w:val="36"/>
        </w:rPr>
        <w:tab/>
      </w:r>
      <w:r w:rsidRPr="00F226B8">
        <w:rPr>
          <w:b/>
          <w:sz w:val="36"/>
          <w:szCs w:val="36"/>
        </w:rPr>
        <w:tab/>
      </w:r>
      <w:r w:rsidRPr="00F226B8">
        <w:rPr>
          <w:b/>
          <w:sz w:val="36"/>
          <w:szCs w:val="36"/>
        </w:rPr>
        <w:tab/>
        <w:t>2</w:t>
      </w:r>
    </w:p>
    <w:p w:rsidR="00F226B8" w:rsidP="00F226B8" w:rsidRDefault="00F226B8">
      <w:pPr>
        <w:pStyle w:val="NoSpacing"/>
        <w:pBdr>
          <w:bottom w:val="single" w:color="auto" w:sz="4" w:space="1"/>
        </w:pBdr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Pr="00F226B8" w:rsidR="00F226B8" w:rsidP="00A80559" w:rsidRDefault="00F226B8">
      <w:pPr>
        <w:pStyle w:val="NoSpacing"/>
        <w:rPr>
          <w:sz w:val="24"/>
          <w:szCs w:val="24"/>
        </w:rPr>
      </w:pPr>
      <w:r w:rsidRPr="00F226B8">
        <w:rPr>
          <w:sz w:val="24"/>
          <w:szCs w:val="24"/>
        </w:rPr>
        <w:t>Vergaderjaar 2025-2026</w:t>
      </w:r>
    </w:p>
    <w:p w:rsidR="00F226B8" w:rsidP="00A80559" w:rsidRDefault="00F226B8">
      <w:pPr>
        <w:pStyle w:val="NoSpacing"/>
        <w:rPr>
          <w:b/>
        </w:rPr>
      </w:pPr>
    </w:p>
    <w:p w:rsidR="00F226B8" w:rsidP="00F226B8" w:rsidRDefault="00F226B8">
      <w:pPr>
        <w:pStyle w:val="NoSpacing"/>
        <w:pBdr>
          <w:bottom w:val="single" w:color="auto" w:sz="4" w:space="1"/>
        </w:pBdr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F226B8" w:rsidRDefault="00F226B8">
      <w:pPr>
        <w:pStyle w:val="NoSpacing"/>
        <w:ind w:left="2124" w:hanging="2124"/>
        <w:rPr>
          <w:b/>
        </w:rPr>
      </w:pPr>
      <w:r>
        <w:rPr>
          <w:b/>
        </w:rPr>
        <w:t xml:space="preserve">K </w:t>
      </w:r>
      <w:r>
        <w:rPr>
          <w:b/>
        </w:rPr>
        <w:tab/>
      </w:r>
      <w:r w:rsidRPr="00F226B8">
        <w:rPr>
          <w:b/>
          <w:sz w:val="28"/>
          <w:szCs w:val="28"/>
        </w:rPr>
        <w:t>Vaststelling van de begrotingsstaat van het Defensiematerieelbegrotingsfonds (K) voor het jaar 2026</w:t>
      </w: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  <w:r>
        <w:rPr>
          <w:b/>
        </w:rPr>
        <w:t xml:space="preserve">Nr. </w:t>
      </w:r>
      <w:r w:rsidR="00C16335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NOTA VAN WIJZIGING </w:t>
      </w:r>
    </w:p>
    <w:p w:rsidRPr="00F226B8" w:rsidR="00F226B8" w:rsidP="00A80559" w:rsidRDefault="00F226B8">
      <w:pPr>
        <w:pStyle w:val="NoSpacing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26B8">
        <w:t>Ontvangen 23 maart 2026</w:t>
      </w: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F226B8">
      <w:pPr>
        <w:pStyle w:val="NoSpacing"/>
        <w:rPr>
          <w:b/>
        </w:rPr>
      </w:pPr>
    </w:p>
    <w:p w:rsidR="00F226B8" w:rsidP="00A80559" w:rsidRDefault="00555820">
      <w:pPr>
        <w:pStyle w:val="NoSpacing"/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55820">
        <w:t>Het voorstel van wet wordt als volgt gewijzigd:</w:t>
      </w:r>
    </w:p>
    <w:p w:rsidR="00555820" w:rsidP="00A80559" w:rsidRDefault="00555820">
      <w:pPr>
        <w:pStyle w:val="NoSpacing"/>
      </w:pPr>
    </w:p>
    <w:p w:rsidR="00555820" w:rsidP="00555820" w:rsidRDefault="00555820">
      <w:pPr>
        <w:pStyle w:val="NoSpacing"/>
        <w:ind w:left="2832" w:firstLine="3"/>
      </w:pPr>
      <w:r>
        <w:t>De begrotingsstaat van het Defensiematerieelbegrotingsfonds (K) voor het jaar 2026 komt te luiden:</w:t>
      </w:r>
    </w:p>
    <w:p w:rsidR="00555820" w:rsidP="00A80559" w:rsidRDefault="00555820">
      <w:pPr>
        <w:pStyle w:val="NoSpacing"/>
      </w:pPr>
    </w:p>
    <w:p w:rsidR="00555820" w:rsidP="00A80559" w:rsidRDefault="00555820">
      <w:pPr>
        <w:pStyle w:val="NoSpacing"/>
      </w:pPr>
    </w:p>
    <w:tbl>
      <w:tblPr>
        <w:tblW w:w="9560" w:type="dxa"/>
        <w:tblInd w:w="-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40"/>
        <w:gridCol w:w="1499"/>
        <w:gridCol w:w="1732"/>
        <w:gridCol w:w="1615"/>
      </w:tblGrid>
      <w:tr w:rsidRPr="0058792F" w:rsidR="0058792F" w:rsidTr="00734333">
        <w:trPr>
          <w:trHeight w:val="300"/>
        </w:trPr>
        <w:tc>
          <w:tcPr>
            <w:tcW w:w="9560" w:type="dxa"/>
            <w:gridSpan w:val="5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5B9BD5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FFFFFF"/>
                <w:lang w:eastAsia="nl-NL"/>
              </w:rPr>
              <w:t xml:space="preserve">Vastgestelde departementale begrotingsstaat van het Defensiematerieelbegrotingsfonds (K) </w:t>
            </w:r>
            <w:r w:rsidRPr="0058792F">
              <w:rPr>
                <w:rFonts w:ascii="Calibri" w:hAnsi="Calibri" w:eastAsia="Times New Roman" w:cs="Calibri"/>
                <w:b/>
                <w:bCs/>
                <w:color w:val="FFFFFF"/>
                <w:lang w:eastAsia="nl-NL"/>
              </w:rPr>
              <w:br/>
              <w:t>voor het jaar 2026 (bedragen x € 1.000)</w:t>
            </w:r>
          </w:p>
        </w:tc>
      </w:tr>
      <w:tr w:rsidRPr="0058792F" w:rsidR="0058792F" w:rsidTr="00734333">
        <w:trPr>
          <w:trHeight w:val="450"/>
        </w:trPr>
        <w:tc>
          <w:tcPr>
            <w:tcW w:w="9560" w:type="dxa"/>
            <w:gridSpan w:val="5"/>
            <w:vMerge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lang w:eastAsia="nl-NL"/>
              </w:rPr>
            </w:pPr>
          </w:p>
        </w:tc>
      </w:tr>
      <w:tr w:rsidRPr="0058792F" w:rsidR="0058792F" w:rsidTr="00734333">
        <w:trPr>
          <w:trHeight w:val="300"/>
        </w:trPr>
        <w:tc>
          <w:tcPr>
            <w:tcW w:w="474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Art.</w:t>
            </w:r>
          </w:p>
        </w:tc>
        <w:tc>
          <w:tcPr>
            <w:tcW w:w="4240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Omschrijving</w:t>
            </w:r>
          </w:p>
        </w:tc>
        <w:tc>
          <w:tcPr>
            <w:tcW w:w="4846" w:type="dxa"/>
            <w:gridSpan w:val="3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Vastgestelde begroting </w:t>
            </w:r>
          </w:p>
        </w:tc>
      </w:tr>
      <w:tr w:rsidRPr="0058792F" w:rsidR="0058792F" w:rsidTr="00734333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Verplichtingen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Uitgaven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Ontvangsten</w:t>
            </w:r>
          </w:p>
        </w:tc>
      </w:tr>
      <w:tr w:rsidRPr="0058792F" w:rsidR="0058792F" w:rsidTr="00734333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proofErr w:type="spellStart"/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Defensiebreed</w:t>
            </w:r>
            <w:proofErr w:type="spellEnd"/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 Materieel 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2.214.281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1.757.472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85.716</w:t>
            </w:r>
          </w:p>
        </w:tc>
      </w:tr>
      <w:tr w:rsidRPr="0058792F" w:rsidR="0058792F" w:rsidTr="00734333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Maritiem Materieel 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2.410.739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2.333.895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19.684</w:t>
            </w:r>
          </w:p>
        </w:tc>
      </w:tr>
      <w:tr w:rsidRPr="0058792F" w:rsidR="0058792F" w:rsidTr="00734333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Land Materieel 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4.388.349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3.550.994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2.500</w:t>
            </w:r>
          </w:p>
        </w:tc>
      </w:tr>
      <w:tr w:rsidRPr="0058792F" w:rsidR="0058792F" w:rsidTr="00734333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Lucht Materieel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1.583.572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2.435.714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9.840</w:t>
            </w:r>
          </w:p>
        </w:tc>
      </w:tr>
      <w:tr w:rsidRPr="0058792F" w:rsidR="0058792F" w:rsidTr="00734333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Infrastructuur en Vastgoed 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1.851.029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1.527.840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20.270</w:t>
            </w:r>
          </w:p>
        </w:tc>
      </w:tr>
      <w:tr w:rsidRPr="0058792F" w:rsidR="0058792F" w:rsidTr="00734333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IT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2.051.151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1.919.384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16.769</w:t>
            </w:r>
          </w:p>
        </w:tc>
      </w:tr>
      <w:tr w:rsidRPr="0058792F" w:rsidR="0058792F" w:rsidTr="00734333">
        <w:trPr>
          <w:trHeight w:val="315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Overige Uitgaven en Ontvangsten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58792F" w:rsidR="0058792F" w:rsidTr="00734333">
        <w:trPr>
          <w:trHeight w:val="315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58792F" w:rsidR="0058792F" w:rsidTr="00734333">
        <w:trPr>
          <w:trHeight w:val="315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Subtotaal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14.499.121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13.525.299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154.779</w:t>
            </w:r>
          </w:p>
        </w:tc>
      </w:tr>
      <w:tr w:rsidRPr="0058792F" w:rsidR="0058792F" w:rsidTr="00734333">
        <w:trPr>
          <w:trHeight w:val="315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Voordelig eindsaldo (cumulatief) vorig jaar 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58792F" w:rsidR="0058792F" w:rsidTr="00734333">
        <w:trPr>
          <w:trHeight w:val="315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Subtotaal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14.499.121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13.525.299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154.779</w:t>
            </w:r>
          </w:p>
        </w:tc>
      </w:tr>
      <w:tr w:rsidRPr="0058792F" w:rsidR="0058792F" w:rsidTr="00734333">
        <w:trPr>
          <w:trHeight w:val="315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Voordelig eindsaldo (cumulatief) vorig jaar 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13.370.520</w:t>
            </w:r>
          </w:p>
        </w:tc>
      </w:tr>
      <w:tr w:rsidRPr="0058792F" w:rsidR="0058792F" w:rsidTr="00734333">
        <w:trPr>
          <w:trHeight w:val="315"/>
        </w:trPr>
        <w:tc>
          <w:tcPr>
            <w:tcW w:w="474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Totaal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14.499.121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13.525.299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58792F" w:rsidR="0058792F" w:rsidP="0058792F" w:rsidRDefault="005879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</w:pPr>
            <w:r w:rsidRPr="0058792F">
              <w:rPr>
                <w:rFonts w:ascii="Calibri" w:hAnsi="Calibri" w:eastAsia="Times New Roman" w:cs="Calibri"/>
                <w:b/>
                <w:bCs/>
                <w:color w:val="000000"/>
                <w:lang w:eastAsia="nl-NL"/>
              </w:rPr>
              <w:t>13.525.299</w:t>
            </w:r>
          </w:p>
        </w:tc>
      </w:tr>
    </w:tbl>
    <w:p w:rsidRPr="00555820" w:rsidR="00555820" w:rsidP="00A80559" w:rsidRDefault="00555820">
      <w:pPr>
        <w:pStyle w:val="NoSpacing"/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1E7209" w:rsidP="00A80559" w:rsidRDefault="001E7209">
      <w:pPr>
        <w:pStyle w:val="NoSpacing"/>
        <w:rPr>
          <w:b/>
        </w:rPr>
      </w:pPr>
    </w:p>
    <w:p w:rsidR="001E7209" w:rsidP="00A80559" w:rsidRDefault="001E7209">
      <w:pPr>
        <w:pStyle w:val="NoSpacing"/>
        <w:rPr>
          <w:b/>
        </w:rPr>
      </w:pPr>
    </w:p>
    <w:p w:rsidR="001E7209" w:rsidP="00A80559" w:rsidRDefault="001E7209">
      <w:pPr>
        <w:pStyle w:val="NoSpacing"/>
        <w:rPr>
          <w:b/>
        </w:rPr>
      </w:pPr>
    </w:p>
    <w:p w:rsidR="001E7209" w:rsidP="00A80559" w:rsidRDefault="001E7209">
      <w:pPr>
        <w:pStyle w:val="NoSpacing"/>
        <w:rPr>
          <w:b/>
        </w:rPr>
      </w:pPr>
    </w:p>
    <w:p w:rsidR="001E7209" w:rsidP="00A80559" w:rsidRDefault="001E7209">
      <w:pPr>
        <w:pStyle w:val="NoSpacing"/>
        <w:rPr>
          <w:b/>
        </w:rPr>
      </w:pPr>
    </w:p>
    <w:p w:rsidR="001E7209" w:rsidP="00A80559" w:rsidRDefault="001E7209">
      <w:pPr>
        <w:pStyle w:val="NoSpacing"/>
        <w:rPr>
          <w:b/>
        </w:rPr>
      </w:pPr>
    </w:p>
    <w:p w:rsidR="001E7209" w:rsidP="00A80559" w:rsidRDefault="001E7209">
      <w:pPr>
        <w:pStyle w:val="NoSpacing"/>
        <w:rPr>
          <w:b/>
        </w:rPr>
      </w:pPr>
    </w:p>
    <w:p w:rsidR="001E7209" w:rsidP="00A80559" w:rsidRDefault="001E7209">
      <w:pPr>
        <w:pStyle w:val="NoSpacing"/>
        <w:rPr>
          <w:b/>
        </w:rPr>
      </w:pPr>
    </w:p>
    <w:p w:rsidR="001E7209" w:rsidP="00A80559" w:rsidRDefault="001E7209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="00555820" w:rsidP="00A80559" w:rsidRDefault="00555820">
      <w:pPr>
        <w:pStyle w:val="NoSpacing"/>
        <w:rPr>
          <w:b/>
        </w:rPr>
      </w:pPr>
    </w:p>
    <w:p w:rsidRPr="00570BD5" w:rsidR="00570BD5" w:rsidP="00A80559" w:rsidRDefault="00570BD5">
      <w:pPr>
        <w:pStyle w:val="NoSpacing"/>
        <w:rPr>
          <w:b/>
        </w:rPr>
      </w:pPr>
      <w:r w:rsidRPr="00570BD5">
        <w:rPr>
          <w:b/>
        </w:rPr>
        <w:lastRenderedPageBreak/>
        <w:t>TOELICHTING</w:t>
      </w:r>
    </w:p>
    <w:p w:rsidRPr="00570BD5" w:rsidR="00570BD5" w:rsidP="00A80559" w:rsidRDefault="00570BD5">
      <w:pPr>
        <w:pStyle w:val="NoSpacing"/>
        <w:rPr>
          <w:b/>
        </w:rPr>
      </w:pPr>
    </w:p>
    <w:p w:rsidRPr="00570BD5" w:rsidR="001C1C5F" w:rsidP="00A80559" w:rsidRDefault="001C1C5F">
      <w:pPr>
        <w:pStyle w:val="NoSpacing"/>
        <w:rPr>
          <w:b/>
        </w:rPr>
      </w:pPr>
      <w:r w:rsidRPr="00570BD5">
        <w:rPr>
          <w:b/>
        </w:rPr>
        <w:t>Algemeen</w:t>
      </w:r>
    </w:p>
    <w:p w:rsidR="001C1C5F" w:rsidP="00A80559" w:rsidRDefault="001C1C5F">
      <w:pPr>
        <w:pStyle w:val="NoSpacing"/>
      </w:pPr>
    </w:p>
    <w:p w:rsidR="0001552F" w:rsidP="001E7209" w:rsidRDefault="004262C7">
      <w:pPr>
        <w:pStyle w:val="NoSpacing"/>
      </w:pPr>
      <w:r w:rsidRPr="00A80559">
        <w:t xml:space="preserve">Door het kabinet wordt </w:t>
      </w:r>
      <w:r>
        <w:t>geï</w:t>
      </w:r>
      <w:r w:rsidRPr="00A80559">
        <w:t>nvesteerd in</w:t>
      </w:r>
      <w:r w:rsidRPr="004262C7">
        <w:t xml:space="preserve"> </w:t>
      </w:r>
      <w:r>
        <w:t xml:space="preserve">de gereedstelling van Defensie voor Hoofdtaak 1: </w:t>
      </w:r>
      <w:r w:rsidR="00893F2E">
        <w:t xml:space="preserve">het beschermen van het </w:t>
      </w:r>
      <w:r>
        <w:t xml:space="preserve">eigen </w:t>
      </w:r>
      <w:r w:rsidR="00893F2E">
        <w:t xml:space="preserve">grondgebied </w:t>
      </w:r>
      <w:r>
        <w:t xml:space="preserve">en </w:t>
      </w:r>
      <w:r w:rsidR="00893F2E">
        <w:t xml:space="preserve">dat van </w:t>
      </w:r>
      <w:r>
        <w:t>bo</w:t>
      </w:r>
      <w:r w:rsidR="00493249">
        <w:t xml:space="preserve">ndgenoten. Om te voldoen aan twee </w:t>
      </w:r>
      <w:r w:rsidR="009924DC">
        <w:t>NAVO-</w:t>
      </w:r>
      <w:r w:rsidR="00493249">
        <w:t>prioriteits</w:t>
      </w:r>
      <w:r w:rsidR="00580BD5">
        <w:t>doelstelling</w:t>
      </w:r>
      <w:r w:rsidR="00493249">
        <w:t>en</w:t>
      </w:r>
      <w:r w:rsidR="00580BD5">
        <w:t xml:space="preserve"> met betrekking tot de </w:t>
      </w:r>
      <w:r w:rsidR="009924DC">
        <w:t>capaciteiten</w:t>
      </w:r>
      <w:r>
        <w:t xml:space="preserve"> </w:t>
      </w:r>
      <w:proofErr w:type="spellStart"/>
      <w:r w:rsidRPr="00493249" w:rsidR="00493249">
        <w:rPr>
          <w:i/>
        </w:rPr>
        <w:t>Integrated</w:t>
      </w:r>
      <w:proofErr w:type="spellEnd"/>
      <w:r w:rsidR="00493249">
        <w:t xml:space="preserve"> </w:t>
      </w:r>
      <w:r w:rsidRPr="004262C7">
        <w:rPr>
          <w:i/>
        </w:rPr>
        <w:t xml:space="preserve">Air </w:t>
      </w:r>
      <w:proofErr w:type="spellStart"/>
      <w:r w:rsidRPr="004262C7">
        <w:rPr>
          <w:i/>
        </w:rPr>
        <w:t>an</w:t>
      </w:r>
      <w:r>
        <w:rPr>
          <w:i/>
        </w:rPr>
        <w:t>d</w:t>
      </w:r>
      <w:proofErr w:type="spellEnd"/>
      <w:r w:rsidRPr="004262C7">
        <w:rPr>
          <w:i/>
        </w:rPr>
        <w:t xml:space="preserve"> </w:t>
      </w:r>
      <w:proofErr w:type="spellStart"/>
      <w:r w:rsidRPr="004262C7">
        <w:rPr>
          <w:i/>
        </w:rPr>
        <w:t>Missile</w:t>
      </w:r>
      <w:proofErr w:type="spellEnd"/>
      <w:r w:rsidRPr="004262C7">
        <w:rPr>
          <w:i/>
        </w:rPr>
        <w:t xml:space="preserve"> </w:t>
      </w:r>
      <w:proofErr w:type="spellStart"/>
      <w:r w:rsidRPr="004262C7">
        <w:rPr>
          <w:i/>
        </w:rPr>
        <w:t>Defence</w:t>
      </w:r>
      <w:proofErr w:type="spellEnd"/>
      <w:r>
        <w:t xml:space="preserve"> en </w:t>
      </w:r>
      <w:r w:rsidRPr="004262C7">
        <w:rPr>
          <w:i/>
        </w:rPr>
        <w:t>Large Land Man</w:t>
      </w:r>
      <w:r>
        <w:rPr>
          <w:i/>
        </w:rPr>
        <w:t>oeu</w:t>
      </w:r>
      <w:r w:rsidRPr="004262C7">
        <w:rPr>
          <w:i/>
        </w:rPr>
        <w:t>vre Formations</w:t>
      </w:r>
      <w:r w:rsidR="00580BD5">
        <w:rPr>
          <w:i/>
        </w:rPr>
        <w:t>,</w:t>
      </w:r>
      <w:r>
        <w:t xml:space="preserve"> wordt tot versnelde aanschaf overgegaan </w:t>
      </w:r>
      <w:r w:rsidR="005339A7">
        <w:t>van een additionele Patriot-vuureenheid (</w:t>
      </w:r>
      <w:r w:rsidRPr="001241BE" w:rsidR="00917C7D">
        <w:rPr>
          <w:i/>
        </w:rPr>
        <w:t>Fire Unit</w:t>
      </w:r>
      <w:r w:rsidR="00917C7D">
        <w:t>, FU</w:t>
      </w:r>
      <w:r w:rsidR="005339A7">
        <w:t xml:space="preserve">) en additionele Boxervoertuigen met </w:t>
      </w:r>
      <w:proofErr w:type="spellStart"/>
      <w:r w:rsidR="005339A7">
        <w:t>onbemenste</w:t>
      </w:r>
      <w:proofErr w:type="spellEnd"/>
      <w:r w:rsidR="005339A7">
        <w:t xml:space="preserve"> toren (</w:t>
      </w:r>
      <w:r w:rsidRPr="001241BE" w:rsidR="005339A7">
        <w:rPr>
          <w:i/>
        </w:rPr>
        <w:t xml:space="preserve">Remote </w:t>
      </w:r>
      <w:proofErr w:type="spellStart"/>
      <w:r w:rsidRPr="001241BE" w:rsidR="005339A7">
        <w:rPr>
          <w:i/>
        </w:rPr>
        <w:t>Controlled</w:t>
      </w:r>
      <w:proofErr w:type="spellEnd"/>
      <w:r w:rsidRPr="001241BE" w:rsidR="005339A7">
        <w:rPr>
          <w:i/>
        </w:rPr>
        <w:t xml:space="preserve"> </w:t>
      </w:r>
      <w:proofErr w:type="spellStart"/>
      <w:r w:rsidRPr="001241BE" w:rsidR="005339A7">
        <w:rPr>
          <w:i/>
        </w:rPr>
        <w:t>Turret</w:t>
      </w:r>
      <w:proofErr w:type="spellEnd"/>
      <w:r w:rsidR="005339A7">
        <w:t xml:space="preserve"> 30mm, RCT-30)</w:t>
      </w:r>
      <w:r w:rsidR="0001552F">
        <w:t xml:space="preserve">, </w:t>
      </w:r>
      <w:r w:rsidR="00BF04BA">
        <w:t xml:space="preserve">respectievelijk </w:t>
      </w:r>
      <w:r w:rsidR="0001552F">
        <w:t xml:space="preserve">ten behoeve van de versterking van de luchtverdediging en de versterking van de </w:t>
      </w:r>
      <w:r w:rsidR="00977404">
        <w:t>middelzware infanteriebrigade (</w:t>
      </w:r>
      <w:r w:rsidRPr="005339A7" w:rsidR="0001552F">
        <w:rPr>
          <w:i/>
        </w:rPr>
        <w:t>Medium Infantry Brigade</w:t>
      </w:r>
      <w:r w:rsidR="00977404">
        <w:rPr>
          <w:i/>
        </w:rPr>
        <w:t xml:space="preserve">, </w:t>
      </w:r>
      <w:r w:rsidR="0001552F">
        <w:t xml:space="preserve">MIB). </w:t>
      </w:r>
    </w:p>
    <w:p w:rsidR="0001552F" w:rsidP="00A80559" w:rsidRDefault="0001552F">
      <w:pPr>
        <w:pStyle w:val="NoSpacing"/>
      </w:pPr>
    </w:p>
    <w:p w:rsidR="00B537AF" w:rsidP="00A80559" w:rsidRDefault="00CE3B60">
      <w:pPr>
        <w:pStyle w:val="NoSpacing"/>
      </w:pPr>
      <w:r>
        <w:t xml:space="preserve">De verwerving van beide wapensystemen </w:t>
      </w:r>
      <w:r w:rsidR="00853FB5">
        <w:t xml:space="preserve">laten plaatsvinden </w:t>
      </w:r>
      <w:r>
        <w:t xml:space="preserve">op een later moment in dit jaar leidt tot significant hogere prijzen en langere levertijden. </w:t>
      </w:r>
      <w:r w:rsidR="00B537AF">
        <w:t xml:space="preserve">De omvang van de verwerving bedraagt </w:t>
      </w:r>
      <w:r w:rsidR="00B537AF">
        <w:rPr>
          <w:rFonts w:cstheme="minorHAnsi"/>
        </w:rPr>
        <w:t>€</w:t>
      </w:r>
      <w:r w:rsidR="00893F2E">
        <w:t xml:space="preserve"> 94</w:t>
      </w:r>
      <w:r w:rsidR="00964292">
        <w:t>0</w:t>
      </w:r>
      <w:r w:rsidR="00B537AF">
        <w:t>,0 miljoen voor de Patriot</w:t>
      </w:r>
      <w:r w:rsidR="00DF1669">
        <w:t xml:space="preserve"> </w:t>
      </w:r>
      <w:r w:rsidR="00B537AF">
        <w:t xml:space="preserve">FU en </w:t>
      </w:r>
      <w:r w:rsidR="00B537AF">
        <w:rPr>
          <w:rFonts w:cstheme="minorHAnsi"/>
        </w:rPr>
        <w:t>€</w:t>
      </w:r>
      <w:r w:rsidR="00B537AF">
        <w:t xml:space="preserve"> 570,0 miljoen voor de Boxers RCT-30.</w:t>
      </w:r>
      <w:r w:rsidRPr="00B537AF" w:rsidR="00B537AF">
        <w:t xml:space="preserve"> </w:t>
      </w:r>
      <w:r w:rsidR="00B537AF">
        <w:t xml:space="preserve">In 2026 vinden voorschotbetalingen plaats, de overige uitgaven voor aanschaf worden verricht in de jaren 2029, 2030 en 2031. </w:t>
      </w:r>
    </w:p>
    <w:p w:rsidR="00BF04BA" w:rsidP="00A80559" w:rsidRDefault="00BF04BA">
      <w:pPr>
        <w:pStyle w:val="NoSpacing"/>
      </w:pPr>
    </w:p>
    <w:p w:rsidR="00BF04BA" w:rsidP="00A80559" w:rsidRDefault="00BF04BA">
      <w:pPr>
        <w:pStyle w:val="NoSpacing"/>
      </w:pPr>
      <w:r>
        <w:t xml:space="preserve">Om de uitgaven in de begroting in te passen zijn zogeheten ‘donorprojecten’ aangewezen. De </w:t>
      </w:r>
      <w:r w:rsidR="002160D1">
        <w:t>financiële</w:t>
      </w:r>
      <w:r>
        <w:t xml:space="preserve"> ruimte van deze projecten wordt tijdelijk benut</w:t>
      </w:r>
      <w:r w:rsidR="002160D1">
        <w:t xml:space="preserve"> zodat tijdig de benodigde contracten kunnen worden ondertekend vo</w:t>
      </w:r>
      <w:r w:rsidR="00893F2E">
        <w:t xml:space="preserve">or de verwerving van de Patriotcapaciteit </w:t>
      </w:r>
      <w:r w:rsidR="002160D1">
        <w:t xml:space="preserve">en de Boxers. </w:t>
      </w:r>
      <w:r w:rsidR="00E54EE1">
        <w:t xml:space="preserve">De </w:t>
      </w:r>
      <w:r w:rsidR="002160D1">
        <w:t xml:space="preserve">gebruikte financiële ruimte </w:t>
      </w:r>
      <w:r w:rsidR="00E54EE1">
        <w:t xml:space="preserve">wordt </w:t>
      </w:r>
      <w:r w:rsidR="002160D1">
        <w:t xml:space="preserve">bij een volgend begrotingsmoment aangevuld zodat de </w:t>
      </w:r>
      <w:r w:rsidR="00E54EE1">
        <w:t>donor</w:t>
      </w:r>
      <w:r w:rsidR="002160D1">
        <w:t xml:space="preserve">projecten </w:t>
      </w:r>
      <w:r w:rsidR="00E54EE1">
        <w:t xml:space="preserve">zonder vertraging </w:t>
      </w:r>
      <w:r w:rsidR="002160D1">
        <w:t xml:space="preserve">doorgang kunnen vinden.  </w:t>
      </w:r>
      <w:r>
        <w:t xml:space="preserve">  </w:t>
      </w:r>
    </w:p>
    <w:p w:rsidR="002160D1" w:rsidP="00A80559" w:rsidRDefault="002160D1">
      <w:pPr>
        <w:pStyle w:val="NoSpacing"/>
      </w:pPr>
    </w:p>
    <w:p w:rsidR="002160D1" w:rsidP="00A80559" w:rsidRDefault="00E4637F">
      <w:pPr>
        <w:pStyle w:val="NoSpacing"/>
      </w:pPr>
      <w:r>
        <w:t xml:space="preserve">De uitgaven </w:t>
      </w:r>
      <w:r w:rsidR="002160D1">
        <w:t>van de additionele Patriotcapaciteit en Boxers in 2026 worden</w:t>
      </w:r>
      <w:r w:rsidR="00710EE9">
        <w:t xml:space="preserve"> </w:t>
      </w:r>
      <w:r w:rsidR="002160D1">
        <w:t xml:space="preserve">gefinancierd met de valutameevaller die </w:t>
      </w:r>
      <w:r w:rsidR="002A7416">
        <w:t xml:space="preserve">naar verwachting </w:t>
      </w:r>
      <w:r w:rsidR="002160D1">
        <w:t xml:space="preserve">in dit jaar gaat plaatsvinden. De verwachting is dat de </w:t>
      </w:r>
      <w:r>
        <w:t>defensie-</w:t>
      </w:r>
      <w:r w:rsidR="002160D1">
        <w:t xml:space="preserve">uitgaven in vreemde </w:t>
      </w:r>
      <w:r>
        <w:t>valuta in 2026 lager uitvallen op grond van de CEP-raming van het Centraal Planbureau van de wisselkoersen.</w:t>
      </w:r>
      <w:r w:rsidR="001241BE">
        <w:t xml:space="preserve"> </w:t>
      </w:r>
    </w:p>
    <w:p w:rsidR="00E75A3B" w:rsidP="00A80559" w:rsidRDefault="00E75A3B">
      <w:pPr>
        <w:pStyle w:val="NoSpacing"/>
      </w:pPr>
    </w:p>
    <w:p w:rsidR="00E75A3B" w:rsidP="00A80559" w:rsidRDefault="00E75A3B">
      <w:pPr>
        <w:pStyle w:val="NoSpacing"/>
      </w:pPr>
      <w:r>
        <w:t xml:space="preserve">Met deze nota van wijziging wordt de verwerving van de wapensystemen budgettair verwerkt. </w:t>
      </w:r>
    </w:p>
    <w:p w:rsidR="00E75A3B" w:rsidP="00A80559" w:rsidRDefault="00E75A3B">
      <w:pPr>
        <w:pStyle w:val="NoSpacing"/>
      </w:pPr>
    </w:p>
    <w:p w:rsidRPr="00570BD5" w:rsidR="001C1C5F" w:rsidP="00A80559" w:rsidRDefault="004601EE">
      <w:pPr>
        <w:pStyle w:val="NoSpacing"/>
        <w:rPr>
          <w:b/>
        </w:rPr>
      </w:pPr>
      <w:r w:rsidRPr="00570BD5">
        <w:rPr>
          <w:b/>
        </w:rPr>
        <w:t xml:space="preserve">Artikelsgewijze toelichting  </w:t>
      </w:r>
    </w:p>
    <w:p w:rsidR="001C1C5F" w:rsidP="00A80559" w:rsidRDefault="001C1C5F">
      <w:pPr>
        <w:pStyle w:val="NoSpacing"/>
      </w:pPr>
    </w:p>
    <w:p w:rsidR="001C1C5F" w:rsidP="00A80559" w:rsidRDefault="001C1C5F">
      <w:pPr>
        <w:pStyle w:val="NoSpacing"/>
      </w:pPr>
      <w:r>
        <w:t>Verplichtingen</w:t>
      </w:r>
      <w:r w:rsidR="00893F2E">
        <w:t xml:space="preserve"> </w:t>
      </w:r>
    </w:p>
    <w:p w:rsidR="00C824FE" w:rsidP="00A52428" w:rsidRDefault="00A52428">
      <w:pPr>
        <w:pStyle w:val="NoSpacing"/>
      </w:pPr>
      <w:r>
        <w:t xml:space="preserve">Op artikel 3 Land Materieel wordt in 2026 </w:t>
      </w:r>
      <w:r>
        <w:rPr>
          <w:rFonts w:cstheme="minorHAnsi"/>
        </w:rPr>
        <w:t>€</w:t>
      </w:r>
      <w:r>
        <w:t xml:space="preserve"> 1.510,0 miljoen aan budget toegevoegd. </w:t>
      </w:r>
      <w:r w:rsidR="007E4C50">
        <w:t xml:space="preserve">Dit budget is  afkomstig uit een aantal donorprojecten op artikel 3 Land Materieel en artikel 4 Lucht Materieel uit de jaren 2029, 2030 en 2031, met een omvang van </w:t>
      </w:r>
      <w:r w:rsidR="007E4C50">
        <w:rPr>
          <w:rFonts w:cstheme="minorHAnsi"/>
        </w:rPr>
        <w:t>€</w:t>
      </w:r>
      <w:r w:rsidR="007E4C50">
        <w:t xml:space="preserve"> 170,0 miljoen in 2029, </w:t>
      </w:r>
      <w:r w:rsidR="007E4C50">
        <w:rPr>
          <w:rFonts w:cstheme="minorHAnsi"/>
        </w:rPr>
        <w:t>€</w:t>
      </w:r>
      <w:r w:rsidR="007E4C50">
        <w:t xml:space="preserve"> 652,0 miljoen in 2030 en </w:t>
      </w:r>
      <w:r w:rsidR="007E4C50">
        <w:rPr>
          <w:rFonts w:cstheme="minorHAnsi"/>
        </w:rPr>
        <w:t>€ 423,0 miljoen in 2031. Daarnaast is</w:t>
      </w:r>
      <w:r w:rsidR="00C824FE">
        <w:rPr>
          <w:rFonts w:cstheme="minorHAnsi"/>
        </w:rPr>
        <w:t xml:space="preserve"> budget van per saldo </w:t>
      </w:r>
      <w:r w:rsidR="00C824FE">
        <w:rPr>
          <w:rFonts w:cstheme="minorHAnsi"/>
        </w:rPr>
        <w:t>€</w:t>
      </w:r>
      <w:r w:rsidR="00C824FE">
        <w:t> 265,0 miljoen</w:t>
      </w:r>
      <w:r w:rsidR="00C824FE">
        <w:rPr>
          <w:rFonts w:cstheme="minorHAnsi"/>
        </w:rPr>
        <w:t xml:space="preserve"> </w:t>
      </w:r>
      <w:r w:rsidR="00C824FE">
        <w:t>overgeheveld vanuit diverse artikelen naar artikel 3 Land Materieel</w:t>
      </w:r>
      <w:r w:rsidR="00C824FE">
        <w:t xml:space="preserve"> </w:t>
      </w:r>
      <w:r w:rsidR="00C824FE">
        <w:t xml:space="preserve">aangaande de valutameevaller die in 2026 wordt verwacht. </w:t>
      </w:r>
    </w:p>
    <w:p w:rsidR="00A52428" w:rsidP="00A52428" w:rsidRDefault="00A52428">
      <w:pPr>
        <w:pStyle w:val="NoSpacing"/>
        <w:rPr>
          <w:rFonts w:cstheme="minorHAnsi"/>
        </w:rPr>
      </w:pPr>
    </w:p>
    <w:p w:rsidR="00A52428" w:rsidP="00A52428" w:rsidRDefault="00A52428">
      <w:pPr>
        <w:pStyle w:val="NoSpacing"/>
        <w:rPr>
          <w:rFonts w:cstheme="minorHAnsi"/>
        </w:rPr>
      </w:pPr>
      <w:r>
        <w:rPr>
          <w:rFonts w:cstheme="minorHAnsi"/>
        </w:rPr>
        <w:t>Uitgaven</w:t>
      </w:r>
    </w:p>
    <w:p w:rsidR="00D63413" w:rsidP="00893F2E" w:rsidRDefault="00893F2E">
      <w:pPr>
        <w:pStyle w:val="NoSpacing"/>
      </w:pPr>
      <w:r>
        <w:t xml:space="preserve">Op artikel 3 Land Materieel wordt in 2026 </w:t>
      </w:r>
      <w:r>
        <w:rPr>
          <w:rFonts w:cstheme="minorHAnsi"/>
        </w:rPr>
        <w:t>€</w:t>
      </w:r>
      <w:r>
        <w:t xml:space="preserve"> 265,0 miljoen aan budget toegevoegd. Dit budget is overgeheveld vanuit </w:t>
      </w:r>
      <w:r w:rsidR="00C824FE">
        <w:t xml:space="preserve">diverse artikelen </w:t>
      </w:r>
      <w:r>
        <w:t>aangaande de valutameevaller die in 2026 wordt verwacht. Daarnaast wordt op artikel 3 Land Materieel budget toegevoegd in de jaren 2029, 2030 en 2031 d</w:t>
      </w:r>
      <w:r w:rsidR="00570BD5">
        <w:t xml:space="preserve">at </w:t>
      </w:r>
      <w:r>
        <w:t xml:space="preserve">afkomstig is uit een aantal donorprojecten op artikel 3 Land Materieel en artikel 4 Lucht Materieel </w:t>
      </w:r>
      <w:r w:rsidR="00570BD5">
        <w:t xml:space="preserve">in </w:t>
      </w:r>
      <w:r>
        <w:t xml:space="preserve">die betreffende jaren, met een omvang van </w:t>
      </w:r>
      <w:r>
        <w:rPr>
          <w:rFonts w:cstheme="minorHAnsi"/>
        </w:rPr>
        <w:t>€</w:t>
      </w:r>
      <w:r>
        <w:t xml:space="preserve"> 170,0 miljoen in 2029, </w:t>
      </w:r>
      <w:r>
        <w:rPr>
          <w:rFonts w:cstheme="minorHAnsi"/>
        </w:rPr>
        <w:t>€</w:t>
      </w:r>
      <w:r>
        <w:t xml:space="preserve"> 652,0 miljoen in 2030 en </w:t>
      </w:r>
    </w:p>
    <w:p w:rsidR="00F7129F" w:rsidP="00893F2E" w:rsidRDefault="00CE6CBF">
      <w:pPr>
        <w:pStyle w:val="NoSpacing"/>
        <w:rPr>
          <w:rFonts w:cstheme="minorHAnsi"/>
        </w:rPr>
      </w:pPr>
      <w:r>
        <w:rPr>
          <w:rFonts w:cstheme="minorHAnsi"/>
        </w:rPr>
        <w:t>€ 423</w:t>
      </w:r>
      <w:r w:rsidR="00893F2E">
        <w:rPr>
          <w:rFonts w:cstheme="minorHAnsi"/>
        </w:rPr>
        <w:t xml:space="preserve">,0 miljoen in 2031. </w:t>
      </w:r>
    </w:p>
    <w:p w:rsidR="00570BD5" w:rsidP="00893F2E" w:rsidRDefault="00570BD5">
      <w:pPr>
        <w:pStyle w:val="NoSpacing"/>
        <w:rPr>
          <w:rFonts w:cstheme="minorHAnsi"/>
        </w:rPr>
      </w:pPr>
    </w:p>
    <w:p w:rsidR="00F7129F" w:rsidP="00893F2E" w:rsidRDefault="00F7129F">
      <w:pPr>
        <w:pStyle w:val="NoSpacing"/>
        <w:rPr>
          <w:rFonts w:cstheme="minorHAnsi"/>
        </w:rPr>
      </w:pPr>
    </w:p>
    <w:p w:rsidR="002C6F55" w:rsidP="00893F2E" w:rsidRDefault="002C6F55">
      <w:pPr>
        <w:pStyle w:val="NoSpacing"/>
        <w:rPr>
          <w:rFonts w:cstheme="minorHAnsi"/>
        </w:rPr>
      </w:pPr>
    </w:p>
    <w:p w:rsidRPr="00570BD5" w:rsidR="00570BD5" w:rsidP="00893F2E" w:rsidRDefault="00570BD5">
      <w:pPr>
        <w:pStyle w:val="NoSpacing"/>
        <w:rPr>
          <w:rFonts w:cstheme="minorHAnsi"/>
          <w:b/>
        </w:rPr>
      </w:pPr>
      <w:r w:rsidRPr="00570BD5">
        <w:rPr>
          <w:rFonts w:cstheme="minorHAnsi"/>
          <w:b/>
        </w:rPr>
        <w:lastRenderedPageBreak/>
        <w:t>Meerjarige doorwerking</w:t>
      </w:r>
    </w:p>
    <w:p w:rsidR="00570BD5" w:rsidP="00893F2E" w:rsidRDefault="00570BD5">
      <w:pPr>
        <w:pStyle w:val="NoSpacing"/>
        <w:rPr>
          <w:rFonts w:cstheme="minorHAnsi"/>
        </w:rPr>
      </w:pPr>
    </w:p>
    <w:p w:rsidR="00570BD5" w:rsidP="00893F2E" w:rsidRDefault="00570BD5">
      <w:pPr>
        <w:pStyle w:val="NoSpacing"/>
        <w:rPr>
          <w:rFonts w:cstheme="minorHAnsi"/>
        </w:rPr>
      </w:pPr>
      <w:r>
        <w:rPr>
          <w:rFonts w:cstheme="minorHAnsi"/>
        </w:rPr>
        <w:t xml:space="preserve">In de onderstaande tabellen zijn de wijzigingen van de verplichtingen en uitgaven in de artikelen weergegeven. </w:t>
      </w: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C27C4A" w:rsidP="00893F2E" w:rsidRDefault="00C27C4A">
      <w:pPr>
        <w:pStyle w:val="NoSpacing"/>
        <w:rPr>
          <w:rFonts w:cstheme="minorHAnsi"/>
        </w:rPr>
      </w:pPr>
    </w:p>
    <w:p w:rsidR="00C27C4A" w:rsidP="00893F2E" w:rsidRDefault="00C27C4A">
      <w:pPr>
        <w:pStyle w:val="NoSpacing"/>
        <w:rPr>
          <w:rFonts w:cstheme="minorHAnsi"/>
        </w:rPr>
      </w:pPr>
    </w:p>
    <w:tbl>
      <w:tblPr>
        <w:tblW w:w="10420" w:type="dxa"/>
        <w:tblInd w:w="-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880"/>
        <w:gridCol w:w="1060"/>
        <w:gridCol w:w="959"/>
        <w:gridCol w:w="942"/>
        <w:gridCol w:w="960"/>
        <w:gridCol w:w="960"/>
        <w:gridCol w:w="960"/>
      </w:tblGrid>
      <w:tr w:rsidRPr="00C27C4A" w:rsidR="00C27C4A" w:rsidTr="00C27C4A">
        <w:trPr>
          <w:trHeight w:val="315"/>
        </w:trPr>
        <w:tc>
          <w:tcPr>
            <w:tcW w:w="10420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b/>
                <w:bCs/>
                <w:color w:val="FFFFFF"/>
                <w:lang w:eastAsia="nl-NL"/>
              </w:rPr>
              <w:t>Meerjarige doorwerking verplichtingen (bedragen x € 1.000)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Art.</w:t>
            </w:r>
          </w:p>
        </w:tc>
        <w:tc>
          <w:tcPr>
            <w:tcW w:w="3880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Omschrijving</w:t>
            </w:r>
          </w:p>
        </w:tc>
        <w:tc>
          <w:tcPr>
            <w:tcW w:w="1060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2026</w:t>
            </w:r>
          </w:p>
        </w:tc>
        <w:tc>
          <w:tcPr>
            <w:tcW w:w="959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2027</w:t>
            </w:r>
          </w:p>
        </w:tc>
        <w:tc>
          <w:tcPr>
            <w:tcW w:w="942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2028</w:t>
            </w:r>
          </w:p>
        </w:tc>
        <w:tc>
          <w:tcPr>
            <w:tcW w:w="960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2029</w:t>
            </w:r>
          </w:p>
        </w:tc>
        <w:tc>
          <w:tcPr>
            <w:tcW w:w="960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2030</w:t>
            </w:r>
          </w:p>
        </w:tc>
        <w:tc>
          <w:tcPr>
            <w:tcW w:w="960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2031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proofErr w:type="spellStart"/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Defensiebreed</w:t>
            </w:r>
            <w:proofErr w:type="spellEnd"/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 Materieel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V</w:t>
            </w:r>
            <w:r w:rsid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 xml:space="preserve">alutacorrectie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10.891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Maritiem Materieel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Inzet valutameevaller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-62.441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Land Materieel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Verwerving Patriot FU en Boxers RCT-30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1.510.000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Ruimte donorprojecten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-170.000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-229.000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Inzet valutameevaller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-20.588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Lucht Materieel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Ruimte donorprojecten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-423.000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-423.000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Inzet valutameevaller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-183.671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IT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Inzet valutameevaller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-9.191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Totaal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Defensiematerieelbegrotingsfonds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Inzet valutameevaller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-265.000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Verwerving Patriot FU en Boxers RCT-30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1.510.000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C27C4A" w:rsidR="00C27C4A" w:rsidTr="00C27C4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 xml:space="preserve">Ruimte donorprojecten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-170.000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-652.000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27C4A" w:rsidR="00C27C4A" w:rsidP="00C27C4A" w:rsidRDefault="00C27C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C27C4A">
              <w:rPr>
                <w:rFonts w:ascii="Calibri" w:hAnsi="Calibri" w:eastAsia="Times New Roman" w:cs="Calibri"/>
                <w:color w:val="000000"/>
                <w:lang w:eastAsia="nl-NL"/>
              </w:rPr>
              <w:t>-423.000</w:t>
            </w:r>
          </w:p>
        </w:tc>
      </w:tr>
    </w:tbl>
    <w:p w:rsidR="00C27C4A" w:rsidP="00893F2E" w:rsidRDefault="00C27C4A">
      <w:pPr>
        <w:pStyle w:val="NoSpacing"/>
        <w:rPr>
          <w:rFonts w:cstheme="minorHAnsi"/>
        </w:rPr>
      </w:pPr>
    </w:p>
    <w:p w:rsidR="00C27C4A" w:rsidP="00893F2E" w:rsidRDefault="00C27C4A">
      <w:pPr>
        <w:pStyle w:val="NoSpacing"/>
        <w:rPr>
          <w:rFonts w:cstheme="minorHAnsi"/>
        </w:rPr>
      </w:pPr>
    </w:p>
    <w:p w:rsidR="00C27C4A" w:rsidP="00893F2E" w:rsidRDefault="00C27C4A">
      <w:pPr>
        <w:pStyle w:val="NoSpacing"/>
        <w:rPr>
          <w:rFonts w:cstheme="minorHAnsi"/>
        </w:rPr>
      </w:pPr>
    </w:p>
    <w:p w:rsidR="00C27C4A" w:rsidP="00893F2E" w:rsidRDefault="00C27C4A">
      <w:pPr>
        <w:pStyle w:val="NoSpacing"/>
        <w:rPr>
          <w:rFonts w:cstheme="minorHAnsi"/>
        </w:rPr>
      </w:pPr>
    </w:p>
    <w:p w:rsidR="00C27C4A" w:rsidP="00893F2E" w:rsidRDefault="00C27C4A">
      <w:pPr>
        <w:pStyle w:val="NoSpacing"/>
        <w:rPr>
          <w:rFonts w:cstheme="minorHAnsi"/>
        </w:rPr>
      </w:pPr>
    </w:p>
    <w:p w:rsidR="00C27C4A" w:rsidP="00893F2E" w:rsidRDefault="00C27C4A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BC7C33" w:rsidP="00893F2E" w:rsidRDefault="00BC7C33">
      <w:pPr>
        <w:pStyle w:val="NoSpacing"/>
        <w:rPr>
          <w:rFonts w:cstheme="minorHAnsi"/>
        </w:rPr>
      </w:pPr>
    </w:p>
    <w:p w:rsidR="00BC7C33" w:rsidP="00893F2E" w:rsidRDefault="00BC7C33">
      <w:pPr>
        <w:pStyle w:val="NoSpacing"/>
        <w:rPr>
          <w:rFonts w:cstheme="minorHAnsi"/>
        </w:rPr>
      </w:pPr>
    </w:p>
    <w:p w:rsidR="00BC7C33" w:rsidP="00893F2E" w:rsidRDefault="00BC7C33">
      <w:pPr>
        <w:pStyle w:val="NoSpacing"/>
        <w:rPr>
          <w:rFonts w:cstheme="minorHAnsi"/>
        </w:rPr>
      </w:pPr>
    </w:p>
    <w:p w:rsidR="00BC7C33" w:rsidP="00893F2E" w:rsidRDefault="00BC7C33">
      <w:pPr>
        <w:pStyle w:val="NoSpacing"/>
        <w:rPr>
          <w:rFonts w:cstheme="minorHAnsi"/>
        </w:rPr>
      </w:pPr>
    </w:p>
    <w:p w:rsidR="00BC7C33" w:rsidP="00893F2E" w:rsidRDefault="00BC7C33">
      <w:pPr>
        <w:pStyle w:val="NoSpacing"/>
        <w:rPr>
          <w:rFonts w:cstheme="minorHAnsi"/>
        </w:rPr>
      </w:pPr>
    </w:p>
    <w:p w:rsidR="00BC7C33" w:rsidP="00893F2E" w:rsidRDefault="00BC7C33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tbl>
      <w:tblPr>
        <w:tblW w:w="10420" w:type="dxa"/>
        <w:tblInd w:w="-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066"/>
        <w:gridCol w:w="1026"/>
        <w:gridCol w:w="812"/>
        <w:gridCol w:w="812"/>
        <w:gridCol w:w="970"/>
        <w:gridCol w:w="1008"/>
        <w:gridCol w:w="1008"/>
      </w:tblGrid>
      <w:tr w:rsidRPr="007E4C50" w:rsidR="007E4C50" w:rsidTr="007E4C50">
        <w:trPr>
          <w:trHeight w:val="315"/>
        </w:trPr>
        <w:tc>
          <w:tcPr>
            <w:tcW w:w="10420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b/>
                <w:bCs/>
                <w:color w:val="FFFFFF"/>
                <w:lang w:eastAsia="nl-NL"/>
              </w:rPr>
              <w:t>Meerjarige doorwerking uitgaven (bedragen x € 1.000)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Art.</w:t>
            </w:r>
          </w:p>
        </w:tc>
        <w:tc>
          <w:tcPr>
            <w:tcW w:w="4066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Omschrijving</w:t>
            </w:r>
          </w:p>
        </w:tc>
        <w:tc>
          <w:tcPr>
            <w:tcW w:w="1026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2026</w:t>
            </w:r>
          </w:p>
        </w:tc>
        <w:tc>
          <w:tcPr>
            <w:tcW w:w="812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2027</w:t>
            </w:r>
          </w:p>
        </w:tc>
        <w:tc>
          <w:tcPr>
            <w:tcW w:w="812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2028</w:t>
            </w:r>
          </w:p>
        </w:tc>
        <w:tc>
          <w:tcPr>
            <w:tcW w:w="970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2029</w:t>
            </w:r>
          </w:p>
        </w:tc>
        <w:tc>
          <w:tcPr>
            <w:tcW w:w="1008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2030</w:t>
            </w:r>
          </w:p>
        </w:tc>
        <w:tc>
          <w:tcPr>
            <w:tcW w:w="1008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2031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1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proofErr w:type="spellStart"/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Defensiebreed</w:t>
            </w:r>
            <w:proofErr w:type="spellEnd"/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 Materieel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 xml:space="preserve">Valutacorrectie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10.891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2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Maritiem Materieel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 xml:space="preserve">Inzet valutameevaller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-62.441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3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Land Materieel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Verwerving Patriot FU en Boxers RCT-30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265.000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170.000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652.000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423.000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Ruimte donorprojecten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-170.000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-229.000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Inzet valutameevaller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-20.588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4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 xml:space="preserve">Lucht Materieel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Ruimte donorprojecten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-423.000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-423.000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Inzet valutameevaller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-183.671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6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IT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 xml:space="preserve">Inzet valutameevaller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-9.191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Totaal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Defensiematerieelbegrotingsfonds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Inzet valutameevaller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-265.000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>Verwerving Patriot FU en Boxers RCT-30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265.000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170.000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652.000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423.000</w:t>
            </w:r>
          </w:p>
        </w:tc>
      </w:tr>
      <w:tr w:rsidRPr="007E4C50" w:rsidR="007E4C50" w:rsidTr="007E4C50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vAlign w:val="center"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hideMark/>
          </w:tcPr>
          <w:p w:rsidRPr="007E4C50" w:rsidR="007E4C50" w:rsidP="007E4C50" w:rsidRDefault="007E4C50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i/>
                <w:iCs/>
                <w:color w:val="000000"/>
                <w:lang w:eastAsia="nl-NL"/>
              </w:rPr>
              <w:t xml:space="preserve">Ruimte donorprojecten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-170.000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-652.000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5B9BD5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E4C50" w:rsidR="007E4C50" w:rsidP="007E4C50" w:rsidRDefault="007E4C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nl-NL"/>
              </w:rPr>
            </w:pPr>
            <w:r w:rsidRPr="007E4C50">
              <w:rPr>
                <w:rFonts w:ascii="Calibri" w:hAnsi="Calibri" w:eastAsia="Times New Roman" w:cs="Calibri"/>
                <w:color w:val="000000"/>
                <w:lang w:eastAsia="nl-NL"/>
              </w:rPr>
              <w:t>-423.000</w:t>
            </w:r>
          </w:p>
        </w:tc>
      </w:tr>
    </w:tbl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7E4C50" w:rsidP="00893F2E" w:rsidRDefault="007E4C50">
      <w:pPr>
        <w:pStyle w:val="NoSpacing"/>
        <w:rPr>
          <w:rFonts w:cstheme="minorHAnsi"/>
        </w:rPr>
      </w:pPr>
    </w:p>
    <w:p w:rsidR="00570BD5" w:rsidP="00E54EE1" w:rsidRDefault="00570BD5">
      <w:pPr>
        <w:pStyle w:val="NoSpacing"/>
        <w:ind w:firstLine="708"/>
        <w:rPr>
          <w:rFonts w:cstheme="minorHAnsi"/>
        </w:rPr>
      </w:pPr>
      <w:bookmarkStart w:name="_GoBack" w:id="0"/>
      <w:bookmarkEnd w:id="0"/>
      <w:r>
        <w:rPr>
          <w:rFonts w:cstheme="minorHAnsi"/>
        </w:rPr>
        <w:t>Gegeven</w:t>
      </w:r>
    </w:p>
    <w:p w:rsidR="00570BD5" w:rsidP="00893F2E" w:rsidRDefault="00570BD5">
      <w:pPr>
        <w:pStyle w:val="NoSpacing"/>
        <w:rPr>
          <w:rFonts w:cstheme="minorHAnsi"/>
        </w:rPr>
      </w:pPr>
    </w:p>
    <w:p w:rsidR="00570BD5" w:rsidP="00893F2E" w:rsidRDefault="00570BD5">
      <w:pPr>
        <w:pStyle w:val="NoSpacing"/>
        <w:rPr>
          <w:rFonts w:cstheme="minorHAnsi"/>
        </w:rPr>
      </w:pPr>
      <w:r>
        <w:rPr>
          <w:rFonts w:cstheme="minorHAnsi"/>
        </w:rPr>
        <w:t>De Minister van Defensie</w:t>
      </w:r>
      <w:r w:rsidR="00477E2C">
        <w:rPr>
          <w:rFonts w:cstheme="minorHAnsi"/>
        </w:rPr>
        <w:t>,</w:t>
      </w:r>
    </w:p>
    <w:p w:rsidR="001E7209" w:rsidP="00893F2E" w:rsidRDefault="001E7209">
      <w:pPr>
        <w:pStyle w:val="NoSpacing"/>
        <w:rPr>
          <w:rFonts w:cstheme="minorHAnsi"/>
        </w:rPr>
      </w:pPr>
    </w:p>
    <w:p w:rsidR="001E7209" w:rsidP="00893F2E" w:rsidRDefault="001E7209">
      <w:pPr>
        <w:pStyle w:val="NoSpacing"/>
        <w:rPr>
          <w:rFonts w:cstheme="minorHAnsi"/>
        </w:rPr>
      </w:pPr>
    </w:p>
    <w:p w:rsidR="00477E2C" w:rsidP="00893F2E" w:rsidRDefault="00477E2C">
      <w:pPr>
        <w:pStyle w:val="NoSpacing"/>
        <w:rPr>
          <w:rFonts w:cstheme="minorHAnsi"/>
        </w:rPr>
      </w:pPr>
    </w:p>
    <w:p w:rsidR="00477E2C" w:rsidP="00893F2E" w:rsidRDefault="00477E2C">
      <w:pPr>
        <w:pStyle w:val="NoSpacing"/>
        <w:rPr>
          <w:rFonts w:cstheme="minorHAnsi"/>
        </w:rPr>
      </w:pPr>
    </w:p>
    <w:p w:rsidR="00477E2C" w:rsidP="00893F2E" w:rsidRDefault="00477E2C">
      <w:pPr>
        <w:pStyle w:val="NoSpacing"/>
        <w:rPr>
          <w:rFonts w:cstheme="minorHAnsi"/>
        </w:rPr>
      </w:pPr>
    </w:p>
    <w:p w:rsidR="00477E2C" w:rsidP="00893F2E" w:rsidRDefault="00477E2C">
      <w:pPr>
        <w:pStyle w:val="NoSpacing"/>
        <w:rPr>
          <w:rFonts w:cstheme="minorHAnsi"/>
        </w:rPr>
      </w:pPr>
    </w:p>
    <w:p w:rsidR="00477E2C" w:rsidP="00893F2E" w:rsidRDefault="00477E2C">
      <w:pPr>
        <w:pStyle w:val="NoSpacing"/>
        <w:rPr>
          <w:rFonts w:cstheme="minorHAnsi"/>
        </w:rPr>
      </w:pPr>
    </w:p>
    <w:p w:rsidR="00B537AF" w:rsidP="00A80559" w:rsidRDefault="00477E2C">
      <w:pPr>
        <w:pStyle w:val="NoSpacing"/>
      </w:pPr>
      <w:r>
        <w:rPr>
          <w:rFonts w:cstheme="minorHAnsi"/>
        </w:rPr>
        <w:t>D. Yeşilgö</w:t>
      </w:r>
      <w:r w:rsidR="00570BD5">
        <w:rPr>
          <w:rFonts w:cstheme="minorHAnsi"/>
        </w:rPr>
        <w:t xml:space="preserve">z-Zegerius </w:t>
      </w:r>
    </w:p>
    <w:p w:rsidR="00B537AF" w:rsidP="00A80559" w:rsidRDefault="00B537AF">
      <w:pPr>
        <w:pStyle w:val="NoSpacing"/>
      </w:pPr>
    </w:p>
    <w:p w:rsidRPr="00A80559" w:rsidR="004262C7" w:rsidRDefault="004262C7">
      <w:pPr>
        <w:pStyle w:val="NoSpacing"/>
      </w:pPr>
    </w:p>
    <w:sectPr w:rsidRPr="00A80559" w:rsidR="004262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50" w:rsidRDefault="007E4C50" w:rsidP="00F226B8">
      <w:pPr>
        <w:spacing w:after="0" w:line="240" w:lineRule="auto"/>
      </w:pPr>
      <w:r>
        <w:separator/>
      </w:r>
    </w:p>
  </w:endnote>
  <w:endnote w:type="continuationSeparator" w:id="0">
    <w:p w:rsidR="007E4C50" w:rsidRDefault="007E4C50" w:rsidP="00F2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50" w:rsidRDefault="007E4C50">
    <w:pPr>
      <w:pStyle w:val="Footer"/>
    </w:pPr>
    <w:r>
      <w:tab/>
      <w:t>Tweede Kamer, vergaderjaar 2025 -2026, nr. 3</w:t>
    </w:r>
    <w:r>
      <w:tab/>
    </w:r>
  </w:p>
  <w:p w:rsidR="007E4C50" w:rsidRDefault="007E4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50" w:rsidRDefault="007E4C50" w:rsidP="00F226B8">
      <w:pPr>
        <w:spacing w:after="0" w:line="240" w:lineRule="auto"/>
      </w:pPr>
      <w:r>
        <w:separator/>
      </w:r>
    </w:p>
  </w:footnote>
  <w:footnote w:type="continuationSeparator" w:id="0">
    <w:p w:rsidR="007E4C50" w:rsidRDefault="007E4C50" w:rsidP="00F22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59"/>
    <w:rsid w:val="0001552F"/>
    <w:rsid w:val="000518AB"/>
    <w:rsid w:val="001120EE"/>
    <w:rsid w:val="001241BE"/>
    <w:rsid w:val="001C1C5F"/>
    <w:rsid w:val="001E7209"/>
    <w:rsid w:val="0020566C"/>
    <w:rsid w:val="00207528"/>
    <w:rsid w:val="002160D1"/>
    <w:rsid w:val="002571B5"/>
    <w:rsid w:val="002A7416"/>
    <w:rsid w:val="002C6F55"/>
    <w:rsid w:val="004262C7"/>
    <w:rsid w:val="004601EE"/>
    <w:rsid w:val="00477E2C"/>
    <w:rsid w:val="00493249"/>
    <w:rsid w:val="004C2F68"/>
    <w:rsid w:val="004C7787"/>
    <w:rsid w:val="005339A7"/>
    <w:rsid w:val="005476E6"/>
    <w:rsid w:val="00555820"/>
    <w:rsid w:val="00570BD5"/>
    <w:rsid w:val="00580BD5"/>
    <w:rsid w:val="0058792F"/>
    <w:rsid w:val="0062413E"/>
    <w:rsid w:val="00684A1D"/>
    <w:rsid w:val="006C57D4"/>
    <w:rsid w:val="006D36F0"/>
    <w:rsid w:val="00710EE9"/>
    <w:rsid w:val="00734333"/>
    <w:rsid w:val="007801F5"/>
    <w:rsid w:val="00786A97"/>
    <w:rsid w:val="007B00A0"/>
    <w:rsid w:val="007D0117"/>
    <w:rsid w:val="007E4C50"/>
    <w:rsid w:val="00815198"/>
    <w:rsid w:val="00853FB5"/>
    <w:rsid w:val="00893F2E"/>
    <w:rsid w:val="008C52F0"/>
    <w:rsid w:val="00917C7D"/>
    <w:rsid w:val="00951122"/>
    <w:rsid w:val="00964292"/>
    <w:rsid w:val="00977404"/>
    <w:rsid w:val="009924DC"/>
    <w:rsid w:val="00A11E31"/>
    <w:rsid w:val="00A52428"/>
    <w:rsid w:val="00A80559"/>
    <w:rsid w:val="00AF3FDF"/>
    <w:rsid w:val="00B22529"/>
    <w:rsid w:val="00B537AF"/>
    <w:rsid w:val="00BC5185"/>
    <w:rsid w:val="00BC7C33"/>
    <w:rsid w:val="00BF04BA"/>
    <w:rsid w:val="00C16335"/>
    <w:rsid w:val="00C27C4A"/>
    <w:rsid w:val="00C32549"/>
    <w:rsid w:val="00C47959"/>
    <w:rsid w:val="00C824FE"/>
    <w:rsid w:val="00CE3B60"/>
    <w:rsid w:val="00CE6CBF"/>
    <w:rsid w:val="00D63413"/>
    <w:rsid w:val="00D70F25"/>
    <w:rsid w:val="00DF1669"/>
    <w:rsid w:val="00E4637F"/>
    <w:rsid w:val="00E54EE1"/>
    <w:rsid w:val="00E638A1"/>
    <w:rsid w:val="00E75A3B"/>
    <w:rsid w:val="00F226B8"/>
    <w:rsid w:val="00F7129F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1403FA"/>
  <w15:chartTrackingRefBased/>
  <w15:docId w15:val="{317246BF-E63C-44FE-A9B7-480DDBAC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5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B8"/>
  </w:style>
  <w:style w:type="paragraph" w:styleId="Footer">
    <w:name w:val="footer"/>
    <w:basedOn w:val="Normal"/>
    <w:link w:val="FooterChar"/>
    <w:uiPriority w:val="99"/>
    <w:unhideWhenUsed/>
    <w:rsid w:val="00F2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B8"/>
  </w:style>
  <w:style w:type="paragraph" w:styleId="BalloonText">
    <w:name w:val="Balloon Text"/>
    <w:basedOn w:val="Normal"/>
    <w:link w:val="BalloonTextChar"/>
    <w:uiPriority w:val="99"/>
    <w:semiHidden/>
    <w:unhideWhenUsed/>
    <w:rsid w:val="00C2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986</ap:Words>
  <ap:Characters>5424</ap:Characters>
  <ap:DocSecurity>0</ap:DocSecurity>
  <ap:Lines>45</ap:Lines>
  <ap:Paragraphs>12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2026-03-23T14:23:00.0000000Z</lastPrinted>
  <dcterms:created xsi:type="dcterms:W3CDTF">2026-03-23T15:39:00.0000000Z</dcterms:created>
  <dcterms:modified xsi:type="dcterms:W3CDTF">2026-03-23T15:46:00.0000000Z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0x010100B16FD3810CAF3841ABC475024D241355</vt:lpwstr>
  </property>
</Properties>
</file>