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D457CB0" w14:textId="77777777">
        <w:tc>
          <w:tcPr>
            <w:tcW w:w="6379" w:type="dxa"/>
            <w:gridSpan w:val="2"/>
            <w:tcBorders>
              <w:top w:val="nil"/>
              <w:left w:val="nil"/>
              <w:bottom w:val="nil"/>
              <w:right w:val="nil"/>
            </w:tcBorders>
            <w:vAlign w:val="center"/>
          </w:tcPr>
          <w:p w:rsidR="004330ED" w:rsidP="00EA1CE4" w:rsidRDefault="004330ED" w14:paraId="425C0B2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025980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5DE21C5" w14:textId="77777777">
        <w:trPr>
          <w:cantSplit/>
        </w:trPr>
        <w:tc>
          <w:tcPr>
            <w:tcW w:w="10348" w:type="dxa"/>
            <w:gridSpan w:val="3"/>
            <w:tcBorders>
              <w:top w:val="single" w:color="auto" w:sz="4" w:space="0"/>
              <w:left w:val="nil"/>
              <w:bottom w:val="nil"/>
              <w:right w:val="nil"/>
            </w:tcBorders>
          </w:tcPr>
          <w:p w:rsidR="004330ED" w:rsidP="004A1E29" w:rsidRDefault="004330ED" w14:paraId="0DCD3E5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A350C6B" w14:textId="77777777">
        <w:trPr>
          <w:cantSplit/>
        </w:trPr>
        <w:tc>
          <w:tcPr>
            <w:tcW w:w="10348" w:type="dxa"/>
            <w:gridSpan w:val="3"/>
            <w:tcBorders>
              <w:top w:val="nil"/>
              <w:left w:val="nil"/>
              <w:bottom w:val="nil"/>
              <w:right w:val="nil"/>
            </w:tcBorders>
          </w:tcPr>
          <w:p w:rsidR="004330ED" w:rsidP="00BF623B" w:rsidRDefault="004330ED" w14:paraId="05C24DF3" w14:textId="77777777">
            <w:pPr>
              <w:pStyle w:val="Amendement"/>
              <w:tabs>
                <w:tab w:val="clear" w:pos="3310"/>
                <w:tab w:val="clear" w:pos="3600"/>
              </w:tabs>
              <w:rPr>
                <w:rFonts w:ascii="Times New Roman" w:hAnsi="Times New Roman"/>
                <w:b w:val="0"/>
              </w:rPr>
            </w:pPr>
          </w:p>
        </w:tc>
      </w:tr>
      <w:tr w:rsidR="004330ED" w:rsidTr="00EA1CE4" w14:paraId="5859D27F" w14:textId="77777777">
        <w:trPr>
          <w:cantSplit/>
        </w:trPr>
        <w:tc>
          <w:tcPr>
            <w:tcW w:w="10348" w:type="dxa"/>
            <w:gridSpan w:val="3"/>
            <w:tcBorders>
              <w:top w:val="nil"/>
              <w:left w:val="nil"/>
              <w:bottom w:val="single" w:color="auto" w:sz="4" w:space="0"/>
              <w:right w:val="nil"/>
            </w:tcBorders>
          </w:tcPr>
          <w:p w:rsidR="004330ED" w:rsidP="00BF623B" w:rsidRDefault="004330ED" w14:paraId="302A0DA2" w14:textId="77777777">
            <w:pPr>
              <w:pStyle w:val="Amendement"/>
              <w:tabs>
                <w:tab w:val="clear" w:pos="3310"/>
                <w:tab w:val="clear" w:pos="3600"/>
              </w:tabs>
              <w:rPr>
                <w:rFonts w:ascii="Times New Roman" w:hAnsi="Times New Roman"/>
              </w:rPr>
            </w:pPr>
          </w:p>
        </w:tc>
      </w:tr>
      <w:tr w:rsidR="004330ED" w:rsidTr="00EA1CE4" w14:paraId="3E45B0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8ED396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FBF7059" w14:textId="77777777">
            <w:pPr>
              <w:suppressAutoHyphens/>
              <w:ind w:left="-70"/>
              <w:rPr>
                <w:b/>
              </w:rPr>
            </w:pPr>
          </w:p>
        </w:tc>
      </w:tr>
      <w:tr w:rsidR="003C21AC" w:rsidTr="00EA1CE4" w14:paraId="4AA60B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97798" w14:paraId="12947BC8" w14:textId="1A6B25F5">
            <w:pPr>
              <w:pStyle w:val="Amendement"/>
              <w:tabs>
                <w:tab w:val="clear" w:pos="3310"/>
                <w:tab w:val="clear" w:pos="3600"/>
              </w:tabs>
              <w:rPr>
                <w:rFonts w:ascii="Times New Roman" w:hAnsi="Times New Roman"/>
              </w:rPr>
            </w:pPr>
            <w:r>
              <w:rPr>
                <w:rFonts w:ascii="Times New Roman" w:hAnsi="Times New Roman"/>
              </w:rPr>
              <w:t>36 663</w:t>
            </w:r>
          </w:p>
        </w:tc>
        <w:tc>
          <w:tcPr>
            <w:tcW w:w="7371" w:type="dxa"/>
            <w:gridSpan w:val="2"/>
          </w:tcPr>
          <w:p w:rsidRPr="00E97798" w:rsidR="00E97798" w:rsidP="001D280B" w:rsidRDefault="00E97798" w14:paraId="38BE038C" w14:textId="77777777">
            <w:pPr>
              <w:rPr>
                <w:b/>
              </w:rPr>
            </w:pPr>
            <w:r w:rsidRPr="00E97798">
              <w:rPr>
                <w:b/>
              </w:rPr>
              <w:t xml:space="preserve">Wijziging van de Leerplichtwet 1969 en enige andere onderwijswetten in verband met het voorkomen en het terugdringen van verzuim in het funderend onderwijs en het beroepsonderwijs (Wet terugdringen schoolverzuim) </w:t>
            </w:r>
          </w:p>
          <w:p w:rsidRPr="00783215" w:rsidR="003C21AC" w:rsidP="006E0971" w:rsidRDefault="003C21AC" w14:paraId="655D62D9" w14:textId="1B9BF70E">
            <w:pPr>
              <w:ind w:left="-70"/>
              <w:rPr>
                <w:b/>
              </w:rPr>
            </w:pPr>
          </w:p>
        </w:tc>
      </w:tr>
      <w:tr w:rsidR="003C21AC" w:rsidTr="00EA1CE4" w14:paraId="412D0A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1BCF4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8ECD826" w14:textId="77777777">
            <w:pPr>
              <w:pStyle w:val="Amendement"/>
              <w:tabs>
                <w:tab w:val="clear" w:pos="3310"/>
                <w:tab w:val="clear" w:pos="3600"/>
              </w:tabs>
              <w:ind w:left="-70"/>
              <w:rPr>
                <w:rFonts w:ascii="Times New Roman" w:hAnsi="Times New Roman"/>
              </w:rPr>
            </w:pPr>
          </w:p>
        </w:tc>
      </w:tr>
      <w:tr w:rsidR="003C21AC" w:rsidTr="00EA1CE4" w14:paraId="3006B8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7F736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1FFDE79" w14:textId="77777777">
            <w:pPr>
              <w:pStyle w:val="Amendement"/>
              <w:tabs>
                <w:tab w:val="clear" w:pos="3310"/>
                <w:tab w:val="clear" w:pos="3600"/>
              </w:tabs>
              <w:ind w:left="-70"/>
              <w:rPr>
                <w:rFonts w:ascii="Times New Roman" w:hAnsi="Times New Roman"/>
              </w:rPr>
            </w:pPr>
          </w:p>
        </w:tc>
      </w:tr>
      <w:tr w:rsidR="003C21AC" w:rsidTr="00EA1CE4" w14:paraId="3D47C1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CD839FD" w14:textId="18B4921F">
            <w:pPr>
              <w:pStyle w:val="Amendement"/>
              <w:tabs>
                <w:tab w:val="clear" w:pos="3310"/>
                <w:tab w:val="clear" w:pos="3600"/>
              </w:tabs>
              <w:rPr>
                <w:rFonts w:ascii="Times New Roman" w:hAnsi="Times New Roman"/>
              </w:rPr>
            </w:pPr>
            <w:r w:rsidRPr="00C035D4">
              <w:rPr>
                <w:rFonts w:ascii="Times New Roman" w:hAnsi="Times New Roman"/>
              </w:rPr>
              <w:t xml:space="preserve">Nr. </w:t>
            </w:r>
            <w:r w:rsidR="00F95F83">
              <w:rPr>
                <w:rFonts w:ascii="Times New Roman" w:hAnsi="Times New Roman"/>
                <w:caps/>
              </w:rPr>
              <w:t>12</w:t>
            </w:r>
          </w:p>
        </w:tc>
        <w:tc>
          <w:tcPr>
            <w:tcW w:w="7371" w:type="dxa"/>
            <w:gridSpan w:val="2"/>
          </w:tcPr>
          <w:p w:rsidRPr="00C035D4" w:rsidR="003C21AC" w:rsidP="006E0971" w:rsidRDefault="003C21AC" w14:paraId="5E35493E" w14:textId="7610FCE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28777B">
              <w:rPr>
                <w:rFonts w:ascii="Times New Roman" w:hAnsi="Times New Roman"/>
                <w:caps/>
              </w:rPr>
              <w:t>CEDER</w:t>
            </w:r>
          </w:p>
        </w:tc>
      </w:tr>
      <w:tr w:rsidR="003C21AC" w:rsidTr="00EA1CE4" w14:paraId="1B3BC3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4D3DCF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ECFF6CC" w14:textId="7815ED4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06593">
              <w:rPr>
                <w:rFonts w:ascii="Times New Roman" w:hAnsi="Times New Roman"/>
                <w:b w:val="0"/>
              </w:rPr>
              <w:t>24 maart 2026</w:t>
            </w:r>
          </w:p>
        </w:tc>
      </w:tr>
      <w:tr w:rsidR="00B01BA6" w:rsidTr="00EA1CE4" w14:paraId="4FC413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EC80C1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B83F112" w14:textId="77777777">
            <w:pPr>
              <w:pStyle w:val="Amendement"/>
              <w:tabs>
                <w:tab w:val="clear" w:pos="3310"/>
                <w:tab w:val="clear" w:pos="3600"/>
              </w:tabs>
              <w:ind w:left="-70"/>
              <w:rPr>
                <w:rFonts w:ascii="Times New Roman" w:hAnsi="Times New Roman"/>
                <w:b w:val="0"/>
              </w:rPr>
            </w:pPr>
          </w:p>
        </w:tc>
      </w:tr>
      <w:tr w:rsidRPr="00EA69AC" w:rsidR="00B01BA6" w:rsidTr="00EA1CE4" w14:paraId="1FD3E5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03C995A" w14:textId="77777777">
            <w:pPr>
              <w:ind w:firstLine="284"/>
            </w:pPr>
            <w:r w:rsidRPr="00EA69AC">
              <w:t>De ondergetekende stelt het volgende amendement voor:</w:t>
            </w:r>
          </w:p>
        </w:tc>
      </w:tr>
    </w:tbl>
    <w:p w:rsidRPr="00EA69AC" w:rsidR="005B1DCC" w:rsidP="00BF623B" w:rsidRDefault="005B1DCC" w14:paraId="744F9BA2" w14:textId="66F7C689"/>
    <w:p w:rsidR="005B1DCC" w:rsidP="0088452C" w:rsidRDefault="00E97798" w14:paraId="2D128772" w14:textId="5B4AA141">
      <w:pPr>
        <w:ind w:firstLine="284"/>
      </w:pPr>
      <w:r>
        <w:t xml:space="preserve">In artikel </w:t>
      </w:r>
      <w:r w:rsidR="00DA1D93">
        <w:t xml:space="preserve">X wordt </w:t>
      </w:r>
      <w:r w:rsidR="00191BED">
        <w:t>na “</w:t>
      </w:r>
      <w:r w:rsidR="00671DC8">
        <w:t>zendt</w:t>
      </w:r>
      <w:r w:rsidR="00191BED">
        <w:t xml:space="preserve">” ingevoegd </w:t>
      </w:r>
      <w:r w:rsidR="00DA1D93">
        <w:t>“</w:t>
      </w:r>
      <w:r w:rsidR="00671DC8">
        <w:t xml:space="preserve">binnen </w:t>
      </w:r>
      <w:r w:rsidR="00191BED">
        <w:t>drie jaar en vervolgens</w:t>
      </w:r>
      <w:r w:rsidR="00DA1D93">
        <w:t>”.</w:t>
      </w:r>
    </w:p>
    <w:p w:rsidR="00E97798" w:rsidP="0088452C" w:rsidRDefault="00E97798" w14:paraId="3B7E431D" w14:textId="77777777">
      <w:pPr>
        <w:ind w:firstLine="284"/>
      </w:pPr>
    </w:p>
    <w:p w:rsidRPr="00EA69AC" w:rsidR="003C21AC" w:rsidP="00EA1CE4" w:rsidRDefault="003C21AC" w14:paraId="2D040B30" w14:textId="77777777">
      <w:pPr>
        <w:rPr>
          <w:b/>
        </w:rPr>
      </w:pPr>
      <w:r w:rsidRPr="00EA69AC">
        <w:rPr>
          <w:b/>
        </w:rPr>
        <w:t>Toelichting</w:t>
      </w:r>
    </w:p>
    <w:p w:rsidRPr="00EA69AC" w:rsidR="003C21AC" w:rsidP="00BF623B" w:rsidRDefault="003C21AC" w14:paraId="0F2E0256" w14:textId="77777777"/>
    <w:p w:rsidR="00586E50" w:rsidP="00586E50" w:rsidRDefault="00586E50" w14:paraId="6F560E86" w14:textId="0C601F92">
      <w:r w:rsidRPr="00586E50">
        <w:t>Dit amendement regelt dat</w:t>
      </w:r>
      <w:r w:rsidR="006037EE">
        <w:t xml:space="preserve"> na drie jaar reeds een beperkte tussenevaluatie van het wetsvoorstel plaatsvindt</w:t>
      </w:r>
      <w:r w:rsidR="008B6A2F">
        <w:t xml:space="preserve">. De </w:t>
      </w:r>
      <w:r w:rsidR="00FB4EF6">
        <w:t xml:space="preserve">evaluatie binnen vijf jaar na inwerkingtreding blijft bestaan. Op deze manier </w:t>
      </w:r>
      <w:r w:rsidR="0050022E">
        <w:t>kan de regering</w:t>
      </w:r>
      <w:r w:rsidR="00F07478">
        <w:t>, mocht het nodig zijn, beleid aanpassen</w:t>
      </w:r>
      <w:r w:rsidR="00633A3B">
        <w:t xml:space="preserve">, bijvoorbeeld om regeldruk te verminderen of </w:t>
      </w:r>
      <w:r w:rsidR="0048220D">
        <w:t>om de beoogde effecten van het wetsvoorstel vergroten.</w:t>
      </w:r>
    </w:p>
    <w:p w:rsidR="006D06B7" w:rsidP="00586E50" w:rsidRDefault="006D06B7" w14:paraId="478AC61F" w14:textId="77777777"/>
    <w:p w:rsidR="006B2165" w:rsidP="006B2165" w:rsidRDefault="006D06B7" w14:paraId="481E3F39" w14:textId="1AB1D8EA">
      <w:r>
        <w:t xml:space="preserve">Het wetsvoorstel heeft primair tot doel, zo stelt de regering in de Memorie van Toelichting, de noodzakelijke voorwaarden te creëren om langdurig schoolverzuim van leerlingen en studenten te kunnen voorkomen en verminderen. </w:t>
      </w:r>
      <w:r w:rsidR="000131DE">
        <w:t xml:space="preserve">Indiener </w:t>
      </w:r>
      <w:r w:rsidR="00F46BAB">
        <w:t xml:space="preserve">merkt op dat veel </w:t>
      </w:r>
      <w:r w:rsidR="000750F9">
        <w:t xml:space="preserve">organisaties terughoudend zijn over </w:t>
      </w:r>
      <w:r w:rsidR="00824153">
        <w:t xml:space="preserve">de </w:t>
      </w:r>
      <w:r w:rsidR="005A09AF">
        <w:t xml:space="preserve">verwachte </w:t>
      </w:r>
      <w:r w:rsidR="00824153">
        <w:t>effecten van het wetsvoorstel.</w:t>
      </w:r>
      <w:r w:rsidR="000A0245">
        <w:t xml:space="preserve"> De rode draad hierbij </w:t>
      </w:r>
      <w:r w:rsidR="006B2165">
        <w:t xml:space="preserve">is kernachtig verwoord door de Afdeling Advisering van de Raad van State, die opmerkt dat gezien </w:t>
      </w:r>
      <w:r>
        <w:t xml:space="preserve">‘de complexiteit van de problematiek van thuiszitters niet al te hoge verwachtingen [mogen] worden gekoesterd van het effect van verplichtingen inzake verzuimbeleid en -registratie.’ </w:t>
      </w:r>
    </w:p>
    <w:p w:rsidR="006B2165" w:rsidP="006B2165" w:rsidRDefault="006B2165" w14:paraId="61D33754" w14:textId="77777777"/>
    <w:p w:rsidR="006D06B7" w:rsidP="006B2165" w:rsidRDefault="002B335F" w14:paraId="6B78977F" w14:textId="24FB2379">
      <w:r>
        <w:t xml:space="preserve">In haar advies stelt </w:t>
      </w:r>
      <w:r w:rsidR="006D06B7">
        <w:t xml:space="preserve">de Afdeling Advisering </w:t>
      </w:r>
      <w:r w:rsidR="002461E2">
        <w:t xml:space="preserve">tevens </w:t>
      </w:r>
      <w:r w:rsidR="006D06B7">
        <w:t xml:space="preserve">dat het van belang is dat invoering van nieuwe verplichtingen berust op een gedegen analyse van de huidige praktijk van verzuimbeleid en -registratie. Ook noemt ze een analyse van de huidige praktijk van de samenwerking tussen de verschillende ketenpartners van belang, ‘omdat de effectiviteit en uitvoerbaarheid van de voorgenomen verzuimaanpak in grote mate afhankelijk zal zijn van de mogelijkheden en werkwijzen van alle partijen. De vaststelling en uitvoering van het verzuimbeleid kan niet geïsoleerd plaatsvinden.’ </w:t>
      </w:r>
    </w:p>
    <w:p w:rsidR="002461E2" w:rsidP="006B2165" w:rsidRDefault="002461E2" w14:paraId="16E66F53" w14:textId="77777777"/>
    <w:p w:rsidR="002461E2" w:rsidP="006B2165" w:rsidRDefault="002461E2" w14:paraId="0BE3D635" w14:textId="055831DB">
      <w:r>
        <w:t xml:space="preserve">Indiener onderschrijft deze </w:t>
      </w:r>
      <w:r w:rsidR="00DE6851">
        <w:t>opmerkingen</w:t>
      </w:r>
      <w:r w:rsidR="00B962A7">
        <w:t xml:space="preserve">. </w:t>
      </w:r>
      <w:r w:rsidR="00C766D6">
        <w:t xml:space="preserve">Als de maatregelen uit het wetsvoorstel niet aansluiten op de praktijk en daadwerkelijk bijdragen aan het doel van het </w:t>
      </w:r>
      <w:r w:rsidR="00400742">
        <w:t xml:space="preserve">kunnen voorkomen en verminderen van langdurig schoolverzuim, </w:t>
      </w:r>
      <w:r w:rsidR="004A75D4">
        <w:t xml:space="preserve">is het enige daadwerkelijke effect van het wetsvoorstel meer regeldruk. </w:t>
      </w:r>
    </w:p>
    <w:p w:rsidR="00DD1215" w:rsidP="006B2165" w:rsidRDefault="00DD1215" w14:paraId="5C08D202" w14:textId="2DCDD658"/>
    <w:p w:rsidR="00191BED" w:rsidP="00E97798" w:rsidRDefault="00336EB4" w14:paraId="615B6AC5" w14:textId="77777777">
      <w:r>
        <w:t xml:space="preserve">Om die reden beoogt indiener middels dit amendement een tussenevaluatie van de effecten van het wetsvoorstel te laten plaatsvinden binnen drie jaar na inwerkingtreding. </w:t>
      </w:r>
      <w:r w:rsidR="00FE17E8">
        <w:t xml:space="preserve">Onderdelen </w:t>
      </w:r>
      <w:r w:rsidR="005018E1">
        <w:t xml:space="preserve">van deze evaluatie zijn de effecten voor de regeldruk, </w:t>
      </w:r>
      <w:r w:rsidR="007F2B54">
        <w:t xml:space="preserve">de samenhang tussen de verzuimaanpak en de mogelijkheden en werkwijzen van andere betrokken partijen </w:t>
      </w:r>
      <w:r w:rsidR="00EC1862">
        <w:t xml:space="preserve">en een eerste indicatie in hoeverre de verplichtingen daadwerkelijk bijdragen aan het voorkomen en verminderen van </w:t>
      </w:r>
      <w:r w:rsidR="005C0533">
        <w:t>schoolverzuim</w:t>
      </w:r>
      <w:r w:rsidR="00382632">
        <w:t xml:space="preserve">. </w:t>
      </w:r>
      <w:r w:rsidR="00FB4EF6">
        <w:t xml:space="preserve">Op deze manier moet de tussenevaluatie laten zien welk flankerend beleid er eventueel extra nodig is. </w:t>
      </w:r>
      <w:r w:rsidR="00B24C1B">
        <w:t xml:space="preserve"> </w:t>
      </w:r>
    </w:p>
    <w:p w:rsidR="00191BED" w:rsidP="00E97798" w:rsidRDefault="00191BED" w14:paraId="570E89EB" w14:textId="1FE044F3">
      <w:r>
        <w:lastRenderedPageBreak/>
        <w:t>Vijf jaar na inwerkingtreding dient vervolgens een volledige evaluatie plaats te vinden.</w:t>
      </w:r>
    </w:p>
    <w:p w:rsidR="00191BED" w:rsidP="00E97798" w:rsidRDefault="00191BED" w14:paraId="4B6EB8BE" w14:textId="77777777"/>
    <w:p w:rsidRPr="00E97798" w:rsidR="00E97798" w:rsidP="00E97798" w:rsidRDefault="0028777B" w14:paraId="56866EAE" w14:textId="0B1BFABC">
      <w:r>
        <w:t>Ceder</w:t>
      </w:r>
    </w:p>
    <w:p w:rsidRPr="00EA69AC" w:rsidR="00B4708A" w:rsidP="00E97798" w:rsidRDefault="00B4708A" w14:paraId="0906B192" w14:textId="414363F6"/>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097A3" w14:textId="77777777" w:rsidR="00062041" w:rsidRDefault="00062041">
      <w:pPr>
        <w:spacing w:line="20" w:lineRule="exact"/>
      </w:pPr>
    </w:p>
  </w:endnote>
  <w:endnote w:type="continuationSeparator" w:id="0">
    <w:p w14:paraId="78831913" w14:textId="77777777" w:rsidR="00062041" w:rsidRDefault="00062041">
      <w:pPr>
        <w:pStyle w:val="Amendement"/>
      </w:pPr>
      <w:r>
        <w:rPr>
          <w:b w:val="0"/>
        </w:rPr>
        <w:t xml:space="preserve"> </w:t>
      </w:r>
    </w:p>
  </w:endnote>
  <w:endnote w:type="continuationNotice" w:id="1">
    <w:p w14:paraId="599491BE" w14:textId="77777777" w:rsidR="00062041" w:rsidRDefault="0006204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DD1EC" w14:textId="77777777" w:rsidR="00062041" w:rsidRDefault="00062041">
      <w:pPr>
        <w:pStyle w:val="Amendement"/>
      </w:pPr>
      <w:r>
        <w:rPr>
          <w:b w:val="0"/>
        </w:rPr>
        <w:separator/>
      </w:r>
    </w:p>
  </w:footnote>
  <w:footnote w:type="continuationSeparator" w:id="0">
    <w:p w14:paraId="4705379F" w14:textId="77777777" w:rsidR="00062041" w:rsidRDefault="00062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76A1C"/>
    <w:multiLevelType w:val="hybridMultilevel"/>
    <w:tmpl w:val="05A04594"/>
    <w:lvl w:ilvl="0" w:tplc="A3489422">
      <w:start w:val="1"/>
      <w:numFmt w:val="bullet"/>
      <w:lvlText w:val=""/>
      <w:lvlJc w:val="left"/>
      <w:pPr>
        <w:ind w:left="1020" w:hanging="360"/>
      </w:pPr>
      <w:rPr>
        <w:rFonts w:ascii="Symbol" w:hAnsi="Symbol"/>
      </w:rPr>
    </w:lvl>
    <w:lvl w:ilvl="1" w:tplc="5D44802A">
      <w:start w:val="1"/>
      <w:numFmt w:val="bullet"/>
      <w:lvlText w:val=""/>
      <w:lvlJc w:val="left"/>
      <w:pPr>
        <w:ind w:left="1020" w:hanging="360"/>
      </w:pPr>
      <w:rPr>
        <w:rFonts w:ascii="Symbol" w:hAnsi="Symbol"/>
      </w:rPr>
    </w:lvl>
    <w:lvl w:ilvl="2" w:tplc="51D49EF4">
      <w:start w:val="1"/>
      <w:numFmt w:val="bullet"/>
      <w:lvlText w:val=""/>
      <w:lvlJc w:val="left"/>
      <w:pPr>
        <w:ind w:left="1020" w:hanging="360"/>
      </w:pPr>
      <w:rPr>
        <w:rFonts w:ascii="Symbol" w:hAnsi="Symbol"/>
      </w:rPr>
    </w:lvl>
    <w:lvl w:ilvl="3" w:tplc="66787D4E">
      <w:start w:val="1"/>
      <w:numFmt w:val="bullet"/>
      <w:lvlText w:val=""/>
      <w:lvlJc w:val="left"/>
      <w:pPr>
        <w:ind w:left="1020" w:hanging="360"/>
      </w:pPr>
      <w:rPr>
        <w:rFonts w:ascii="Symbol" w:hAnsi="Symbol"/>
      </w:rPr>
    </w:lvl>
    <w:lvl w:ilvl="4" w:tplc="86DC358C">
      <w:start w:val="1"/>
      <w:numFmt w:val="bullet"/>
      <w:lvlText w:val=""/>
      <w:lvlJc w:val="left"/>
      <w:pPr>
        <w:ind w:left="1020" w:hanging="360"/>
      </w:pPr>
      <w:rPr>
        <w:rFonts w:ascii="Symbol" w:hAnsi="Symbol"/>
      </w:rPr>
    </w:lvl>
    <w:lvl w:ilvl="5" w:tplc="BFAE1A56">
      <w:start w:val="1"/>
      <w:numFmt w:val="bullet"/>
      <w:lvlText w:val=""/>
      <w:lvlJc w:val="left"/>
      <w:pPr>
        <w:ind w:left="1020" w:hanging="360"/>
      </w:pPr>
      <w:rPr>
        <w:rFonts w:ascii="Symbol" w:hAnsi="Symbol"/>
      </w:rPr>
    </w:lvl>
    <w:lvl w:ilvl="6" w:tplc="A33A884E">
      <w:start w:val="1"/>
      <w:numFmt w:val="bullet"/>
      <w:lvlText w:val=""/>
      <w:lvlJc w:val="left"/>
      <w:pPr>
        <w:ind w:left="1020" w:hanging="360"/>
      </w:pPr>
      <w:rPr>
        <w:rFonts w:ascii="Symbol" w:hAnsi="Symbol"/>
      </w:rPr>
    </w:lvl>
    <w:lvl w:ilvl="7" w:tplc="99D06B56">
      <w:start w:val="1"/>
      <w:numFmt w:val="bullet"/>
      <w:lvlText w:val=""/>
      <w:lvlJc w:val="left"/>
      <w:pPr>
        <w:ind w:left="1020" w:hanging="360"/>
      </w:pPr>
      <w:rPr>
        <w:rFonts w:ascii="Symbol" w:hAnsi="Symbol"/>
      </w:rPr>
    </w:lvl>
    <w:lvl w:ilvl="8" w:tplc="1BAABC8C">
      <w:start w:val="1"/>
      <w:numFmt w:val="bullet"/>
      <w:lvlText w:val=""/>
      <w:lvlJc w:val="left"/>
      <w:pPr>
        <w:ind w:left="1020" w:hanging="360"/>
      </w:pPr>
      <w:rPr>
        <w:rFonts w:ascii="Symbol" w:hAnsi="Symbol"/>
      </w:rPr>
    </w:lvl>
  </w:abstractNum>
  <w:abstractNum w:abstractNumId="1" w15:restartNumberingAfterBreak="0">
    <w:nsid w:val="49BD148D"/>
    <w:multiLevelType w:val="hybridMultilevel"/>
    <w:tmpl w:val="45EE2B74"/>
    <w:lvl w:ilvl="0" w:tplc="53B6F760">
      <w:start w:val="1"/>
      <w:numFmt w:val="bullet"/>
      <w:lvlText w:val=""/>
      <w:lvlJc w:val="left"/>
      <w:pPr>
        <w:ind w:left="1020" w:hanging="360"/>
      </w:pPr>
      <w:rPr>
        <w:rFonts w:ascii="Symbol" w:hAnsi="Symbol"/>
      </w:rPr>
    </w:lvl>
    <w:lvl w:ilvl="1" w:tplc="CC3EE840">
      <w:start w:val="1"/>
      <w:numFmt w:val="bullet"/>
      <w:lvlText w:val=""/>
      <w:lvlJc w:val="left"/>
      <w:pPr>
        <w:ind w:left="1020" w:hanging="360"/>
      </w:pPr>
      <w:rPr>
        <w:rFonts w:ascii="Symbol" w:hAnsi="Symbol"/>
      </w:rPr>
    </w:lvl>
    <w:lvl w:ilvl="2" w:tplc="6712AB14">
      <w:start w:val="1"/>
      <w:numFmt w:val="bullet"/>
      <w:lvlText w:val=""/>
      <w:lvlJc w:val="left"/>
      <w:pPr>
        <w:ind w:left="1020" w:hanging="360"/>
      </w:pPr>
      <w:rPr>
        <w:rFonts w:ascii="Symbol" w:hAnsi="Symbol"/>
      </w:rPr>
    </w:lvl>
    <w:lvl w:ilvl="3" w:tplc="BCBACF08">
      <w:start w:val="1"/>
      <w:numFmt w:val="bullet"/>
      <w:lvlText w:val=""/>
      <w:lvlJc w:val="left"/>
      <w:pPr>
        <w:ind w:left="1020" w:hanging="360"/>
      </w:pPr>
      <w:rPr>
        <w:rFonts w:ascii="Symbol" w:hAnsi="Symbol"/>
      </w:rPr>
    </w:lvl>
    <w:lvl w:ilvl="4" w:tplc="09E29EE8">
      <w:start w:val="1"/>
      <w:numFmt w:val="bullet"/>
      <w:lvlText w:val=""/>
      <w:lvlJc w:val="left"/>
      <w:pPr>
        <w:ind w:left="1020" w:hanging="360"/>
      </w:pPr>
      <w:rPr>
        <w:rFonts w:ascii="Symbol" w:hAnsi="Symbol"/>
      </w:rPr>
    </w:lvl>
    <w:lvl w:ilvl="5" w:tplc="D51C485E">
      <w:start w:val="1"/>
      <w:numFmt w:val="bullet"/>
      <w:lvlText w:val=""/>
      <w:lvlJc w:val="left"/>
      <w:pPr>
        <w:ind w:left="1020" w:hanging="360"/>
      </w:pPr>
      <w:rPr>
        <w:rFonts w:ascii="Symbol" w:hAnsi="Symbol"/>
      </w:rPr>
    </w:lvl>
    <w:lvl w:ilvl="6" w:tplc="D6A6538E">
      <w:start w:val="1"/>
      <w:numFmt w:val="bullet"/>
      <w:lvlText w:val=""/>
      <w:lvlJc w:val="left"/>
      <w:pPr>
        <w:ind w:left="1020" w:hanging="360"/>
      </w:pPr>
      <w:rPr>
        <w:rFonts w:ascii="Symbol" w:hAnsi="Symbol"/>
      </w:rPr>
    </w:lvl>
    <w:lvl w:ilvl="7" w:tplc="0204AB4C">
      <w:start w:val="1"/>
      <w:numFmt w:val="bullet"/>
      <w:lvlText w:val=""/>
      <w:lvlJc w:val="left"/>
      <w:pPr>
        <w:ind w:left="1020" w:hanging="360"/>
      </w:pPr>
      <w:rPr>
        <w:rFonts w:ascii="Symbol" w:hAnsi="Symbol"/>
      </w:rPr>
    </w:lvl>
    <w:lvl w:ilvl="8" w:tplc="0E2636D6">
      <w:start w:val="1"/>
      <w:numFmt w:val="bullet"/>
      <w:lvlText w:val=""/>
      <w:lvlJc w:val="left"/>
      <w:pPr>
        <w:ind w:left="1020" w:hanging="360"/>
      </w:pPr>
      <w:rPr>
        <w:rFonts w:ascii="Symbol" w:hAnsi="Symbol"/>
      </w:rPr>
    </w:lvl>
  </w:abstractNum>
  <w:num w:numId="1" w16cid:durableId="2094156159">
    <w:abstractNumId w:val="0"/>
  </w:num>
  <w:num w:numId="2" w16cid:durableId="193884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98"/>
    <w:rsid w:val="00006593"/>
    <w:rsid w:val="000131DE"/>
    <w:rsid w:val="00030836"/>
    <w:rsid w:val="00032F68"/>
    <w:rsid w:val="00052244"/>
    <w:rsid w:val="00062041"/>
    <w:rsid w:val="000637AF"/>
    <w:rsid w:val="0007471A"/>
    <w:rsid w:val="000750F9"/>
    <w:rsid w:val="00090066"/>
    <w:rsid w:val="00091991"/>
    <w:rsid w:val="000A0245"/>
    <w:rsid w:val="000D17BF"/>
    <w:rsid w:val="001214C8"/>
    <w:rsid w:val="00157CAF"/>
    <w:rsid w:val="001656EE"/>
    <w:rsid w:val="0016653D"/>
    <w:rsid w:val="00191BED"/>
    <w:rsid w:val="001D56AF"/>
    <w:rsid w:val="001E0E21"/>
    <w:rsid w:val="00212E0A"/>
    <w:rsid w:val="002153B0"/>
    <w:rsid w:val="0021777F"/>
    <w:rsid w:val="0024027B"/>
    <w:rsid w:val="00241DD0"/>
    <w:rsid w:val="002461E2"/>
    <w:rsid w:val="0028777B"/>
    <w:rsid w:val="002A0713"/>
    <w:rsid w:val="002B335F"/>
    <w:rsid w:val="002C07F9"/>
    <w:rsid w:val="00336EB4"/>
    <w:rsid w:val="00341CE0"/>
    <w:rsid w:val="00382632"/>
    <w:rsid w:val="003C21AC"/>
    <w:rsid w:val="003C5218"/>
    <w:rsid w:val="003C7876"/>
    <w:rsid w:val="003E2308"/>
    <w:rsid w:val="003E2F98"/>
    <w:rsid w:val="00400742"/>
    <w:rsid w:val="00413B00"/>
    <w:rsid w:val="00425140"/>
    <w:rsid w:val="0042574B"/>
    <w:rsid w:val="004330ED"/>
    <w:rsid w:val="00481C91"/>
    <w:rsid w:val="0048220D"/>
    <w:rsid w:val="004911E3"/>
    <w:rsid w:val="00497D57"/>
    <w:rsid w:val="004A1E29"/>
    <w:rsid w:val="004A75D4"/>
    <w:rsid w:val="004A7DD4"/>
    <w:rsid w:val="004B50D8"/>
    <w:rsid w:val="004B5B90"/>
    <w:rsid w:val="0050022E"/>
    <w:rsid w:val="00501109"/>
    <w:rsid w:val="005018E1"/>
    <w:rsid w:val="005703C9"/>
    <w:rsid w:val="00586E50"/>
    <w:rsid w:val="00597703"/>
    <w:rsid w:val="005A09AF"/>
    <w:rsid w:val="005A6097"/>
    <w:rsid w:val="005B1DCC"/>
    <w:rsid w:val="005B7323"/>
    <w:rsid w:val="005C0533"/>
    <w:rsid w:val="005C25B9"/>
    <w:rsid w:val="005C2A3C"/>
    <w:rsid w:val="006037EE"/>
    <w:rsid w:val="00603D34"/>
    <w:rsid w:val="00623599"/>
    <w:rsid w:val="006267E6"/>
    <w:rsid w:val="00633A3B"/>
    <w:rsid w:val="00642612"/>
    <w:rsid w:val="006558D2"/>
    <w:rsid w:val="00671DC8"/>
    <w:rsid w:val="00672D25"/>
    <w:rsid w:val="006738BC"/>
    <w:rsid w:val="00693C70"/>
    <w:rsid w:val="006B2165"/>
    <w:rsid w:val="006D06B7"/>
    <w:rsid w:val="006D3E69"/>
    <w:rsid w:val="006E0971"/>
    <w:rsid w:val="006E5803"/>
    <w:rsid w:val="0076629F"/>
    <w:rsid w:val="007709F6"/>
    <w:rsid w:val="00783215"/>
    <w:rsid w:val="007965FC"/>
    <w:rsid w:val="007C334C"/>
    <w:rsid w:val="007D2608"/>
    <w:rsid w:val="007F2B54"/>
    <w:rsid w:val="008164E5"/>
    <w:rsid w:val="00824153"/>
    <w:rsid w:val="00830081"/>
    <w:rsid w:val="008467D7"/>
    <w:rsid w:val="00852541"/>
    <w:rsid w:val="00865D47"/>
    <w:rsid w:val="0088452C"/>
    <w:rsid w:val="008B6A2F"/>
    <w:rsid w:val="008D7DCB"/>
    <w:rsid w:val="009055DB"/>
    <w:rsid w:val="00905ECB"/>
    <w:rsid w:val="0096165D"/>
    <w:rsid w:val="00993E91"/>
    <w:rsid w:val="009A409F"/>
    <w:rsid w:val="009B5845"/>
    <w:rsid w:val="009C0C1F"/>
    <w:rsid w:val="009E7483"/>
    <w:rsid w:val="00A10505"/>
    <w:rsid w:val="00A1288B"/>
    <w:rsid w:val="00A53203"/>
    <w:rsid w:val="00A772EB"/>
    <w:rsid w:val="00B01BA6"/>
    <w:rsid w:val="00B05AFB"/>
    <w:rsid w:val="00B16D01"/>
    <w:rsid w:val="00B24C1B"/>
    <w:rsid w:val="00B3526B"/>
    <w:rsid w:val="00B4708A"/>
    <w:rsid w:val="00B62C41"/>
    <w:rsid w:val="00B962A7"/>
    <w:rsid w:val="00BC1DC0"/>
    <w:rsid w:val="00BF623B"/>
    <w:rsid w:val="00C035D4"/>
    <w:rsid w:val="00C679BF"/>
    <w:rsid w:val="00C766D6"/>
    <w:rsid w:val="00C81BBD"/>
    <w:rsid w:val="00C943EE"/>
    <w:rsid w:val="00CD1911"/>
    <w:rsid w:val="00CD3132"/>
    <w:rsid w:val="00CE27CD"/>
    <w:rsid w:val="00D134F3"/>
    <w:rsid w:val="00D23934"/>
    <w:rsid w:val="00D47D01"/>
    <w:rsid w:val="00D774B3"/>
    <w:rsid w:val="00DA1D93"/>
    <w:rsid w:val="00DD1215"/>
    <w:rsid w:val="00DD35A5"/>
    <w:rsid w:val="00DE2948"/>
    <w:rsid w:val="00DE336E"/>
    <w:rsid w:val="00DE6851"/>
    <w:rsid w:val="00DF68BE"/>
    <w:rsid w:val="00DF712A"/>
    <w:rsid w:val="00E03D4C"/>
    <w:rsid w:val="00E25DF4"/>
    <w:rsid w:val="00E3485D"/>
    <w:rsid w:val="00E6619B"/>
    <w:rsid w:val="00E75D8E"/>
    <w:rsid w:val="00E908D7"/>
    <w:rsid w:val="00E93ED9"/>
    <w:rsid w:val="00E97798"/>
    <w:rsid w:val="00EA1CE4"/>
    <w:rsid w:val="00EA69AC"/>
    <w:rsid w:val="00EB40A1"/>
    <w:rsid w:val="00EC1862"/>
    <w:rsid w:val="00EC3112"/>
    <w:rsid w:val="00EC5405"/>
    <w:rsid w:val="00ED5E57"/>
    <w:rsid w:val="00EE1BD8"/>
    <w:rsid w:val="00F07478"/>
    <w:rsid w:val="00F46BAB"/>
    <w:rsid w:val="00F61014"/>
    <w:rsid w:val="00F95F83"/>
    <w:rsid w:val="00FA5BBE"/>
    <w:rsid w:val="00FB4EF6"/>
    <w:rsid w:val="00FE17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A55A4"/>
  <w15:docId w15:val="{14F87264-242A-4D55-9101-1C987F73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97798"/>
    <w:rPr>
      <w:sz w:val="16"/>
      <w:szCs w:val="16"/>
    </w:rPr>
  </w:style>
  <w:style w:type="paragraph" w:styleId="Tekstopmerking">
    <w:name w:val="annotation text"/>
    <w:basedOn w:val="Standaard"/>
    <w:link w:val="TekstopmerkingChar"/>
    <w:unhideWhenUsed/>
    <w:rsid w:val="00E97798"/>
    <w:rPr>
      <w:sz w:val="20"/>
    </w:rPr>
  </w:style>
  <w:style w:type="character" w:customStyle="1" w:styleId="TekstopmerkingChar">
    <w:name w:val="Tekst opmerking Char"/>
    <w:basedOn w:val="Standaardalinea-lettertype"/>
    <w:link w:val="Tekstopmerking"/>
    <w:rsid w:val="00E97798"/>
  </w:style>
  <w:style w:type="paragraph" w:styleId="Onderwerpvanopmerking">
    <w:name w:val="annotation subject"/>
    <w:basedOn w:val="Tekstopmerking"/>
    <w:next w:val="Tekstopmerking"/>
    <w:link w:val="OnderwerpvanopmerkingChar"/>
    <w:semiHidden/>
    <w:unhideWhenUsed/>
    <w:rsid w:val="00E97798"/>
    <w:rPr>
      <w:b/>
      <w:bCs/>
    </w:rPr>
  </w:style>
  <w:style w:type="character" w:customStyle="1" w:styleId="OnderwerpvanopmerkingChar">
    <w:name w:val="Onderwerp van opmerking Char"/>
    <w:basedOn w:val="TekstopmerkingChar"/>
    <w:link w:val="Onderwerpvanopmerking"/>
    <w:semiHidden/>
    <w:rsid w:val="00E97798"/>
    <w:rPr>
      <w:b/>
      <w:bCs/>
    </w:rPr>
  </w:style>
  <w:style w:type="paragraph" w:styleId="Revisie">
    <w:name w:val="Revision"/>
    <w:hidden/>
    <w:uiPriority w:val="99"/>
    <w:semiHidden/>
    <w:rsid w:val="00091991"/>
    <w:rPr>
      <w:sz w:val="24"/>
    </w:rPr>
  </w:style>
  <w:style w:type="character" w:styleId="Voetnootmarkering">
    <w:name w:val="footnote reference"/>
    <w:basedOn w:val="Standaardalinea-lettertype"/>
    <w:semiHidden/>
    <w:unhideWhenUsed/>
    <w:rsid w:val="006D06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427</ap:Words>
  <ap:Characters>2597</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2026-03-24T09:26:00.0000000Z</dcterms:created>
  <dcterms:modified xsi:type="dcterms:W3CDTF">2026-03-24T09:26:00.0000000Z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