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B741D" w:rsidTr="00D9561B" w14:paraId="59D11F98" w14:textId="77777777">
        <w:trPr>
          <w:trHeight w:val="1514"/>
        </w:trPr>
        <w:tc>
          <w:tcPr>
            <w:tcW w:w="7522" w:type="dxa"/>
            <w:tcBorders>
              <w:top w:val="nil"/>
              <w:left w:val="nil"/>
              <w:bottom w:val="nil"/>
              <w:right w:val="nil"/>
            </w:tcBorders>
            <w:tcMar>
              <w:left w:w="0" w:type="dxa"/>
              <w:right w:w="0" w:type="dxa"/>
            </w:tcMar>
          </w:tcPr>
          <w:p w:rsidR="00374412" w:rsidP="00D9561B" w:rsidRDefault="0059193B" w14:paraId="246E5752" w14:textId="77777777">
            <w:r>
              <w:t>De v</w:t>
            </w:r>
            <w:r w:rsidR="008E3932">
              <w:t>oorzitter van de Tweede Kamer der Staten-Generaal</w:t>
            </w:r>
          </w:p>
          <w:p w:rsidR="00374412" w:rsidP="00D9561B" w:rsidRDefault="0059193B" w14:paraId="3818BDBB" w14:textId="77777777">
            <w:r>
              <w:t>Postbus 20018</w:t>
            </w:r>
          </w:p>
          <w:p w:rsidR="008E3932" w:rsidP="00D9561B" w:rsidRDefault="0059193B" w14:paraId="283379B7" w14:textId="4F0AD8B1">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B741D" w:rsidTr="00FF66F9" w14:paraId="05E5892F" w14:textId="77777777">
        <w:trPr>
          <w:trHeight w:val="289" w:hRule="exact"/>
        </w:trPr>
        <w:tc>
          <w:tcPr>
            <w:tcW w:w="929" w:type="dxa"/>
          </w:tcPr>
          <w:p w:rsidRPr="00434042" w:rsidR="0005404B" w:rsidP="00FF66F9" w:rsidRDefault="0059193B" w14:paraId="46B5FA50" w14:textId="77777777">
            <w:pPr>
              <w:rPr>
                <w:lang w:eastAsia="en-US"/>
              </w:rPr>
            </w:pPr>
            <w:r>
              <w:rPr>
                <w:lang w:eastAsia="en-US"/>
              </w:rPr>
              <w:t>Datum</w:t>
            </w:r>
          </w:p>
        </w:tc>
        <w:tc>
          <w:tcPr>
            <w:tcW w:w="6581" w:type="dxa"/>
          </w:tcPr>
          <w:p w:rsidRPr="00434042" w:rsidR="0005404B" w:rsidP="00FF66F9" w:rsidRDefault="002C3F75" w14:paraId="4E509EB6" w14:textId="2EF48CA7">
            <w:pPr>
              <w:rPr>
                <w:lang w:eastAsia="en-US"/>
              </w:rPr>
            </w:pPr>
            <w:r>
              <w:rPr>
                <w:lang w:eastAsia="en-US"/>
              </w:rPr>
              <w:t>24 maart 2026</w:t>
            </w:r>
          </w:p>
        </w:tc>
      </w:tr>
      <w:tr w:rsidR="00CB741D" w:rsidTr="00FF66F9" w14:paraId="3710BA1B" w14:textId="77777777">
        <w:trPr>
          <w:trHeight w:val="368"/>
        </w:trPr>
        <w:tc>
          <w:tcPr>
            <w:tcW w:w="929" w:type="dxa"/>
          </w:tcPr>
          <w:p w:rsidR="0005404B" w:rsidP="00FF66F9" w:rsidRDefault="0059193B" w14:paraId="51CC741D" w14:textId="77777777">
            <w:pPr>
              <w:rPr>
                <w:lang w:eastAsia="en-US"/>
              </w:rPr>
            </w:pPr>
            <w:r>
              <w:rPr>
                <w:lang w:eastAsia="en-US"/>
              </w:rPr>
              <w:t>Betreft</w:t>
            </w:r>
          </w:p>
        </w:tc>
        <w:tc>
          <w:tcPr>
            <w:tcW w:w="6581" w:type="dxa"/>
          </w:tcPr>
          <w:p w:rsidR="0005404B" w:rsidP="00FF66F9" w:rsidRDefault="0059193B" w14:paraId="2B8F648A" w14:textId="77777777">
            <w:pPr>
              <w:rPr>
                <w:lang w:eastAsia="en-US"/>
              </w:rPr>
            </w:pPr>
            <w:r>
              <w:rPr>
                <w:lang w:eastAsia="en-US"/>
              </w:rPr>
              <w:t>Beleidsreactie "Een kwestie van lange adem"</w:t>
            </w:r>
          </w:p>
        </w:tc>
      </w:tr>
    </w:tbl>
    <w:p w:rsidR="00CB741D" w:rsidRDefault="00CB741D" w14:paraId="17C06B96" w14:textId="1C2C4FF0"/>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63478" w:rsidR="00CB741D" w:rsidTr="00A421A1" w14:paraId="13F02C93" w14:textId="77777777">
        <w:tc>
          <w:tcPr>
            <w:tcW w:w="2160" w:type="dxa"/>
          </w:tcPr>
          <w:p w:rsidRPr="00F53C9D" w:rsidR="006205C0" w:rsidP="00686AED" w:rsidRDefault="0059193B" w14:paraId="4BEC21CC" w14:textId="77777777">
            <w:pPr>
              <w:pStyle w:val="Colofonkop"/>
              <w:framePr w:hSpace="0" w:wrap="auto" w:hAnchor="text" w:vAnchor="margin" w:xAlign="left" w:yAlign="inline"/>
            </w:pPr>
            <w:r>
              <w:t>Onderwijspersoneel en Primair Onderwijs</w:t>
            </w:r>
          </w:p>
          <w:p w:rsidR="006205C0" w:rsidP="00A421A1" w:rsidRDefault="0059193B" w14:paraId="3CD973D0" w14:textId="77777777">
            <w:pPr>
              <w:pStyle w:val="Huisstijl-Gegeven"/>
              <w:spacing w:after="0"/>
            </w:pPr>
            <w:r>
              <w:t xml:space="preserve">Rijnstraat 50 </w:t>
            </w:r>
          </w:p>
          <w:p w:rsidR="004425A7" w:rsidP="00E972A2" w:rsidRDefault="0059193B" w14:paraId="7D3CD132" w14:textId="77777777">
            <w:pPr>
              <w:pStyle w:val="Huisstijl-Gegeven"/>
              <w:spacing w:after="0"/>
            </w:pPr>
            <w:r>
              <w:t>Den Haag</w:t>
            </w:r>
          </w:p>
          <w:p w:rsidR="004425A7" w:rsidP="00E972A2" w:rsidRDefault="0059193B" w14:paraId="213254D1" w14:textId="77777777">
            <w:pPr>
              <w:pStyle w:val="Huisstijl-Gegeven"/>
              <w:spacing w:after="0"/>
            </w:pPr>
            <w:r>
              <w:t>Postbus 16375</w:t>
            </w:r>
          </w:p>
          <w:p w:rsidR="004425A7" w:rsidP="00E972A2" w:rsidRDefault="0059193B" w14:paraId="22EC8DE6" w14:textId="77777777">
            <w:pPr>
              <w:pStyle w:val="Huisstijl-Gegeven"/>
              <w:spacing w:after="0"/>
            </w:pPr>
            <w:r>
              <w:t>2500 BJ Den Haag</w:t>
            </w:r>
          </w:p>
          <w:p w:rsidRPr="00B63478" w:rsidR="006205C0" w:rsidP="00B63478" w:rsidRDefault="0059193B" w14:paraId="6A387BBF" w14:textId="6FB36A82">
            <w:pPr>
              <w:pStyle w:val="Huisstijl-Gegeven"/>
              <w:spacing w:after="90"/>
              <w:rPr>
                <w:lang w:val="en-US"/>
              </w:rPr>
            </w:pPr>
            <w:r w:rsidRPr="0059193B">
              <w:rPr>
                <w:lang w:val="en-US"/>
              </w:rPr>
              <w:t>www.rijksoverheid.nl</w:t>
            </w:r>
          </w:p>
        </w:tc>
      </w:tr>
      <w:tr w:rsidRPr="00B63478" w:rsidR="00CB741D" w:rsidTr="00A421A1" w14:paraId="6C50F212" w14:textId="77777777">
        <w:trPr>
          <w:trHeight w:val="200" w:hRule="exact"/>
        </w:trPr>
        <w:tc>
          <w:tcPr>
            <w:tcW w:w="2160" w:type="dxa"/>
          </w:tcPr>
          <w:p w:rsidRPr="0059193B" w:rsidR="006205C0" w:rsidP="00A421A1" w:rsidRDefault="006205C0" w14:paraId="7FEAC33D" w14:textId="77777777">
            <w:pPr>
              <w:spacing w:after="90" w:line="180" w:lineRule="exact"/>
              <w:rPr>
                <w:sz w:val="13"/>
                <w:szCs w:val="13"/>
                <w:lang w:val="en-US"/>
              </w:rPr>
            </w:pPr>
          </w:p>
        </w:tc>
      </w:tr>
      <w:tr w:rsidR="00CB741D" w:rsidTr="00A421A1" w14:paraId="171C3D1D" w14:textId="77777777">
        <w:trPr>
          <w:trHeight w:val="450"/>
        </w:trPr>
        <w:tc>
          <w:tcPr>
            <w:tcW w:w="2160" w:type="dxa"/>
          </w:tcPr>
          <w:p w:rsidR="00F51A76" w:rsidP="00A421A1" w:rsidRDefault="0059193B" w14:paraId="78638091" w14:textId="77777777">
            <w:pPr>
              <w:spacing w:line="180" w:lineRule="exact"/>
              <w:rPr>
                <w:b/>
                <w:sz w:val="13"/>
                <w:szCs w:val="13"/>
              </w:rPr>
            </w:pPr>
            <w:r>
              <w:rPr>
                <w:b/>
                <w:sz w:val="13"/>
                <w:szCs w:val="13"/>
              </w:rPr>
              <w:t>Onze referentie</w:t>
            </w:r>
          </w:p>
          <w:p w:rsidRPr="00FA7882" w:rsidR="006205C0" w:rsidP="00215356" w:rsidRDefault="0059193B" w14:paraId="1C482766" w14:textId="77777777">
            <w:pPr>
              <w:spacing w:line="180" w:lineRule="exact"/>
              <w:rPr>
                <w:sz w:val="13"/>
                <w:szCs w:val="13"/>
              </w:rPr>
            </w:pPr>
            <w:r>
              <w:rPr>
                <w:sz w:val="13"/>
                <w:szCs w:val="13"/>
              </w:rPr>
              <w:t>62714439</w:t>
            </w:r>
          </w:p>
        </w:tc>
      </w:tr>
      <w:tr w:rsidR="00CB741D" w:rsidTr="00D130C0" w14:paraId="79CE1F2A" w14:textId="77777777">
        <w:trPr>
          <w:trHeight w:val="113"/>
        </w:trPr>
        <w:tc>
          <w:tcPr>
            <w:tcW w:w="2160" w:type="dxa"/>
          </w:tcPr>
          <w:p w:rsidRPr="00C5333A" w:rsidR="006205C0" w:rsidP="00D36088" w:rsidRDefault="0059193B" w14:paraId="316138D5" w14:textId="77777777">
            <w:pPr>
              <w:tabs>
                <w:tab w:val="center" w:pos="1080"/>
              </w:tabs>
              <w:spacing w:line="180" w:lineRule="exact"/>
              <w:rPr>
                <w:sz w:val="13"/>
                <w:szCs w:val="13"/>
              </w:rPr>
            </w:pPr>
            <w:r>
              <w:rPr>
                <w:b/>
                <w:sz w:val="13"/>
                <w:szCs w:val="13"/>
              </w:rPr>
              <w:t>Bijlagen</w:t>
            </w:r>
          </w:p>
        </w:tc>
      </w:tr>
      <w:tr w:rsidR="00CB741D" w:rsidTr="00D130C0" w14:paraId="3C2A9700" w14:textId="77777777">
        <w:trPr>
          <w:trHeight w:val="113"/>
        </w:trPr>
        <w:tc>
          <w:tcPr>
            <w:tcW w:w="2160" w:type="dxa"/>
          </w:tcPr>
          <w:p w:rsidRPr="00D74F66" w:rsidR="006205C0" w:rsidP="00A421A1" w:rsidRDefault="000D13ED" w14:paraId="738E7BA6" w14:textId="00150B80">
            <w:pPr>
              <w:spacing w:after="90" w:line="180" w:lineRule="exact"/>
              <w:rPr>
                <w:sz w:val="13"/>
              </w:rPr>
            </w:pPr>
            <w:r>
              <w:rPr>
                <w:sz w:val="13"/>
              </w:rPr>
              <w:t>1</w:t>
            </w:r>
          </w:p>
        </w:tc>
      </w:tr>
    </w:tbl>
    <w:p w:rsidRPr="00B63478" w:rsidR="0059193B" w:rsidP="0059193B" w:rsidRDefault="0059193B" w14:paraId="0DDE8DF2" w14:textId="2E88FD3B">
      <w:pPr>
        <w:rPr>
          <w:szCs w:val="18"/>
        </w:rPr>
      </w:pPr>
      <w:r w:rsidRPr="00B63478">
        <w:rPr>
          <w:szCs w:val="18"/>
        </w:rPr>
        <w:t xml:space="preserve">Met grote interesse hebben we kennisgenomen van de historische analyse die in opdracht van de </w:t>
      </w:r>
      <w:r w:rsidR="00B63478">
        <w:rPr>
          <w:szCs w:val="18"/>
        </w:rPr>
        <w:t xml:space="preserve">Tweede Kamer </w:t>
      </w:r>
      <w:r w:rsidRPr="00B63478">
        <w:rPr>
          <w:szCs w:val="18"/>
        </w:rPr>
        <w:t>is uitgevoerd naar dertig jaar beleid gericht op het lerarentekort. De commissie heeft verzocht o</w:t>
      </w:r>
      <w:r w:rsidR="00B63478">
        <w:rPr>
          <w:szCs w:val="18"/>
        </w:rPr>
        <w:t>m een reactie voor</w:t>
      </w:r>
      <w:r w:rsidRPr="00B63478">
        <w:rPr>
          <w:szCs w:val="18"/>
        </w:rPr>
        <w:t xml:space="preserve"> het commissiedebat Leraren </w:t>
      </w:r>
      <w:r w:rsidR="00B63478">
        <w:rPr>
          <w:szCs w:val="18"/>
        </w:rPr>
        <w:t>op</w:t>
      </w:r>
      <w:r w:rsidRPr="00B63478">
        <w:rPr>
          <w:szCs w:val="18"/>
        </w:rPr>
        <w:t xml:space="preserve"> 25 maart 2026. Gezien de omvang en reikwijdte van het voorliggende onderzoek is het nu te vroeg om te komen met een complete reactie</w:t>
      </w:r>
      <w:r w:rsidR="00384495">
        <w:rPr>
          <w:szCs w:val="18"/>
        </w:rPr>
        <w:t>, waarin ook de samenhang met het onderwijsbeleid wordt geschetst.</w:t>
      </w:r>
      <w:r w:rsidRPr="00384495" w:rsidR="00384495">
        <w:rPr>
          <w:szCs w:val="18"/>
        </w:rPr>
        <w:t xml:space="preserve"> </w:t>
      </w:r>
      <w:r w:rsidRPr="00B63478" w:rsidR="00384495">
        <w:rPr>
          <w:szCs w:val="18"/>
        </w:rPr>
        <w:t xml:space="preserve">In deze brief wordt </w:t>
      </w:r>
      <w:r w:rsidR="00384495">
        <w:rPr>
          <w:szCs w:val="18"/>
        </w:rPr>
        <w:t xml:space="preserve">daarom </w:t>
      </w:r>
      <w:r w:rsidRPr="00B63478" w:rsidR="00384495">
        <w:rPr>
          <w:szCs w:val="18"/>
        </w:rPr>
        <w:t xml:space="preserve">een beknopte eerste reactie </w:t>
      </w:r>
      <w:r w:rsidR="00384495">
        <w:rPr>
          <w:szCs w:val="18"/>
        </w:rPr>
        <w:t>ge</w:t>
      </w:r>
      <w:r w:rsidRPr="00B63478" w:rsidR="00384495">
        <w:rPr>
          <w:szCs w:val="18"/>
        </w:rPr>
        <w:t>geven</w:t>
      </w:r>
      <w:r w:rsidR="00384495">
        <w:rPr>
          <w:szCs w:val="18"/>
        </w:rPr>
        <w:t>.</w:t>
      </w:r>
      <w:r w:rsidRPr="00B63478" w:rsidDel="00384495" w:rsidR="00384495">
        <w:rPr>
          <w:szCs w:val="18"/>
        </w:rPr>
        <w:t xml:space="preserve"> </w:t>
      </w:r>
      <w:r w:rsidRPr="00B63478" w:rsidR="002C0644">
        <w:rPr>
          <w:szCs w:val="18"/>
        </w:rPr>
        <w:br/>
      </w:r>
      <w:r w:rsidRPr="00B63478">
        <w:rPr>
          <w:szCs w:val="18"/>
        </w:rPr>
        <w:t xml:space="preserve"> </w:t>
      </w:r>
    </w:p>
    <w:p w:rsidRPr="00B63478" w:rsidR="0059193B" w:rsidP="0059193B" w:rsidRDefault="0059193B" w14:paraId="2DF83855" w14:textId="1B165294">
      <w:pPr>
        <w:rPr>
          <w:szCs w:val="18"/>
        </w:rPr>
      </w:pPr>
      <w:r w:rsidRPr="00B63478">
        <w:rPr>
          <w:szCs w:val="18"/>
        </w:rPr>
        <w:t>In de komende maanden gaan we in gesprek met leraren,</w:t>
      </w:r>
      <w:r w:rsidR="002027AC">
        <w:rPr>
          <w:szCs w:val="18"/>
        </w:rPr>
        <w:t xml:space="preserve"> lerarenopleidingen,</w:t>
      </w:r>
      <w:r w:rsidRPr="00B63478">
        <w:rPr>
          <w:szCs w:val="18"/>
        </w:rPr>
        <w:t xml:space="preserve"> schoolleiders, besturen, onderwijsregio’s</w:t>
      </w:r>
      <w:r w:rsidR="00B8552F">
        <w:rPr>
          <w:szCs w:val="18"/>
        </w:rPr>
        <w:t>, scholieren en ouders</w:t>
      </w:r>
      <w:r w:rsidRPr="00B63478">
        <w:rPr>
          <w:szCs w:val="18"/>
        </w:rPr>
        <w:t xml:space="preserve"> en </w:t>
      </w:r>
      <w:r w:rsidR="00C4572C">
        <w:rPr>
          <w:szCs w:val="18"/>
        </w:rPr>
        <w:t>het georganiseerde onderwijsveld</w:t>
      </w:r>
      <w:r w:rsidR="00C4572C">
        <w:rPr>
          <w:rStyle w:val="Voetnootmarkering"/>
          <w:szCs w:val="18"/>
        </w:rPr>
        <w:footnoteReference w:id="1"/>
      </w:r>
      <w:r w:rsidRPr="00B63478">
        <w:rPr>
          <w:szCs w:val="18"/>
        </w:rPr>
        <w:t xml:space="preserve"> om over deze analyse </w:t>
      </w:r>
      <w:r w:rsidR="00384495">
        <w:rPr>
          <w:szCs w:val="18"/>
        </w:rPr>
        <w:t xml:space="preserve">en de aanbevelingen in </w:t>
      </w:r>
      <w:r w:rsidRPr="00B63478">
        <w:rPr>
          <w:szCs w:val="18"/>
        </w:rPr>
        <w:t>te spreken.</w:t>
      </w:r>
      <w:r w:rsidR="00384495">
        <w:rPr>
          <w:szCs w:val="18"/>
        </w:rPr>
        <w:t xml:space="preserve"> De uitkomsten en inzichten daaruit neem ik mee in de strategie voor het lerarenbeleid, waarover u in de zomer nader wordt geïnformeerd.</w:t>
      </w:r>
      <w:r w:rsidRPr="00B63478">
        <w:rPr>
          <w:szCs w:val="18"/>
        </w:rPr>
        <w:t xml:space="preserve"> </w:t>
      </w:r>
    </w:p>
    <w:p w:rsidRPr="00B63478" w:rsidR="002C0644" w:rsidP="0059193B" w:rsidRDefault="002C0644" w14:paraId="7CB65E40" w14:textId="77777777">
      <w:pPr>
        <w:rPr>
          <w:szCs w:val="18"/>
        </w:rPr>
      </w:pPr>
    </w:p>
    <w:tbl>
      <w:tblPr>
        <w:tblStyle w:val="Tabelraster"/>
        <w:tblW w:w="8789" w:type="dxa"/>
        <w:tblInd w:w="108" w:type="dxa"/>
        <w:tblLook w:val="04A0" w:firstRow="1" w:lastRow="0" w:firstColumn="1" w:lastColumn="0" w:noHBand="0" w:noVBand="1"/>
      </w:tblPr>
      <w:tblGrid>
        <w:gridCol w:w="8789"/>
      </w:tblGrid>
      <w:tr w:rsidRPr="00B63478" w:rsidR="0059193B" w:rsidTr="00B63478" w14:paraId="18B4C9C2" w14:textId="77777777">
        <w:tc>
          <w:tcPr>
            <w:tcW w:w="8789" w:type="dxa"/>
          </w:tcPr>
          <w:p w:rsidRPr="00B63478" w:rsidR="0059193B" w:rsidP="003323A3" w:rsidRDefault="0059193B" w14:paraId="613037CC" w14:textId="77777777">
            <w:pPr>
              <w:rPr>
                <w:szCs w:val="18"/>
              </w:rPr>
            </w:pPr>
            <w:r w:rsidRPr="00B63478">
              <w:rPr>
                <w:b/>
                <w:i/>
                <w:szCs w:val="18"/>
              </w:rPr>
              <w:t>Hoofdlijnen onderzoek “Een kwestie van lange adem”</w:t>
            </w:r>
          </w:p>
          <w:p w:rsidRPr="00B63478" w:rsidR="0059193B" w:rsidP="003323A3" w:rsidRDefault="0059193B" w14:paraId="11D9830D" w14:textId="77777777">
            <w:pPr>
              <w:rPr>
                <w:szCs w:val="18"/>
              </w:rPr>
            </w:pPr>
            <w:r w:rsidRPr="00B63478">
              <w:rPr>
                <w:szCs w:val="18"/>
              </w:rPr>
              <w:t xml:space="preserve">Uit het rapport blijkt dat historisch gezien op de onderwijsarbeidsmarkt door de jaren heen tekorten, overschotten en balans elkaar afwisselen. Deze ontwikkelingen bewegen mee met externe factoren zoals de algemene conjunctuur en bezuinigingen op het onderwijs. Ook is er sinds eind jaren tachtig een omslag geweest van de sturingsfilosofie van centrale naar decentrale aansturing. Scholen hebben daarmee meer autonomie gekregen en de sociale partners meer ruimte om te onderhandelen over arbeidsvoorwaarden. </w:t>
            </w:r>
          </w:p>
          <w:p w:rsidRPr="00B63478" w:rsidR="0059193B" w:rsidP="003323A3" w:rsidRDefault="0059193B" w14:paraId="60853973" w14:textId="77777777">
            <w:pPr>
              <w:rPr>
                <w:szCs w:val="18"/>
              </w:rPr>
            </w:pPr>
          </w:p>
          <w:p w:rsidRPr="00B63478" w:rsidR="0059193B" w:rsidP="003323A3" w:rsidRDefault="00C72B2E" w14:paraId="71F9E5AA" w14:textId="3B700347">
            <w:pPr>
              <w:rPr>
                <w:szCs w:val="18"/>
              </w:rPr>
            </w:pPr>
            <w:r>
              <w:rPr>
                <w:szCs w:val="18"/>
              </w:rPr>
              <w:t>Voor</w:t>
            </w:r>
            <w:r w:rsidRPr="00B63478" w:rsidR="0059193B">
              <w:rPr>
                <w:szCs w:val="18"/>
              </w:rPr>
              <w:t xml:space="preserve"> 2007 </w:t>
            </w:r>
            <w:r>
              <w:rPr>
                <w:szCs w:val="18"/>
              </w:rPr>
              <w:t xml:space="preserve">lag de focus van het beleid </w:t>
            </w:r>
            <w:r w:rsidRPr="00B63478" w:rsidR="0059193B">
              <w:rPr>
                <w:szCs w:val="18"/>
              </w:rPr>
              <w:t>met name op het verhogen van de instroom</w:t>
            </w:r>
            <w:r>
              <w:rPr>
                <w:szCs w:val="18"/>
              </w:rPr>
              <w:t>.</w:t>
            </w:r>
            <w:r w:rsidRPr="00B63478" w:rsidR="0059193B">
              <w:rPr>
                <w:szCs w:val="18"/>
              </w:rPr>
              <w:t xml:space="preserve"> </w:t>
            </w:r>
            <w:r>
              <w:rPr>
                <w:szCs w:val="18"/>
              </w:rPr>
              <w:t>S</w:t>
            </w:r>
            <w:r w:rsidRPr="00B63478" w:rsidR="0059193B">
              <w:rPr>
                <w:szCs w:val="18"/>
              </w:rPr>
              <w:t xml:space="preserve">indsdien </w:t>
            </w:r>
            <w:r>
              <w:rPr>
                <w:szCs w:val="18"/>
              </w:rPr>
              <w:t xml:space="preserve">is het beleid </w:t>
            </w:r>
            <w:r w:rsidRPr="00B63478" w:rsidR="0059193B">
              <w:rPr>
                <w:szCs w:val="18"/>
              </w:rPr>
              <w:t xml:space="preserve">verbreed en geïntensiveerd. Daarmee is ook de beleidscomplexiteit toegenomen. In combinatie met externe factoren zoals conjunctuur heeft dit geleid tot het balanceren tussen streven naar de kwantiteit van onderwijspersoneel enerzijds en de kwaliteit van leraren(opleidingen) anderzijds. Ondanks </w:t>
            </w:r>
            <w:r w:rsidRPr="00B63478" w:rsidR="002C0644">
              <w:rPr>
                <w:szCs w:val="18"/>
              </w:rPr>
              <w:t xml:space="preserve">deze inzet </w:t>
            </w:r>
            <w:r w:rsidRPr="00B63478" w:rsidR="0059193B">
              <w:rPr>
                <w:szCs w:val="18"/>
              </w:rPr>
              <w:t xml:space="preserve">zijn de beoogde resultaten volgens de onderzoekers niet altijd behaald. Dit heeft volgens het rapport onder andere te maken met de focus op instroom binnen het beleid, bezuinigingen op arbeidsvoorwaarden en problemen met betrekking tot de sturing. </w:t>
            </w:r>
          </w:p>
          <w:p w:rsidRPr="00B63478" w:rsidR="0059193B" w:rsidP="003323A3" w:rsidRDefault="0059193B" w14:paraId="1AEC9263" w14:textId="77777777">
            <w:pPr>
              <w:rPr>
                <w:szCs w:val="18"/>
              </w:rPr>
            </w:pPr>
          </w:p>
          <w:p w:rsidRPr="00B63478" w:rsidR="0059193B" w:rsidP="003323A3" w:rsidRDefault="0059193B" w14:paraId="00B89B89" w14:textId="77777777">
            <w:pPr>
              <w:rPr>
                <w:szCs w:val="18"/>
              </w:rPr>
            </w:pPr>
            <w:r w:rsidRPr="00B63478">
              <w:rPr>
                <w:szCs w:val="18"/>
              </w:rPr>
              <w:t>Om het tij te keren wordt in het rapport een aantal suggesties gegeven voor beleid.</w:t>
            </w:r>
          </w:p>
          <w:p w:rsidRPr="00B63478" w:rsidR="0059193B" w:rsidP="003323A3" w:rsidRDefault="0059193B" w14:paraId="453399C1" w14:textId="77777777">
            <w:pPr>
              <w:rPr>
                <w:szCs w:val="18"/>
              </w:rPr>
            </w:pPr>
          </w:p>
          <w:p w:rsidRPr="00B63478" w:rsidR="0059193B" w:rsidP="0059193B" w:rsidRDefault="0059193B" w14:paraId="679E69CA" w14:textId="77777777">
            <w:pPr>
              <w:pStyle w:val="Lijstalinea"/>
              <w:numPr>
                <w:ilvl w:val="0"/>
                <w:numId w:val="15"/>
              </w:numPr>
              <w:spacing w:after="0" w:line="240" w:lineRule="auto"/>
              <w:rPr>
                <w:rFonts w:ascii="Verdana" w:hAnsi="Verdana"/>
                <w:sz w:val="18"/>
                <w:szCs w:val="18"/>
              </w:rPr>
            </w:pPr>
            <w:r w:rsidRPr="00B63478">
              <w:rPr>
                <w:rFonts w:ascii="Verdana" w:hAnsi="Verdana"/>
                <w:sz w:val="18"/>
                <w:szCs w:val="18"/>
              </w:rPr>
              <w:t>Koersvastheid in het onderwijsarbeidsmarktbeleid</w:t>
            </w:r>
          </w:p>
          <w:p w:rsidRPr="00B63478" w:rsidR="0059193B" w:rsidP="0059193B" w:rsidRDefault="0059193B" w14:paraId="0689CD05" w14:textId="73CF5B3A">
            <w:pPr>
              <w:pStyle w:val="Lijstalinea"/>
              <w:ind w:left="360"/>
              <w:rPr>
                <w:rFonts w:ascii="Verdana" w:hAnsi="Verdana"/>
                <w:sz w:val="18"/>
                <w:szCs w:val="18"/>
              </w:rPr>
            </w:pPr>
            <w:r w:rsidRPr="00B63478">
              <w:rPr>
                <w:rFonts w:ascii="Verdana" w:hAnsi="Verdana"/>
                <w:sz w:val="18"/>
                <w:szCs w:val="18"/>
              </w:rPr>
              <w:t>Het rapport adviseert om geen stelselwijzigingen door te voeren maar toe te werken naar coherente en consistente doelstellingen om synergie op lange termijn te bereiken. Hiervoor is het nodig een samenhangende beleidstheorie te ontwikkelen en dat te vertalen naar een actieplan.</w:t>
            </w:r>
            <w:r w:rsidRPr="00B63478">
              <w:rPr>
                <w:rFonts w:ascii="Verdana" w:hAnsi="Verdana"/>
                <w:sz w:val="18"/>
                <w:szCs w:val="18"/>
              </w:rPr>
              <w:br/>
            </w:r>
          </w:p>
          <w:p w:rsidRPr="00B63478" w:rsidR="0059193B" w:rsidP="0059193B" w:rsidRDefault="0059193B" w14:paraId="6F8AF3C8" w14:textId="77777777">
            <w:pPr>
              <w:pStyle w:val="Lijstalinea"/>
              <w:numPr>
                <w:ilvl w:val="0"/>
                <w:numId w:val="15"/>
              </w:numPr>
              <w:spacing w:after="0" w:line="240" w:lineRule="auto"/>
              <w:rPr>
                <w:rFonts w:ascii="Verdana" w:hAnsi="Verdana"/>
                <w:sz w:val="18"/>
                <w:szCs w:val="18"/>
              </w:rPr>
            </w:pPr>
            <w:r w:rsidRPr="00B63478">
              <w:rPr>
                <w:rFonts w:ascii="Verdana" w:hAnsi="Verdana"/>
                <w:sz w:val="18"/>
                <w:szCs w:val="18"/>
              </w:rPr>
              <w:t>Integrale aansturing</w:t>
            </w:r>
          </w:p>
          <w:p w:rsidRPr="00B63478" w:rsidR="0059193B" w:rsidP="0059193B" w:rsidRDefault="0059193B" w14:paraId="50D1CFFA" w14:textId="3016F094">
            <w:pPr>
              <w:pStyle w:val="Lijstalinea"/>
              <w:ind w:left="360"/>
              <w:rPr>
                <w:rFonts w:ascii="Verdana" w:hAnsi="Verdana"/>
                <w:sz w:val="18"/>
                <w:szCs w:val="18"/>
              </w:rPr>
            </w:pPr>
            <w:r w:rsidRPr="00B63478">
              <w:rPr>
                <w:rFonts w:ascii="Verdana" w:hAnsi="Verdana"/>
                <w:sz w:val="18"/>
                <w:szCs w:val="18"/>
              </w:rPr>
              <w:t>Er moet één visie komen gericht op de versterking van de onderwijskwaliteit. Daarbij is het nodig te verduidelijken op welke terreinen centrale regie nodig is en waar meer autonomie geldt.</w:t>
            </w:r>
            <w:r w:rsidRPr="00B63478">
              <w:rPr>
                <w:rFonts w:ascii="Verdana" w:hAnsi="Verdana"/>
                <w:sz w:val="18"/>
                <w:szCs w:val="18"/>
              </w:rPr>
              <w:br/>
            </w:r>
          </w:p>
          <w:p w:rsidRPr="00B63478" w:rsidR="0059193B" w:rsidP="0059193B" w:rsidRDefault="0059193B" w14:paraId="1C248516" w14:textId="77777777">
            <w:pPr>
              <w:pStyle w:val="Lijstalinea"/>
              <w:numPr>
                <w:ilvl w:val="0"/>
                <w:numId w:val="15"/>
              </w:numPr>
              <w:spacing w:after="0" w:line="240" w:lineRule="auto"/>
              <w:rPr>
                <w:rFonts w:ascii="Verdana" w:hAnsi="Verdana"/>
                <w:sz w:val="18"/>
                <w:szCs w:val="18"/>
              </w:rPr>
            </w:pPr>
            <w:r w:rsidRPr="00B63478">
              <w:rPr>
                <w:rFonts w:ascii="Verdana" w:hAnsi="Verdana"/>
                <w:sz w:val="18"/>
                <w:szCs w:val="18"/>
              </w:rPr>
              <w:t>Autonomie in de uitvoering</w:t>
            </w:r>
          </w:p>
          <w:p w:rsidRPr="00B63478" w:rsidR="0059193B" w:rsidP="002C0644" w:rsidRDefault="0059193B" w14:paraId="1B048D7E" w14:textId="24BF337E">
            <w:pPr>
              <w:pStyle w:val="Lijstalinea"/>
              <w:ind w:left="360"/>
              <w:rPr>
                <w:rFonts w:ascii="Verdana" w:hAnsi="Verdana"/>
                <w:sz w:val="18"/>
                <w:szCs w:val="18"/>
              </w:rPr>
            </w:pPr>
            <w:r w:rsidRPr="00B63478">
              <w:rPr>
                <w:rFonts w:ascii="Verdana" w:hAnsi="Verdana"/>
                <w:sz w:val="18"/>
                <w:szCs w:val="18"/>
              </w:rPr>
              <w:t xml:space="preserve">Binnen de centrale regie moet er voldoende bestuurlijke en professionele autonomie geboden worden. Daarvoor adviseert het rapport om een omgevingsanalyse uit te voeren naar analogie van </w:t>
            </w:r>
            <w:r w:rsidR="00D55C6B">
              <w:rPr>
                <w:rFonts w:ascii="Verdana" w:hAnsi="Verdana"/>
                <w:sz w:val="18"/>
                <w:szCs w:val="18"/>
              </w:rPr>
              <w:t>de</w:t>
            </w:r>
            <w:r w:rsidRPr="00B63478" w:rsidR="00D55C6B">
              <w:rPr>
                <w:rFonts w:ascii="Verdana" w:hAnsi="Verdana"/>
                <w:sz w:val="18"/>
                <w:szCs w:val="18"/>
              </w:rPr>
              <w:t xml:space="preserve"> </w:t>
            </w:r>
            <w:r w:rsidRPr="00B63478">
              <w:rPr>
                <w:rFonts w:ascii="Verdana" w:hAnsi="Verdana"/>
                <w:sz w:val="18"/>
                <w:szCs w:val="18"/>
              </w:rPr>
              <w:t xml:space="preserve">Milieueffectrapportage. Ook kan gedacht worden aan het versterken van de beroepsgroep door bijvoorbeeld lidmaatschap vast te leggen via </w:t>
            </w:r>
            <w:r w:rsidR="00CB081F">
              <w:rPr>
                <w:rFonts w:ascii="Verdana" w:hAnsi="Verdana"/>
                <w:sz w:val="18"/>
                <w:szCs w:val="18"/>
              </w:rPr>
              <w:t>de</w:t>
            </w:r>
            <w:r w:rsidRPr="00B63478" w:rsidR="00CB081F">
              <w:rPr>
                <w:rFonts w:ascii="Verdana" w:hAnsi="Verdana"/>
                <w:sz w:val="18"/>
                <w:szCs w:val="18"/>
              </w:rPr>
              <w:t xml:space="preserve"> </w:t>
            </w:r>
            <w:r w:rsidR="00CB081F">
              <w:rPr>
                <w:rFonts w:ascii="Verdana" w:hAnsi="Verdana"/>
                <w:sz w:val="18"/>
                <w:szCs w:val="18"/>
              </w:rPr>
              <w:t>cao</w:t>
            </w:r>
            <w:r w:rsidRPr="00B63478" w:rsidR="00CB081F">
              <w:rPr>
                <w:rFonts w:ascii="Verdana" w:hAnsi="Verdana"/>
                <w:sz w:val="18"/>
                <w:szCs w:val="18"/>
              </w:rPr>
              <w:t xml:space="preserve"> </w:t>
            </w:r>
            <w:r w:rsidRPr="00B63478">
              <w:rPr>
                <w:rFonts w:ascii="Verdana" w:hAnsi="Verdana"/>
                <w:sz w:val="18"/>
                <w:szCs w:val="18"/>
              </w:rPr>
              <w:t>of een bevoegdhedenregister. Daarnaast kan de lerarenopleiding versterkt worden in afstemming met schoolbesturen en wordt geadviseer</w:t>
            </w:r>
            <w:r w:rsidRPr="00B63478" w:rsidR="00743995">
              <w:rPr>
                <w:rFonts w:ascii="Verdana" w:hAnsi="Verdana"/>
                <w:sz w:val="18"/>
                <w:szCs w:val="18"/>
              </w:rPr>
              <w:t>d</w:t>
            </w:r>
            <w:r w:rsidRPr="00B63478">
              <w:rPr>
                <w:rFonts w:ascii="Verdana" w:hAnsi="Verdana"/>
                <w:sz w:val="18"/>
                <w:szCs w:val="18"/>
              </w:rPr>
              <w:t xml:space="preserve"> meer ruimte te bieden voor anders organiseren.</w:t>
            </w:r>
          </w:p>
        </w:tc>
      </w:tr>
    </w:tbl>
    <w:p w:rsidRPr="00B63478" w:rsidR="002C0644" w:rsidP="0059193B" w:rsidRDefault="002C0644" w14:paraId="11BB2053" w14:textId="77777777">
      <w:pPr>
        <w:rPr>
          <w:szCs w:val="18"/>
        </w:rPr>
      </w:pPr>
    </w:p>
    <w:p w:rsidRPr="00B63478" w:rsidR="0059193B" w:rsidP="0059193B" w:rsidRDefault="00384495" w14:paraId="6539F6CF" w14:textId="2B9EFCDF">
      <w:pPr>
        <w:rPr>
          <w:szCs w:val="18"/>
        </w:rPr>
      </w:pPr>
      <w:r>
        <w:rPr>
          <w:b/>
          <w:bCs/>
          <w:szCs w:val="18"/>
        </w:rPr>
        <w:t>Verwachte schaarste in relatie tot kwaliteit</w:t>
      </w:r>
      <w:r w:rsidRPr="00B63478" w:rsidR="0059193B">
        <w:rPr>
          <w:b/>
          <w:bCs/>
          <w:szCs w:val="18"/>
        </w:rPr>
        <w:br/>
      </w:r>
      <w:r>
        <w:rPr>
          <w:szCs w:val="18"/>
        </w:rPr>
        <w:t>A</w:t>
      </w:r>
      <w:r w:rsidRPr="00B63478" w:rsidR="0059193B">
        <w:rPr>
          <w:szCs w:val="18"/>
        </w:rPr>
        <w:t>rbeidsmarktramingen tonen dat, bij gelijke omstandigheden en ongewijzigd beleid, de tekorten aan onderwijspersoneel de komende jaren na een periode van (lichte) daling stijgen naar de hoogste tekorten tot nu toe.</w:t>
      </w:r>
      <w:r w:rsidRPr="00B63478" w:rsidR="0059193B">
        <w:rPr>
          <w:rStyle w:val="Voetnootmarkering"/>
          <w:szCs w:val="18"/>
        </w:rPr>
        <w:footnoteReference w:id="2"/>
      </w:r>
      <w:r w:rsidRPr="00B63478" w:rsidR="0059193B">
        <w:rPr>
          <w:szCs w:val="18"/>
        </w:rPr>
        <w:t xml:space="preserve"> Dat is vooral </w:t>
      </w:r>
      <w:r w:rsidR="003D0116">
        <w:rPr>
          <w:szCs w:val="18"/>
        </w:rPr>
        <w:t>vanwege</w:t>
      </w:r>
      <w:r w:rsidRPr="00B63478" w:rsidR="0059193B">
        <w:rPr>
          <w:szCs w:val="18"/>
        </w:rPr>
        <w:t xml:space="preserve"> demografische ontwikkelingen: </w:t>
      </w:r>
      <w:r w:rsidR="003D0116">
        <w:rPr>
          <w:szCs w:val="18"/>
        </w:rPr>
        <w:t>de beroepsbevolking wordt kleiner</w:t>
      </w:r>
      <w:r w:rsidRPr="00B63478" w:rsidR="0059193B">
        <w:rPr>
          <w:szCs w:val="18"/>
        </w:rPr>
        <w:t xml:space="preserve"> terwijl het aantal leerlingen niet afneemt. Daarmee lijkt </w:t>
      </w:r>
      <w:r w:rsidR="003D0116">
        <w:rPr>
          <w:szCs w:val="18"/>
        </w:rPr>
        <w:t>er</w:t>
      </w:r>
      <w:r w:rsidRPr="00B63478" w:rsidR="003D0116">
        <w:rPr>
          <w:szCs w:val="18"/>
        </w:rPr>
        <w:t xml:space="preserve"> </w:t>
      </w:r>
      <w:r w:rsidRPr="00B63478" w:rsidR="0059193B">
        <w:rPr>
          <w:szCs w:val="18"/>
        </w:rPr>
        <w:t xml:space="preserve">een trendbreuk </w:t>
      </w:r>
      <w:r w:rsidR="003D0116">
        <w:rPr>
          <w:szCs w:val="18"/>
        </w:rPr>
        <w:t>te zijn</w:t>
      </w:r>
      <w:r w:rsidRPr="00B63478" w:rsidR="0059193B">
        <w:rPr>
          <w:szCs w:val="18"/>
        </w:rPr>
        <w:t xml:space="preserve"> ten opzichte van de in het rapport beschreven conjuncturele wisseling van krapte en overschot die zich de afgelopen decennia heeft afgespeeld (tabel 3.1). </w:t>
      </w:r>
      <w:r w:rsidR="00C72B2E">
        <w:rPr>
          <w:szCs w:val="18"/>
        </w:rPr>
        <w:t>D</w:t>
      </w:r>
      <w:r w:rsidRPr="00B63478" w:rsidR="0059193B">
        <w:rPr>
          <w:szCs w:val="18"/>
        </w:rPr>
        <w:t xml:space="preserve">e </w:t>
      </w:r>
      <w:r w:rsidRPr="00B63478" w:rsidR="002C0644">
        <w:rPr>
          <w:szCs w:val="18"/>
        </w:rPr>
        <w:t>staats</w:t>
      </w:r>
      <w:r w:rsidRPr="00B63478" w:rsidR="0059193B">
        <w:rPr>
          <w:szCs w:val="18"/>
        </w:rPr>
        <w:t>commissie demografi</w:t>
      </w:r>
      <w:r w:rsidRPr="00B63478" w:rsidR="002C0644">
        <w:rPr>
          <w:szCs w:val="18"/>
        </w:rPr>
        <w:t>sche ontwikkelingen</w:t>
      </w:r>
      <w:r w:rsidRPr="00B63478" w:rsidR="0059193B">
        <w:rPr>
          <w:szCs w:val="18"/>
        </w:rPr>
        <w:t xml:space="preserve"> 2050</w:t>
      </w:r>
      <w:r w:rsidR="00C72B2E">
        <w:rPr>
          <w:szCs w:val="18"/>
        </w:rPr>
        <w:t xml:space="preserve"> bevestigt dat</w:t>
      </w:r>
      <w:r w:rsidR="00B63478">
        <w:rPr>
          <w:szCs w:val="18"/>
        </w:rPr>
        <w:t>.</w:t>
      </w:r>
      <w:r w:rsidRPr="00B63478" w:rsidR="002C0644">
        <w:rPr>
          <w:rStyle w:val="Voetnootmarkering"/>
          <w:szCs w:val="18"/>
        </w:rPr>
        <w:footnoteReference w:id="3"/>
      </w:r>
      <w:r w:rsidRPr="00B63478" w:rsidR="0059193B">
        <w:rPr>
          <w:szCs w:val="18"/>
        </w:rPr>
        <w:t xml:space="preserve"> </w:t>
      </w:r>
    </w:p>
    <w:p w:rsidRPr="00B63478" w:rsidR="002C0644" w:rsidP="0059193B" w:rsidRDefault="002C0644" w14:paraId="02A970DF" w14:textId="77777777">
      <w:pPr>
        <w:rPr>
          <w:szCs w:val="18"/>
        </w:rPr>
      </w:pPr>
    </w:p>
    <w:p w:rsidRPr="0089165F" w:rsidR="0059193B" w:rsidP="0059193B" w:rsidRDefault="0059193B" w14:paraId="4D29EF71" w14:textId="6965D4BC">
      <w:pPr>
        <w:rPr>
          <w:szCs w:val="18"/>
        </w:rPr>
      </w:pPr>
      <w:r w:rsidRPr="00B63478">
        <w:rPr>
          <w:szCs w:val="18"/>
        </w:rPr>
        <w:t xml:space="preserve">Het tekort aan voldoende goed opgeleid onderwijspersoneel heeft een negatief effect op de kwaliteit van het onderwijs voor alle leerlingen. </w:t>
      </w:r>
      <w:r w:rsidR="00384495">
        <w:rPr>
          <w:szCs w:val="18"/>
        </w:rPr>
        <w:t xml:space="preserve">Daarom is personeelsbeleid van groot belang en urgent. </w:t>
      </w:r>
      <w:r w:rsidRPr="00B63478">
        <w:rPr>
          <w:szCs w:val="18"/>
        </w:rPr>
        <w:t xml:space="preserve">Het vraagt een </w:t>
      </w:r>
      <w:r w:rsidR="00D55C6B">
        <w:rPr>
          <w:szCs w:val="18"/>
        </w:rPr>
        <w:t>aanpak</w:t>
      </w:r>
      <w:r w:rsidRPr="00B63478" w:rsidR="00D55C6B">
        <w:rPr>
          <w:szCs w:val="18"/>
        </w:rPr>
        <w:t xml:space="preserve"> </w:t>
      </w:r>
      <w:r w:rsidRPr="00B63478">
        <w:rPr>
          <w:szCs w:val="18"/>
        </w:rPr>
        <w:t>op basis van een gedegen</w:t>
      </w:r>
      <w:r w:rsidR="00635302">
        <w:rPr>
          <w:szCs w:val="18"/>
        </w:rPr>
        <w:t>,</w:t>
      </w:r>
      <w:r w:rsidRPr="00B63478">
        <w:rPr>
          <w:szCs w:val="18"/>
        </w:rPr>
        <w:t xml:space="preserve"> integrale beleidstheorie, waarbij we samen met </w:t>
      </w:r>
      <w:r w:rsidR="000E744B">
        <w:rPr>
          <w:szCs w:val="18"/>
        </w:rPr>
        <w:t>betrokken organisaties</w:t>
      </w:r>
      <w:r w:rsidRPr="00B63478">
        <w:rPr>
          <w:szCs w:val="18"/>
        </w:rPr>
        <w:t xml:space="preserve"> de succesvolle maatregelen uitbouwen en het onderwijs toekomstbestendig maken door voor te bereiden op structureel minder leraren. Een uitdaging die vraagt om keuzes teneinde de kwaliteit van het onderwijs te borgen in heel Nederland. De kwaliteit in de klas moet voor alle leerlingen</w:t>
      </w:r>
      <w:r w:rsidR="000E744B">
        <w:rPr>
          <w:szCs w:val="18"/>
        </w:rPr>
        <w:t xml:space="preserve"> op niveau zijn met een kleiner </w:t>
      </w:r>
      <w:r w:rsidR="00C72B2E">
        <w:rPr>
          <w:szCs w:val="18"/>
        </w:rPr>
        <w:t>verschil tussen de beste en slechtste scho</w:t>
      </w:r>
      <w:r w:rsidR="000E744B">
        <w:rPr>
          <w:szCs w:val="18"/>
        </w:rPr>
        <w:t>len</w:t>
      </w:r>
      <w:r w:rsidR="00DC227B">
        <w:rPr>
          <w:szCs w:val="18"/>
        </w:rPr>
        <w:t>,</w:t>
      </w:r>
      <w:r w:rsidR="00C72B2E">
        <w:rPr>
          <w:szCs w:val="18"/>
        </w:rPr>
        <w:t xml:space="preserve"> </w:t>
      </w:r>
      <w:r w:rsidRPr="00B63478">
        <w:rPr>
          <w:szCs w:val="18"/>
        </w:rPr>
        <w:t xml:space="preserve">ook in tijden van aanhoudende schaarste. Met die inzet uit het coalitieakkoord en de aanbevelingen uit dit rapport gaan we daar samen met alle betrokkenen in en om </w:t>
      </w:r>
      <w:r w:rsidRPr="0089165F">
        <w:rPr>
          <w:szCs w:val="18"/>
        </w:rPr>
        <w:t xml:space="preserve">de school mee aan de slag. </w:t>
      </w:r>
    </w:p>
    <w:p w:rsidRPr="0089165F" w:rsidR="0059193B" w:rsidP="0059193B" w:rsidRDefault="0059193B" w14:paraId="5CD39AB1" w14:textId="77777777">
      <w:pPr>
        <w:pStyle w:val="Geenafstand"/>
        <w:rPr>
          <w:sz w:val="18"/>
          <w:szCs w:val="18"/>
        </w:rPr>
      </w:pPr>
    </w:p>
    <w:p w:rsidRPr="0089165F" w:rsidR="0059193B" w:rsidP="0059193B" w:rsidRDefault="00774A95" w14:paraId="3CE24D92" w14:textId="27880FD5">
      <w:pPr>
        <w:pStyle w:val="Geenafstand"/>
        <w:rPr>
          <w:b/>
          <w:bCs/>
          <w:sz w:val="18"/>
          <w:szCs w:val="18"/>
        </w:rPr>
      </w:pPr>
      <w:r>
        <w:rPr>
          <w:b/>
          <w:bCs/>
          <w:sz w:val="18"/>
          <w:szCs w:val="18"/>
        </w:rPr>
        <w:t>Betrokkenen voor goed onderwijs</w:t>
      </w:r>
    </w:p>
    <w:p w:rsidR="0089165F" w:rsidP="0089165F" w:rsidRDefault="00774A95" w14:paraId="42E0FBEC" w14:textId="3F705866">
      <w:pPr>
        <w:rPr>
          <w:szCs w:val="18"/>
        </w:rPr>
      </w:pPr>
      <w:bookmarkStart w:name="_Hlk224311338" w:id="0"/>
      <w:r>
        <w:rPr>
          <w:szCs w:val="18"/>
        </w:rPr>
        <w:t>Ons</w:t>
      </w:r>
      <w:r w:rsidRPr="0089165F" w:rsidR="0089165F">
        <w:rPr>
          <w:szCs w:val="18"/>
        </w:rPr>
        <w:t xml:space="preserve"> doel is helder: goed onderwijs voor alle leerlingen</w:t>
      </w:r>
      <w:r w:rsidR="00FC177E">
        <w:rPr>
          <w:szCs w:val="18"/>
        </w:rPr>
        <w:t>,</w:t>
      </w:r>
      <w:r>
        <w:rPr>
          <w:szCs w:val="18"/>
        </w:rPr>
        <w:t xml:space="preserve"> om hen op te leiden</w:t>
      </w:r>
      <w:r w:rsidR="00AE1317">
        <w:rPr>
          <w:szCs w:val="18"/>
        </w:rPr>
        <w:t xml:space="preserve"> richting een passende vervolgkeuze en vrije, verantwoordelijke en zelfstandige volwassenen</w:t>
      </w:r>
      <w:r w:rsidRPr="0089165F" w:rsidR="0089165F">
        <w:rPr>
          <w:szCs w:val="18"/>
        </w:rPr>
        <w:t>. Daarvoor zijn sterke onderwijsteams nodig, die werken vanuit een stevige pedagogisch-didactische basis. Elk team heeft daarbij een collectieve verantwoordelijkheid. Leraren en schoolleiders werken doorlopend en gericht aan hun professionalisering om zo steeds effectiever les te geven en om goed om te gaan met nieuwe maatschappelijke ontwikkelingen. Dat vraagt om stevig onderwijskundig leiderschap van de schoolleider en een gedragen onderwijsvisie</w:t>
      </w:r>
      <w:r w:rsidR="00AE1317">
        <w:rPr>
          <w:szCs w:val="18"/>
        </w:rPr>
        <w:t>,</w:t>
      </w:r>
      <w:r w:rsidRPr="0089165F" w:rsidR="0089165F">
        <w:rPr>
          <w:szCs w:val="18"/>
        </w:rPr>
        <w:t xml:space="preserve"> passend is bij de context van de school en de behoefte</w:t>
      </w:r>
      <w:r w:rsidR="00AE1317">
        <w:rPr>
          <w:szCs w:val="18"/>
        </w:rPr>
        <w:t>n</w:t>
      </w:r>
      <w:r w:rsidRPr="0089165F" w:rsidR="0089165F">
        <w:rPr>
          <w:szCs w:val="18"/>
        </w:rPr>
        <w:t xml:space="preserve"> van de leerlingenpopulatie. </w:t>
      </w:r>
    </w:p>
    <w:p w:rsidR="0089165F" w:rsidP="0089165F" w:rsidRDefault="0089165F" w14:paraId="56CF3E87" w14:textId="77777777">
      <w:pPr>
        <w:rPr>
          <w:szCs w:val="18"/>
        </w:rPr>
      </w:pPr>
    </w:p>
    <w:p w:rsidRPr="0089165F" w:rsidR="0089165F" w:rsidP="0089165F" w:rsidRDefault="0089165F" w14:paraId="08A06975" w14:textId="6D8F5E74">
      <w:pPr>
        <w:rPr>
          <w:szCs w:val="18"/>
        </w:rPr>
      </w:pPr>
      <w:r w:rsidRPr="0089165F">
        <w:rPr>
          <w:szCs w:val="18"/>
        </w:rPr>
        <w:t>Het schoolbestuur ondersteunt de schoolleiding en onderwijsteams door uitdagingen die niet binnen één school opgelost kunnen worden op te pakken en de school passende ondersteuning</w:t>
      </w:r>
      <w:r>
        <w:rPr>
          <w:szCs w:val="18"/>
        </w:rPr>
        <w:t xml:space="preserve"> te bieden</w:t>
      </w:r>
      <w:r w:rsidRPr="0089165F">
        <w:rPr>
          <w:szCs w:val="18"/>
        </w:rPr>
        <w:t xml:space="preserve">, ook op het gebied van kwaliteitsbewaking. Vanuit de onderwijsregio wordt samengewerkt om de regionale uitdagingen </w:t>
      </w:r>
      <w:r>
        <w:rPr>
          <w:szCs w:val="18"/>
        </w:rPr>
        <w:t xml:space="preserve">op de onderwijsarbeidsmarkt </w:t>
      </w:r>
      <w:r w:rsidRPr="0089165F">
        <w:rPr>
          <w:szCs w:val="18"/>
        </w:rPr>
        <w:t>het hoofd te bieden</w:t>
      </w:r>
      <w:r>
        <w:rPr>
          <w:szCs w:val="18"/>
        </w:rPr>
        <w:t xml:space="preserve">, waaronder </w:t>
      </w:r>
      <w:r w:rsidRPr="0089165F">
        <w:rPr>
          <w:szCs w:val="18"/>
        </w:rPr>
        <w:t xml:space="preserve">het </w:t>
      </w:r>
      <w:r>
        <w:rPr>
          <w:szCs w:val="18"/>
        </w:rPr>
        <w:t xml:space="preserve">aanpakken van en </w:t>
      </w:r>
      <w:r w:rsidRPr="0089165F">
        <w:rPr>
          <w:szCs w:val="18"/>
        </w:rPr>
        <w:t xml:space="preserve">duurzaam omgaan met leraar- en schoolleiderstekorten. Besturen </w:t>
      </w:r>
      <w:r w:rsidR="000E744B">
        <w:rPr>
          <w:szCs w:val="18"/>
        </w:rPr>
        <w:t>werken</w:t>
      </w:r>
      <w:r w:rsidRPr="0089165F">
        <w:rPr>
          <w:szCs w:val="18"/>
        </w:rPr>
        <w:t xml:space="preserve"> daarbij vanuit hun publieke plicht en gedeelde maatschappelijke verantwoordelijkheid </w:t>
      </w:r>
      <w:r w:rsidR="000E744B">
        <w:rPr>
          <w:szCs w:val="18"/>
        </w:rPr>
        <w:t>aan</w:t>
      </w:r>
      <w:r w:rsidRPr="0089165F">
        <w:rPr>
          <w:szCs w:val="18"/>
        </w:rPr>
        <w:t xml:space="preserve"> goed onderwijs voor elk kind in de regio. </w:t>
      </w:r>
      <w:r w:rsidR="000E744B">
        <w:rPr>
          <w:szCs w:val="18"/>
        </w:rPr>
        <w:t>Goed onderwijs</w:t>
      </w:r>
      <w:r w:rsidRPr="0089165F">
        <w:rPr>
          <w:szCs w:val="18"/>
        </w:rPr>
        <w:t xml:space="preserve"> is een collectieve opgave die iets vraagt van alle actoren in en om de school.</w:t>
      </w:r>
    </w:p>
    <w:bookmarkEnd w:id="0"/>
    <w:p w:rsidRPr="0089165F" w:rsidR="002C0644" w:rsidP="0059193B" w:rsidRDefault="002C0644" w14:paraId="00F1EB64" w14:textId="77777777">
      <w:pPr>
        <w:rPr>
          <w:szCs w:val="18"/>
        </w:rPr>
      </w:pPr>
    </w:p>
    <w:p w:rsidRPr="00B63478" w:rsidR="0059193B" w:rsidP="0059193B" w:rsidRDefault="0059193B" w14:paraId="065288A9" w14:textId="77777777">
      <w:pPr>
        <w:pStyle w:val="Geenafstand"/>
        <w:rPr>
          <w:b/>
          <w:sz w:val="18"/>
          <w:szCs w:val="18"/>
        </w:rPr>
      </w:pPr>
      <w:r w:rsidRPr="00B63478">
        <w:rPr>
          <w:b/>
          <w:sz w:val="18"/>
          <w:szCs w:val="18"/>
        </w:rPr>
        <w:t>Dilemma’s</w:t>
      </w:r>
    </w:p>
    <w:p w:rsidR="005D1EE5" w:rsidP="000B1E64" w:rsidRDefault="0059193B" w14:paraId="241998E9" w14:textId="3BB688C5">
      <w:pPr>
        <w:rPr>
          <w:rFonts w:eastAsiaTheme="minorHAnsi" w:cstheme="minorBidi"/>
          <w:i/>
          <w:iCs/>
          <w:szCs w:val="18"/>
          <w:lang w:eastAsia="en-US"/>
        </w:rPr>
      </w:pPr>
      <w:r w:rsidRPr="00B63478">
        <w:t xml:space="preserve">Het realiseren van de gezamenlijke ambitie op onderwijskwaliteit in tijden van aanhoudende tekorten betekent ook het zorgvuldig afwegen van verschillende dilemma’s. </w:t>
      </w:r>
      <w:r w:rsidR="000E744B">
        <w:t xml:space="preserve">Deze </w:t>
      </w:r>
      <w:r w:rsidR="003D0116">
        <w:t>oplossen</w:t>
      </w:r>
      <w:r w:rsidRPr="00B63478">
        <w:t xml:space="preserve"> vraagt een overheid die de juiste randvoorwaarden schept, lef toont in het maken van keuzes en </w:t>
      </w:r>
      <w:r w:rsidR="000E744B">
        <w:t>(</w:t>
      </w:r>
      <w:r w:rsidRPr="00B63478">
        <w:t>meer</w:t>
      </w:r>
      <w:r w:rsidR="000E744B">
        <w:t>)</w:t>
      </w:r>
      <w:r w:rsidRPr="00B63478">
        <w:t xml:space="preserve"> regie pakt</w:t>
      </w:r>
      <w:r w:rsidR="005D1EE5">
        <w:t xml:space="preserve">. </w:t>
      </w:r>
      <w:r w:rsidR="000E744B">
        <w:t>Ook</w:t>
      </w:r>
      <w:r w:rsidR="005D1EE5">
        <w:t xml:space="preserve"> vraagt </w:t>
      </w:r>
      <w:r w:rsidR="000E744B">
        <w:t xml:space="preserve">het </w:t>
      </w:r>
      <w:r w:rsidR="005D1EE5">
        <w:t xml:space="preserve">om sociale partners die evenwichtige arbeidsomstandigheden en -voorwaarden creëren met voldoende draagvlak. </w:t>
      </w:r>
      <w:r w:rsidR="000E744B">
        <w:t>Doel blijft immers dat</w:t>
      </w:r>
      <w:r w:rsidRPr="00B63478">
        <w:t xml:space="preserve"> kinderen </w:t>
      </w:r>
      <w:r w:rsidR="005D1EE5">
        <w:t xml:space="preserve">en jongeren </w:t>
      </w:r>
      <w:r w:rsidR="000E744B">
        <w:t>onderwijs</w:t>
      </w:r>
      <w:r w:rsidRPr="00B63478">
        <w:t xml:space="preserve"> krijgen van de beste </w:t>
      </w:r>
      <w:r w:rsidR="006E3856">
        <w:t>leraren</w:t>
      </w:r>
      <w:r w:rsidR="000E744B">
        <w:t>teams</w:t>
      </w:r>
      <w:r w:rsidRPr="00B63478">
        <w:t xml:space="preserve"> en </w:t>
      </w:r>
      <w:r w:rsidR="005D1EE5">
        <w:t xml:space="preserve">dat </w:t>
      </w:r>
      <w:r w:rsidRPr="00B63478">
        <w:t xml:space="preserve">de onderwijskwaliteit verbetert. </w:t>
      </w:r>
    </w:p>
    <w:p w:rsidR="00873684" w:rsidP="00B97E06" w:rsidRDefault="00873684" w14:paraId="23BCC55D" w14:textId="77777777">
      <w:pPr>
        <w:rPr>
          <w:i/>
          <w:iCs/>
        </w:rPr>
      </w:pPr>
    </w:p>
    <w:p w:rsidRPr="00B97E06" w:rsidR="000A4CDF" w:rsidP="00B97E06" w:rsidRDefault="000A4CDF" w14:paraId="66CD4D21" w14:textId="7BC3DB30">
      <w:pPr>
        <w:rPr>
          <w:i/>
          <w:iCs/>
        </w:rPr>
      </w:pPr>
      <w:r w:rsidRPr="00B97E06">
        <w:rPr>
          <w:i/>
          <w:iCs/>
        </w:rPr>
        <w:t>Een sterke beroepsgroep</w:t>
      </w:r>
    </w:p>
    <w:p w:rsidR="000A4CDF" w:rsidP="00B97E06" w:rsidRDefault="000E744B" w14:paraId="2F2DE7A6" w14:textId="5E94C9AF">
      <w:bookmarkStart w:name="_Hlk224311355" w:id="1"/>
      <w:r>
        <w:t>E</w:t>
      </w:r>
      <w:r w:rsidRPr="00B63478" w:rsidR="0059193B">
        <w:t xml:space="preserve">en breed gedeelde wens </w:t>
      </w:r>
      <w:r w:rsidR="00AE1317">
        <w:t>is</w:t>
      </w:r>
      <w:r w:rsidRPr="00B63478" w:rsidR="0059193B">
        <w:t xml:space="preserve"> een sterke vertegenwoordiging van de leraar door middel van een onafhankelijke beroepsgroep. De afgelopen jaren heeft de overheid </w:t>
      </w:r>
      <w:r w:rsidR="000A4CDF">
        <w:t xml:space="preserve">afwisselend een meer of minder sturende </w:t>
      </w:r>
      <w:r w:rsidR="00DC227B">
        <w:t xml:space="preserve">rol </w:t>
      </w:r>
      <w:r w:rsidRPr="00B63478" w:rsidR="0059193B">
        <w:t>gespeeld in de ontwikkeling van de beroepsgroep</w:t>
      </w:r>
      <w:r w:rsidR="000A4CDF">
        <w:t>.</w:t>
      </w:r>
      <w:r w:rsidRPr="00B63478" w:rsidR="0059193B">
        <w:t xml:space="preserve"> </w:t>
      </w:r>
    </w:p>
    <w:p w:rsidR="000A4CDF" w:rsidP="00B97E06" w:rsidRDefault="000A4CDF" w14:paraId="1717DF85" w14:textId="77777777"/>
    <w:p w:rsidRPr="00B63478" w:rsidR="0059193B" w:rsidP="00B97E06" w:rsidRDefault="00B8552F" w14:paraId="14B08C25" w14:textId="65A1AE18">
      <w:r>
        <w:t>I</w:t>
      </w:r>
      <w:r w:rsidRPr="00B63478" w:rsidR="0059193B">
        <w:t xml:space="preserve">n dit rapport </w:t>
      </w:r>
      <w:r w:rsidR="00AE1317">
        <w:t xml:space="preserve">wordt </w:t>
      </w:r>
      <w:r w:rsidRPr="00B63478" w:rsidR="0059193B">
        <w:t xml:space="preserve">enerzijds de rol van de vertegenwoordiging van de leraar in beleid neergezet als belangrijke taak voor een beroepsgroep. Anderzijds worden kansen gezien </w:t>
      </w:r>
      <w:r>
        <w:t>met betrekking tot</w:t>
      </w:r>
      <w:r w:rsidRPr="00B63478" w:rsidR="0059193B">
        <w:t xml:space="preserve"> een structurele betrokkenheid </w:t>
      </w:r>
      <w:r>
        <w:t>van de beroepsgroep</w:t>
      </w:r>
      <w:r w:rsidR="000A4CDF">
        <w:t xml:space="preserve"> </w:t>
      </w:r>
      <w:r w:rsidRPr="00B63478" w:rsidR="0059193B">
        <w:t>bij het bewaken van de kwaliteit en professionele ontwikkeling van het beroep leraar. Dit zijn verschillende rollen waar spanning tussen kan ontstaan</w:t>
      </w:r>
      <w:r>
        <w:t>. D</w:t>
      </w:r>
      <w:r w:rsidRPr="00B63478" w:rsidR="000F19A7">
        <w:t>e vraag is of deze taken binnen één organisatie goed samengaan</w:t>
      </w:r>
      <w:r w:rsidRPr="00B63478" w:rsidR="0059193B">
        <w:t>.</w:t>
      </w:r>
      <w:r>
        <w:t xml:space="preserve"> En wie en hoe zo’n organisatie dan zou moeten oprichten en leiden.</w:t>
      </w:r>
      <w:r w:rsidRPr="00B63478" w:rsidR="0059193B">
        <w:t xml:space="preserve"> </w:t>
      </w:r>
    </w:p>
    <w:bookmarkEnd w:id="1"/>
    <w:p w:rsidR="0059193B" w:rsidP="00B97E06" w:rsidRDefault="0059193B" w14:paraId="53FD330B" w14:textId="77777777"/>
    <w:p w:rsidR="00635302" w:rsidP="00B97E06" w:rsidRDefault="00635302" w14:paraId="55637FE2" w14:textId="77777777">
      <w:pPr>
        <w:rPr>
          <w:i/>
          <w:iCs/>
        </w:rPr>
      </w:pPr>
    </w:p>
    <w:p w:rsidR="00635302" w:rsidRDefault="00635302" w14:paraId="694715D3" w14:textId="77777777">
      <w:pPr>
        <w:spacing w:line="240" w:lineRule="auto"/>
        <w:rPr>
          <w:i/>
          <w:iCs/>
        </w:rPr>
      </w:pPr>
      <w:r>
        <w:rPr>
          <w:i/>
          <w:iCs/>
        </w:rPr>
        <w:br w:type="page"/>
      </w:r>
    </w:p>
    <w:p w:rsidRPr="00AE1317" w:rsidR="00AE1317" w:rsidP="00B97E06" w:rsidRDefault="00AE1317" w14:paraId="0612DC0B" w14:textId="52E2FE6A">
      <w:pPr>
        <w:rPr>
          <w:i/>
          <w:iCs/>
        </w:rPr>
      </w:pPr>
      <w:r w:rsidRPr="00AE1317">
        <w:rPr>
          <w:i/>
          <w:iCs/>
        </w:rPr>
        <w:t xml:space="preserve">Kwaliteit </w:t>
      </w:r>
      <w:r w:rsidR="000B1E64">
        <w:rPr>
          <w:i/>
          <w:iCs/>
        </w:rPr>
        <w:t xml:space="preserve">van onderwijs in tijden van schaarste </w:t>
      </w:r>
    </w:p>
    <w:p w:rsidRPr="00B63478" w:rsidR="0059193B" w:rsidP="00B97E06" w:rsidRDefault="0059193B" w14:paraId="339C1167" w14:textId="676E97E5">
      <w:r w:rsidRPr="00B63478">
        <w:t>De aanhoudende schaarste dwingt tot pijnlijke en ingewikkelde keuzes</w:t>
      </w:r>
      <w:r w:rsidR="000B1E64">
        <w:t xml:space="preserve"> en</w:t>
      </w:r>
      <w:r w:rsidRPr="00B63478">
        <w:t xml:space="preserve"> vraagt ook iets anders van de organisatie van het onderwijs. Veel scholen </w:t>
      </w:r>
      <w:r w:rsidR="00C4572C">
        <w:t>werken al aan</w:t>
      </w:r>
      <w:r w:rsidR="005B2E29">
        <w:t xml:space="preserve"> een andere inrichting van het onderwijs</w:t>
      </w:r>
      <w:r w:rsidRPr="00B63478">
        <w:t>,</w:t>
      </w:r>
      <w:r w:rsidRPr="00B63478" w:rsidR="002C0644">
        <w:t xml:space="preserve"> </w:t>
      </w:r>
      <w:r w:rsidRPr="00B63478">
        <w:t>soms vanuit tekorten maar vaak ook vanuit visie.</w:t>
      </w:r>
      <w:r w:rsidRPr="00B63478" w:rsidR="002C0644">
        <w:t xml:space="preserve"> </w:t>
      </w:r>
      <w:r w:rsidRPr="00B63478">
        <w:t xml:space="preserve">Het huidige wettelijke kader biedt daarbij niet langer voor alle scholen de benodigde ruimte voor het geven van goed onderwijs. De vraag is hoe we hier samen met het onderwijsveld zorgvuldig </w:t>
      </w:r>
      <w:r w:rsidR="00C4572C">
        <w:t>stappen kunnen zetten, met kwaliteit van onderwijs als uitgangspunt</w:t>
      </w:r>
      <w:r w:rsidRPr="00B63478">
        <w:t>.</w:t>
      </w:r>
    </w:p>
    <w:p w:rsidR="0059193B" w:rsidP="00B97E06" w:rsidRDefault="0059193B" w14:paraId="05545F2F" w14:textId="77777777"/>
    <w:p w:rsidRPr="00B97E06" w:rsidR="00C4572C" w:rsidP="00B97E06" w:rsidRDefault="00C4572C" w14:paraId="5A7E0F0E" w14:textId="4EB4FE87">
      <w:pPr>
        <w:rPr>
          <w:i/>
          <w:iCs/>
        </w:rPr>
      </w:pPr>
      <w:r w:rsidRPr="00B97E06">
        <w:rPr>
          <w:i/>
          <w:iCs/>
        </w:rPr>
        <w:t>Sturen op de lerarenopleidingen</w:t>
      </w:r>
    </w:p>
    <w:p w:rsidRPr="00B63478" w:rsidR="002C0644" w:rsidP="00B97E06" w:rsidRDefault="0059193B" w14:paraId="518D9D62" w14:textId="22B940DC">
      <w:r w:rsidRPr="00B63478">
        <w:t xml:space="preserve">Vanuit hun bekostigde wettelijke taak richten de lerarenopleidingen zich primair op het opleiden van startbekwame leraren in nauwe afstemming met het werkveld. </w:t>
      </w:r>
      <w:r w:rsidRPr="00B63478" w:rsidR="002C0644">
        <w:t>Lerarenopleidingen voldoen aan de gestelde eisen.</w:t>
      </w:r>
      <w:r w:rsidR="00C4572C">
        <w:t xml:space="preserve"> </w:t>
      </w:r>
      <w:r w:rsidRPr="00B63478" w:rsidR="002C0644">
        <w:t xml:space="preserve">Tegelijkertijd bestaan er in de praktijk verschillen tussen opleidingen in de specifieke kennis en vaardigheden die studenten krijgen aangeboden. </w:t>
      </w:r>
      <w:r w:rsidR="00B8552F">
        <w:t>W</w:t>
      </w:r>
      <w:r w:rsidRPr="00B63478" w:rsidR="002C0644">
        <w:t xml:space="preserve">ettelijke kaders </w:t>
      </w:r>
      <w:r w:rsidR="00B8552F">
        <w:t xml:space="preserve">zijn </w:t>
      </w:r>
      <w:r w:rsidRPr="00B63478" w:rsidR="002C0644">
        <w:t xml:space="preserve">nu ruim geformuleerd en de verantwoordelijkheid voor de verdere uitwerking en uitvoering van de curricula </w:t>
      </w:r>
      <w:r w:rsidR="00B8552F">
        <w:t xml:space="preserve">ligt </w:t>
      </w:r>
      <w:r w:rsidRPr="00B63478" w:rsidR="002C0644">
        <w:t xml:space="preserve">bij de opleidingen zelf. Hierdoor is het niet altijd makkelijk zichtbaar hoe elke startende leraar voldoet aan de behoeftes in het onderwijsveld De vraag is hoe in het belang van de onderwijskwaliteit </w:t>
      </w:r>
      <w:r w:rsidR="00B8552F">
        <w:t>gestuurd kan worden,</w:t>
      </w:r>
      <w:r w:rsidRPr="00B63478" w:rsidR="002C0644">
        <w:t xml:space="preserve"> terwijl de autonomie en expertise van lerarenopleidingen voldoende ruimte </w:t>
      </w:r>
      <w:r w:rsidR="00B8552F">
        <w:t>houden</w:t>
      </w:r>
      <w:r w:rsidRPr="00B63478" w:rsidR="002C0644">
        <w:t>.</w:t>
      </w:r>
    </w:p>
    <w:p w:rsidRPr="00B63478" w:rsidR="002C0644" w:rsidP="00B97E06" w:rsidRDefault="002C0644" w14:paraId="20AA43B6" w14:textId="77777777"/>
    <w:p w:rsidRPr="00B63478" w:rsidR="0059193B" w:rsidP="0059193B" w:rsidRDefault="0059193B" w14:paraId="05CC9C71" w14:textId="0214961F">
      <w:pPr>
        <w:rPr>
          <w:szCs w:val="18"/>
        </w:rPr>
      </w:pPr>
      <w:r w:rsidRPr="00B63478">
        <w:rPr>
          <w:szCs w:val="18"/>
        </w:rPr>
        <w:t xml:space="preserve">Bovenstaande dilemma’s zijn slechts drie voorbeelden. De afweging en uitwerking van een gedegen aanpak vraagt </w:t>
      </w:r>
      <w:r w:rsidR="00B8552F">
        <w:rPr>
          <w:szCs w:val="18"/>
        </w:rPr>
        <w:t>om</w:t>
      </w:r>
      <w:r w:rsidR="00C4572C">
        <w:rPr>
          <w:szCs w:val="18"/>
        </w:rPr>
        <w:t xml:space="preserve"> </w:t>
      </w:r>
      <w:r w:rsidRPr="00B63478">
        <w:rPr>
          <w:szCs w:val="18"/>
        </w:rPr>
        <w:t>een zorgvuldige</w:t>
      </w:r>
      <w:r w:rsidR="00B8552F">
        <w:rPr>
          <w:szCs w:val="18"/>
        </w:rPr>
        <w:t>, gedegen en gedragen</w:t>
      </w:r>
      <w:r w:rsidRPr="00B63478">
        <w:rPr>
          <w:szCs w:val="18"/>
        </w:rPr>
        <w:t xml:space="preserve"> afweging van de verschillende scenario’s en steun en samenwerking van de Kamer en </w:t>
      </w:r>
      <w:r w:rsidR="00C4572C">
        <w:rPr>
          <w:szCs w:val="18"/>
        </w:rPr>
        <w:t>de</w:t>
      </w:r>
      <w:r w:rsidRPr="00B63478">
        <w:rPr>
          <w:szCs w:val="18"/>
        </w:rPr>
        <w:t xml:space="preserve"> partners</w:t>
      </w:r>
      <w:r w:rsidR="00C4572C">
        <w:rPr>
          <w:szCs w:val="18"/>
        </w:rPr>
        <w:t xml:space="preserve"> in het onderwijs</w:t>
      </w:r>
      <w:r w:rsidRPr="00B63478">
        <w:rPr>
          <w:szCs w:val="18"/>
        </w:rPr>
        <w:t>. Daartoe ga</w:t>
      </w:r>
      <w:r w:rsidR="00AE1317">
        <w:rPr>
          <w:szCs w:val="18"/>
        </w:rPr>
        <w:t>an</w:t>
      </w:r>
      <w:r w:rsidRPr="00B63478">
        <w:rPr>
          <w:szCs w:val="18"/>
        </w:rPr>
        <w:t xml:space="preserve"> </w:t>
      </w:r>
      <w:r w:rsidR="00AE1317">
        <w:rPr>
          <w:szCs w:val="18"/>
        </w:rPr>
        <w:t>wij</w:t>
      </w:r>
      <w:r w:rsidRPr="00B63478">
        <w:rPr>
          <w:szCs w:val="18"/>
        </w:rPr>
        <w:t xml:space="preserve"> graag met u het gesprek aan.</w:t>
      </w:r>
    </w:p>
    <w:p w:rsidRPr="00B63478" w:rsidR="0059193B" w:rsidP="0059193B" w:rsidRDefault="0059193B" w14:paraId="050CBB9F" w14:textId="77777777">
      <w:pPr>
        <w:rPr>
          <w:b/>
          <w:szCs w:val="18"/>
        </w:rPr>
      </w:pPr>
    </w:p>
    <w:p w:rsidRPr="00B63478" w:rsidR="007851C4" w:rsidP="00CA35E4" w:rsidRDefault="007851C4" w14:paraId="64F169F8" w14:textId="3E1AC36A">
      <w:pPr>
        <w:rPr>
          <w:szCs w:val="18"/>
        </w:rPr>
      </w:pPr>
    </w:p>
    <w:p w:rsidRPr="00B63478" w:rsidR="00B37981" w:rsidP="00B37981" w:rsidRDefault="00B37981" w14:paraId="1EB87743" w14:textId="77777777">
      <w:pPr>
        <w:rPr>
          <w:szCs w:val="18"/>
        </w:rPr>
      </w:pPr>
      <w:r>
        <w:rPr>
          <w:szCs w:val="18"/>
        </w:rPr>
        <w:t>D</w:t>
      </w:r>
      <w:r w:rsidRPr="00B63478">
        <w:rPr>
          <w:szCs w:val="18"/>
        </w:rPr>
        <w:t>e staatssecretaris van Onderwijs en Emancipatie,</w:t>
      </w:r>
    </w:p>
    <w:p w:rsidRPr="00B63478" w:rsidR="00B37981" w:rsidP="00B37981" w:rsidRDefault="00B37981" w14:paraId="25C3FBBD" w14:textId="77777777">
      <w:pPr>
        <w:rPr>
          <w:szCs w:val="18"/>
        </w:rPr>
      </w:pPr>
    </w:p>
    <w:p w:rsidRPr="00B63478" w:rsidR="00B37981" w:rsidP="00B37981" w:rsidRDefault="00B37981" w14:paraId="6A9D568D" w14:textId="77777777">
      <w:pPr>
        <w:rPr>
          <w:szCs w:val="18"/>
        </w:rPr>
      </w:pPr>
    </w:p>
    <w:p w:rsidRPr="00B63478" w:rsidR="00B37981" w:rsidP="00B37981" w:rsidRDefault="00B37981" w14:paraId="7524FBD7" w14:textId="77777777">
      <w:pPr>
        <w:rPr>
          <w:szCs w:val="18"/>
        </w:rPr>
      </w:pPr>
    </w:p>
    <w:p w:rsidR="00873684" w:rsidP="00B37981" w:rsidRDefault="00873684" w14:paraId="392EB289" w14:textId="77777777">
      <w:pPr>
        <w:rPr>
          <w:szCs w:val="18"/>
        </w:rPr>
      </w:pPr>
    </w:p>
    <w:p w:rsidR="00B37981" w:rsidP="00B37981" w:rsidRDefault="00B37981" w14:paraId="26DE6AC2" w14:textId="210ADF8C">
      <w:pPr>
        <w:rPr>
          <w:szCs w:val="18"/>
        </w:rPr>
      </w:pPr>
      <w:r w:rsidRPr="00B63478">
        <w:rPr>
          <w:szCs w:val="18"/>
        </w:rPr>
        <w:t>Judith Zs.C.M. Tielen</w:t>
      </w:r>
    </w:p>
    <w:p w:rsidR="00B37981" w:rsidP="00B37981" w:rsidRDefault="00B37981" w14:paraId="0C8FD57B" w14:textId="77777777">
      <w:pPr>
        <w:rPr>
          <w:szCs w:val="18"/>
        </w:rPr>
      </w:pPr>
    </w:p>
    <w:p w:rsidRPr="00B63478" w:rsidR="00B37981" w:rsidP="00B37981" w:rsidRDefault="00B37981" w14:paraId="73D16801" w14:textId="77777777">
      <w:pPr>
        <w:rPr>
          <w:szCs w:val="18"/>
        </w:rPr>
      </w:pPr>
    </w:p>
    <w:p w:rsidRPr="00B63478" w:rsidR="00820DDA" w:rsidP="00CA35E4" w:rsidRDefault="0059193B" w14:paraId="1C7B2B8F" w14:textId="77777777">
      <w:pPr>
        <w:rPr>
          <w:szCs w:val="18"/>
        </w:rPr>
      </w:pPr>
      <w:r w:rsidRPr="00B63478">
        <w:rPr>
          <w:szCs w:val="18"/>
        </w:rPr>
        <w:t>De minister van Onderwijs, Cultuur en Wetenschap,</w:t>
      </w:r>
    </w:p>
    <w:p w:rsidRPr="00B63478" w:rsidR="000F521E" w:rsidP="003A7160" w:rsidRDefault="000F521E" w14:paraId="3C42C5F8" w14:textId="77777777">
      <w:pPr>
        <w:rPr>
          <w:szCs w:val="18"/>
        </w:rPr>
      </w:pPr>
    </w:p>
    <w:p w:rsidRPr="00B63478" w:rsidR="000F521E" w:rsidP="003A7160" w:rsidRDefault="000F521E" w14:paraId="68B19DB2" w14:textId="77777777">
      <w:pPr>
        <w:rPr>
          <w:szCs w:val="18"/>
        </w:rPr>
      </w:pPr>
    </w:p>
    <w:p w:rsidRPr="00B63478" w:rsidR="000F521E" w:rsidP="003A7160" w:rsidRDefault="000F521E" w14:paraId="00FBB75E" w14:textId="77777777">
      <w:pPr>
        <w:rPr>
          <w:szCs w:val="18"/>
        </w:rPr>
      </w:pPr>
    </w:p>
    <w:p w:rsidRPr="00B63478" w:rsidR="000F521E" w:rsidP="003A7160" w:rsidRDefault="000F521E" w14:paraId="53B654BC" w14:textId="77777777">
      <w:pPr>
        <w:rPr>
          <w:szCs w:val="18"/>
        </w:rPr>
      </w:pPr>
    </w:p>
    <w:p w:rsidRPr="00B63478" w:rsidR="000F521E" w:rsidP="003A7160" w:rsidRDefault="0059193B" w14:paraId="14DD83FF" w14:textId="77777777">
      <w:pPr>
        <w:rPr>
          <w:szCs w:val="18"/>
        </w:rPr>
      </w:pPr>
      <w:r w:rsidRPr="00B63478">
        <w:rPr>
          <w:szCs w:val="18"/>
          <w:lang w:eastAsia="en-US"/>
        </w:rPr>
        <w:t>Rianne Letschert</w:t>
      </w:r>
    </w:p>
    <w:p w:rsidRPr="00B63478" w:rsidR="00F01557" w:rsidP="003A7160" w:rsidRDefault="00F01557" w14:paraId="111D8875" w14:textId="77777777">
      <w:pPr>
        <w:rPr>
          <w:szCs w:val="18"/>
        </w:rPr>
      </w:pPr>
    </w:p>
    <w:p w:rsidRPr="00B63478" w:rsidR="00F01557" w:rsidP="003A7160" w:rsidRDefault="00F01557" w14:paraId="3508BA89" w14:textId="77777777">
      <w:pPr>
        <w:rPr>
          <w:szCs w:val="18"/>
        </w:rPr>
      </w:pPr>
    </w:p>
    <w:p w:rsidRPr="00B63478" w:rsidR="00C7013F" w:rsidP="003A7160" w:rsidRDefault="00C7013F" w14:paraId="492BD955" w14:textId="77777777">
      <w:pPr>
        <w:rPr>
          <w:szCs w:val="18"/>
        </w:rPr>
      </w:pPr>
    </w:p>
    <w:p w:rsidRPr="00B63478" w:rsidR="00C7013F" w:rsidP="003A7160" w:rsidRDefault="00C7013F" w14:paraId="323D74A3" w14:textId="77777777">
      <w:pPr>
        <w:rPr>
          <w:szCs w:val="18"/>
        </w:rPr>
      </w:pPr>
    </w:p>
    <w:p w:rsidRPr="00B63478" w:rsidR="00820DDA" w:rsidP="00215964" w:rsidRDefault="00820DDA" w14:paraId="7AB0541F" w14:textId="77777777">
      <w:pPr>
        <w:spacing w:line="240" w:lineRule="auto"/>
        <w:rPr>
          <w:szCs w:val="18"/>
        </w:rPr>
      </w:pPr>
    </w:p>
    <w:sectPr w:rsidRPr="00B63478"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3686" w14:textId="77777777" w:rsidR="00DC691C" w:rsidRDefault="0059193B">
      <w:r>
        <w:separator/>
      </w:r>
    </w:p>
    <w:p w14:paraId="6FB6AF48" w14:textId="77777777" w:rsidR="00DC691C" w:rsidRDefault="00DC691C"/>
  </w:endnote>
  <w:endnote w:type="continuationSeparator" w:id="0">
    <w:p w14:paraId="21C4DF84" w14:textId="77777777" w:rsidR="00DC691C" w:rsidRDefault="0059193B">
      <w:r>
        <w:continuationSeparator/>
      </w:r>
    </w:p>
    <w:p w14:paraId="18BF8A0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658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65F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B741D" w14:paraId="3EC3B3CB" w14:textId="77777777" w:rsidTr="004C7E1D">
      <w:trPr>
        <w:trHeight w:hRule="exact" w:val="357"/>
      </w:trPr>
      <w:tc>
        <w:tcPr>
          <w:tcW w:w="7603" w:type="dxa"/>
        </w:tcPr>
        <w:p w14:paraId="148079D1" w14:textId="77777777" w:rsidR="002F71BB" w:rsidRPr="004C7E1D" w:rsidRDefault="002F71BB" w:rsidP="004C7E1D">
          <w:pPr>
            <w:spacing w:line="180" w:lineRule="exact"/>
            <w:rPr>
              <w:sz w:val="13"/>
              <w:szCs w:val="13"/>
            </w:rPr>
          </w:pPr>
        </w:p>
      </w:tc>
      <w:tc>
        <w:tcPr>
          <w:tcW w:w="2172" w:type="dxa"/>
        </w:tcPr>
        <w:p w14:paraId="1FCE0C89" w14:textId="787F705C" w:rsidR="002F71BB" w:rsidRPr="004C7E1D" w:rsidRDefault="0059193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C3F75">
            <w:rPr>
              <w:szCs w:val="13"/>
            </w:rPr>
            <w:t>4</w:t>
          </w:r>
          <w:r w:rsidRPr="004C7E1D">
            <w:rPr>
              <w:szCs w:val="13"/>
            </w:rPr>
            <w:fldChar w:fldCharType="end"/>
          </w:r>
        </w:p>
      </w:tc>
    </w:tr>
  </w:tbl>
  <w:p w14:paraId="74D54C4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B741D" w14:paraId="6D3734C0" w14:textId="77777777" w:rsidTr="004C7E1D">
      <w:trPr>
        <w:trHeight w:hRule="exact" w:val="357"/>
      </w:trPr>
      <w:tc>
        <w:tcPr>
          <w:tcW w:w="7709" w:type="dxa"/>
        </w:tcPr>
        <w:p w14:paraId="07691B9E" w14:textId="77777777" w:rsidR="00D17084" w:rsidRPr="004C7E1D" w:rsidRDefault="00D17084" w:rsidP="004C7E1D">
          <w:pPr>
            <w:spacing w:line="180" w:lineRule="exact"/>
            <w:rPr>
              <w:sz w:val="13"/>
              <w:szCs w:val="13"/>
            </w:rPr>
          </w:pPr>
        </w:p>
      </w:tc>
      <w:tc>
        <w:tcPr>
          <w:tcW w:w="2060" w:type="dxa"/>
        </w:tcPr>
        <w:p w14:paraId="6655309F" w14:textId="56609EA5" w:rsidR="00D17084" w:rsidRPr="004C7E1D" w:rsidRDefault="0059193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C3F75">
            <w:rPr>
              <w:szCs w:val="13"/>
            </w:rPr>
            <w:t>4</w:t>
          </w:r>
          <w:r w:rsidRPr="004C7E1D">
            <w:rPr>
              <w:szCs w:val="13"/>
            </w:rPr>
            <w:fldChar w:fldCharType="end"/>
          </w:r>
        </w:p>
      </w:tc>
    </w:tr>
  </w:tbl>
  <w:p w14:paraId="79EFA6A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5E53" w14:textId="77777777" w:rsidR="00DC691C" w:rsidRDefault="0059193B">
      <w:r>
        <w:separator/>
      </w:r>
    </w:p>
    <w:p w14:paraId="029464D5" w14:textId="77777777" w:rsidR="00DC691C" w:rsidRDefault="00DC691C"/>
  </w:footnote>
  <w:footnote w:type="continuationSeparator" w:id="0">
    <w:p w14:paraId="48955F99" w14:textId="77777777" w:rsidR="00DC691C" w:rsidRDefault="0059193B">
      <w:r>
        <w:continuationSeparator/>
      </w:r>
    </w:p>
    <w:p w14:paraId="2581445B" w14:textId="77777777" w:rsidR="00DC691C" w:rsidRDefault="00DC691C"/>
  </w:footnote>
  <w:footnote w:id="1">
    <w:p w14:paraId="0E0340DA" w14:textId="5E504D3A" w:rsidR="00C4572C" w:rsidRDefault="00C4572C">
      <w:pPr>
        <w:pStyle w:val="Voetnoottekst"/>
      </w:pPr>
      <w:r>
        <w:rPr>
          <w:rStyle w:val="Voetnootmarkering"/>
        </w:rPr>
        <w:footnoteRef/>
      </w:r>
      <w:r>
        <w:t xml:space="preserve"> PO-Raad, VO raad, MBO-Raad, AOb, CNV, FvOv, AVS, VH, UNL</w:t>
      </w:r>
      <w:r w:rsidR="00DC23FF">
        <w:t xml:space="preserve">, </w:t>
      </w:r>
      <w:r w:rsidR="003D0116">
        <w:t>O&amp;O PVVVO en BVMBO</w:t>
      </w:r>
    </w:p>
  </w:footnote>
  <w:footnote w:id="2">
    <w:p w14:paraId="5B3968EC" w14:textId="0E4BA834" w:rsidR="0059193B" w:rsidRDefault="0059193B" w:rsidP="0059193B">
      <w:pPr>
        <w:pStyle w:val="Voetnoottekst"/>
      </w:pPr>
      <w:r>
        <w:rPr>
          <w:rStyle w:val="Voetnootmarkering"/>
        </w:rPr>
        <w:footnoteRef/>
      </w:r>
      <w:r>
        <w:t xml:space="preserve"> Kamerstuk 27923, nr. </w:t>
      </w:r>
      <w:r w:rsidR="00B63478">
        <w:t>518</w:t>
      </w:r>
    </w:p>
  </w:footnote>
  <w:footnote w:id="3">
    <w:p w14:paraId="48AD2E43" w14:textId="6F1568E8" w:rsidR="002C0644" w:rsidRDefault="002C0644">
      <w:pPr>
        <w:pStyle w:val="Voetnoottekst"/>
      </w:pPr>
      <w:r>
        <w:rPr>
          <w:rStyle w:val="Voetnootmarkering"/>
        </w:rPr>
        <w:footnoteRef/>
      </w:r>
      <w:r>
        <w:t xml:space="preserve"> </w:t>
      </w:r>
      <w:r w:rsidRPr="002C0644">
        <w:t>Staatscommissie Demografische Ontwikkelingen 2050, (2024). Gematigde groei</w:t>
      </w:r>
      <w:r>
        <w:t xml:space="preserve"> </w:t>
      </w:r>
      <w:r w:rsidRPr="002C0644">
        <w:rPr>
          <w:rFonts w:ascii="Arial" w:hAnsi="Arial" w:cs="Arial"/>
        </w:rPr>
        <w:t> </w:t>
      </w:r>
      <w:r w:rsidRPr="002C0644">
        <w:rPr>
          <w:rFonts w:cs="Verdana"/>
        </w:rPr>
        <w:t>–</w:t>
      </w:r>
      <w:r w:rsidRPr="002C0644">
        <w:rPr>
          <w:rFonts w:ascii="Arial" w:hAnsi="Arial" w:cs="Arial"/>
        </w:rPr>
        <w:t> </w:t>
      </w:r>
      <w:r>
        <w:rPr>
          <w:rFonts w:ascii="Arial" w:hAnsi="Arial" w:cs="Arial"/>
        </w:rPr>
        <w:t xml:space="preserve"> </w:t>
      </w:r>
      <w:r w:rsidRPr="002C0644">
        <w:t>Rapport van de Staatscommissie Demografische Ontwikkelingen 2050, Den Haag.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244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B741D" w14:paraId="1A2B4B57" w14:textId="77777777" w:rsidTr="006D2D53">
      <w:trPr>
        <w:trHeight w:hRule="exact" w:val="400"/>
      </w:trPr>
      <w:tc>
        <w:tcPr>
          <w:tcW w:w="7518" w:type="dxa"/>
        </w:tcPr>
        <w:p w14:paraId="38AB2EB3" w14:textId="77777777" w:rsidR="00527BD4" w:rsidRPr="00275984" w:rsidRDefault="00527BD4" w:rsidP="00BF4427">
          <w:pPr>
            <w:pStyle w:val="Huisstijl-Rubricering"/>
          </w:pPr>
        </w:p>
      </w:tc>
    </w:tr>
  </w:tbl>
  <w:p w14:paraId="09F618E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741D" w14:paraId="17A33A45" w14:textId="77777777" w:rsidTr="003B528D">
      <w:tc>
        <w:tcPr>
          <w:tcW w:w="2160" w:type="dxa"/>
        </w:tcPr>
        <w:p w14:paraId="41273183" w14:textId="77777777" w:rsidR="002F71BB" w:rsidRPr="000407BB" w:rsidRDefault="0059193B" w:rsidP="005D283A">
          <w:pPr>
            <w:pStyle w:val="Colofonkop"/>
            <w:framePr w:hSpace="0" w:wrap="auto" w:vAnchor="margin" w:hAnchor="text" w:xAlign="left" w:yAlign="inline"/>
          </w:pPr>
          <w:r>
            <w:t>Onze referentie</w:t>
          </w:r>
        </w:p>
      </w:tc>
    </w:tr>
    <w:tr w:rsidR="00CB741D" w14:paraId="379773E8" w14:textId="77777777" w:rsidTr="002F71BB">
      <w:trPr>
        <w:trHeight w:val="259"/>
      </w:trPr>
      <w:tc>
        <w:tcPr>
          <w:tcW w:w="2160" w:type="dxa"/>
        </w:tcPr>
        <w:p w14:paraId="6BFF2E13" w14:textId="77777777" w:rsidR="00E35CF4" w:rsidRPr="005D283A" w:rsidRDefault="0059193B" w:rsidP="0049501A">
          <w:pPr>
            <w:spacing w:line="180" w:lineRule="exact"/>
            <w:rPr>
              <w:sz w:val="13"/>
              <w:szCs w:val="13"/>
            </w:rPr>
          </w:pPr>
          <w:r>
            <w:rPr>
              <w:sz w:val="13"/>
              <w:szCs w:val="13"/>
            </w:rPr>
            <w:t>62714439</w:t>
          </w:r>
        </w:p>
      </w:tc>
    </w:tr>
  </w:tbl>
  <w:p w14:paraId="48465F6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741D" w14:paraId="340598A7" w14:textId="77777777" w:rsidTr="001377D4">
      <w:trPr>
        <w:trHeight w:val="2636"/>
      </w:trPr>
      <w:tc>
        <w:tcPr>
          <w:tcW w:w="737" w:type="dxa"/>
        </w:tcPr>
        <w:p w14:paraId="63A8C53C" w14:textId="77777777" w:rsidR="00704845" w:rsidRDefault="00704845" w:rsidP="0047126E">
          <w:pPr>
            <w:framePr w:w="6339" w:h="2750" w:hRule="exact" w:hSpace="181" w:wrap="around" w:vAnchor="page" w:hAnchor="page" w:x="5586" w:y="1"/>
            <w:spacing w:line="240" w:lineRule="auto"/>
          </w:pPr>
        </w:p>
      </w:tc>
      <w:tc>
        <w:tcPr>
          <w:tcW w:w="5156" w:type="dxa"/>
        </w:tcPr>
        <w:p w14:paraId="5CA36975" w14:textId="77777777" w:rsidR="00704845" w:rsidRDefault="0059193B" w:rsidP="0047126E">
          <w:pPr>
            <w:framePr w:w="3873" w:h="2625" w:hRule="exact" w:wrap="around" w:vAnchor="page" w:hAnchor="page" w:x="6323" w:y="1"/>
          </w:pPr>
          <w:r>
            <w:rPr>
              <w:noProof/>
              <w:lang w:val="en-US" w:eastAsia="en-US"/>
            </w:rPr>
            <w:drawing>
              <wp:inline distT="0" distB="0" distL="0" distR="0" wp14:anchorId="55E9AE47" wp14:editId="00CFD0A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11A578" w14:textId="77777777" w:rsidR="00483ECA" w:rsidRDefault="00483ECA" w:rsidP="00D037A9"/>
      </w:tc>
    </w:tr>
  </w:tbl>
  <w:p w14:paraId="55BE110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B741D" w14:paraId="3FAA67E1" w14:textId="77777777" w:rsidTr="0008539E">
      <w:trPr>
        <w:trHeight w:hRule="exact" w:val="572"/>
      </w:trPr>
      <w:tc>
        <w:tcPr>
          <w:tcW w:w="7520" w:type="dxa"/>
        </w:tcPr>
        <w:p w14:paraId="779F91D4" w14:textId="77777777" w:rsidR="00527BD4" w:rsidRPr="00963440" w:rsidRDefault="0059193B" w:rsidP="00210BA3">
          <w:pPr>
            <w:pStyle w:val="Huisstijl-Adres"/>
            <w:spacing w:after="0"/>
          </w:pPr>
          <w:r w:rsidRPr="009E3B07">
            <w:t>&gt;Retouradres </w:t>
          </w:r>
          <w:r>
            <w:t>Postbus 16375 2500 BJ Den Haag</w:t>
          </w:r>
          <w:r w:rsidRPr="009E3B07">
            <w:t xml:space="preserve"> </w:t>
          </w:r>
        </w:p>
      </w:tc>
    </w:tr>
    <w:tr w:rsidR="00CB741D" w14:paraId="06D15DCE" w14:textId="77777777" w:rsidTr="00E776C6">
      <w:trPr>
        <w:cantSplit/>
        <w:trHeight w:hRule="exact" w:val="238"/>
      </w:trPr>
      <w:tc>
        <w:tcPr>
          <w:tcW w:w="7520" w:type="dxa"/>
        </w:tcPr>
        <w:p w14:paraId="075FF1F1" w14:textId="77777777" w:rsidR="00093ABC" w:rsidRPr="00963440" w:rsidRDefault="00093ABC" w:rsidP="00963440"/>
      </w:tc>
    </w:tr>
    <w:tr w:rsidR="00CB741D" w14:paraId="42084DB3" w14:textId="77777777" w:rsidTr="00E776C6">
      <w:trPr>
        <w:cantSplit/>
        <w:trHeight w:hRule="exact" w:val="1520"/>
      </w:trPr>
      <w:tc>
        <w:tcPr>
          <w:tcW w:w="7520" w:type="dxa"/>
        </w:tcPr>
        <w:p w14:paraId="2908649B" w14:textId="77777777" w:rsidR="00A604D3" w:rsidRPr="00963440" w:rsidRDefault="00A604D3" w:rsidP="00963440"/>
      </w:tc>
    </w:tr>
    <w:tr w:rsidR="00CB741D" w14:paraId="46945D4E" w14:textId="77777777" w:rsidTr="00E776C6">
      <w:trPr>
        <w:trHeight w:hRule="exact" w:val="1077"/>
      </w:trPr>
      <w:tc>
        <w:tcPr>
          <w:tcW w:w="7520" w:type="dxa"/>
        </w:tcPr>
        <w:p w14:paraId="53999921" w14:textId="77777777" w:rsidR="00892BA5" w:rsidRPr="00035E67" w:rsidRDefault="00892BA5" w:rsidP="00892BA5">
          <w:pPr>
            <w:tabs>
              <w:tab w:val="left" w:pos="740"/>
            </w:tabs>
            <w:autoSpaceDE w:val="0"/>
            <w:autoSpaceDN w:val="0"/>
            <w:adjustRightInd w:val="0"/>
            <w:rPr>
              <w:rFonts w:cs="Verdana"/>
              <w:szCs w:val="18"/>
            </w:rPr>
          </w:pPr>
        </w:p>
      </w:tc>
    </w:tr>
  </w:tbl>
  <w:p w14:paraId="44CC5CC4" w14:textId="77777777" w:rsidR="006F273B" w:rsidRDefault="006F273B" w:rsidP="00BC4AE3">
    <w:pPr>
      <w:pStyle w:val="Koptekst"/>
    </w:pPr>
  </w:p>
  <w:p w14:paraId="6F0FA677" w14:textId="77777777" w:rsidR="00153BD0" w:rsidRDefault="00153BD0" w:rsidP="00BC4AE3">
    <w:pPr>
      <w:pStyle w:val="Koptekst"/>
    </w:pPr>
  </w:p>
  <w:p w14:paraId="46720636" w14:textId="77777777" w:rsidR="0044605E" w:rsidRDefault="0044605E" w:rsidP="00BC4AE3">
    <w:pPr>
      <w:pStyle w:val="Koptekst"/>
    </w:pPr>
  </w:p>
  <w:p w14:paraId="1F651D83" w14:textId="77777777" w:rsidR="0044605E" w:rsidRDefault="0044605E" w:rsidP="00BC4AE3">
    <w:pPr>
      <w:pStyle w:val="Koptekst"/>
    </w:pPr>
  </w:p>
  <w:p w14:paraId="0529E08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AAB0A0">
      <w:start w:val="1"/>
      <w:numFmt w:val="bullet"/>
      <w:pStyle w:val="Lijstopsomteken"/>
      <w:lvlText w:val="•"/>
      <w:lvlJc w:val="left"/>
      <w:pPr>
        <w:tabs>
          <w:tab w:val="num" w:pos="227"/>
        </w:tabs>
        <w:ind w:left="227" w:hanging="227"/>
      </w:pPr>
      <w:rPr>
        <w:rFonts w:ascii="Verdana" w:hAnsi="Verdana" w:hint="default"/>
        <w:sz w:val="18"/>
        <w:szCs w:val="18"/>
      </w:rPr>
    </w:lvl>
    <w:lvl w:ilvl="1" w:tplc="5B680CEA" w:tentative="1">
      <w:start w:val="1"/>
      <w:numFmt w:val="bullet"/>
      <w:lvlText w:val="o"/>
      <w:lvlJc w:val="left"/>
      <w:pPr>
        <w:tabs>
          <w:tab w:val="num" w:pos="1440"/>
        </w:tabs>
        <w:ind w:left="1440" w:hanging="360"/>
      </w:pPr>
      <w:rPr>
        <w:rFonts w:ascii="Courier New" w:hAnsi="Courier New" w:cs="Courier New" w:hint="default"/>
      </w:rPr>
    </w:lvl>
    <w:lvl w:ilvl="2" w:tplc="C576C7BE" w:tentative="1">
      <w:start w:val="1"/>
      <w:numFmt w:val="bullet"/>
      <w:lvlText w:val=""/>
      <w:lvlJc w:val="left"/>
      <w:pPr>
        <w:tabs>
          <w:tab w:val="num" w:pos="2160"/>
        </w:tabs>
        <w:ind w:left="2160" w:hanging="360"/>
      </w:pPr>
      <w:rPr>
        <w:rFonts w:ascii="Wingdings" w:hAnsi="Wingdings" w:hint="default"/>
      </w:rPr>
    </w:lvl>
    <w:lvl w:ilvl="3" w:tplc="7C4CEDF0" w:tentative="1">
      <w:start w:val="1"/>
      <w:numFmt w:val="bullet"/>
      <w:lvlText w:val=""/>
      <w:lvlJc w:val="left"/>
      <w:pPr>
        <w:tabs>
          <w:tab w:val="num" w:pos="2880"/>
        </w:tabs>
        <w:ind w:left="2880" w:hanging="360"/>
      </w:pPr>
      <w:rPr>
        <w:rFonts w:ascii="Symbol" w:hAnsi="Symbol" w:hint="default"/>
      </w:rPr>
    </w:lvl>
    <w:lvl w:ilvl="4" w:tplc="AC3E6F20" w:tentative="1">
      <w:start w:val="1"/>
      <w:numFmt w:val="bullet"/>
      <w:lvlText w:val="o"/>
      <w:lvlJc w:val="left"/>
      <w:pPr>
        <w:tabs>
          <w:tab w:val="num" w:pos="3600"/>
        </w:tabs>
        <w:ind w:left="3600" w:hanging="360"/>
      </w:pPr>
      <w:rPr>
        <w:rFonts w:ascii="Courier New" w:hAnsi="Courier New" w:cs="Courier New" w:hint="default"/>
      </w:rPr>
    </w:lvl>
    <w:lvl w:ilvl="5" w:tplc="C1F207AC" w:tentative="1">
      <w:start w:val="1"/>
      <w:numFmt w:val="bullet"/>
      <w:lvlText w:val=""/>
      <w:lvlJc w:val="left"/>
      <w:pPr>
        <w:tabs>
          <w:tab w:val="num" w:pos="4320"/>
        </w:tabs>
        <w:ind w:left="4320" w:hanging="360"/>
      </w:pPr>
      <w:rPr>
        <w:rFonts w:ascii="Wingdings" w:hAnsi="Wingdings" w:hint="default"/>
      </w:rPr>
    </w:lvl>
    <w:lvl w:ilvl="6" w:tplc="C41C1AC4" w:tentative="1">
      <w:start w:val="1"/>
      <w:numFmt w:val="bullet"/>
      <w:lvlText w:val=""/>
      <w:lvlJc w:val="left"/>
      <w:pPr>
        <w:tabs>
          <w:tab w:val="num" w:pos="5040"/>
        </w:tabs>
        <w:ind w:left="5040" w:hanging="360"/>
      </w:pPr>
      <w:rPr>
        <w:rFonts w:ascii="Symbol" w:hAnsi="Symbol" w:hint="default"/>
      </w:rPr>
    </w:lvl>
    <w:lvl w:ilvl="7" w:tplc="22AA2918" w:tentative="1">
      <w:start w:val="1"/>
      <w:numFmt w:val="bullet"/>
      <w:lvlText w:val="o"/>
      <w:lvlJc w:val="left"/>
      <w:pPr>
        <w:tabs>
          <w:tab w:val="num" w:pos="5760"/>
        </w:tabs>
        <w:ind w:left="5760" w:hanging="360"/>
      </w:pPr>
      <w:rPr>
        <w:rFonts w:ascii="Courier New" w:hAnsi="Courier New" w:cs="Courier New" w:hint="default"/>
      </w:rPr>
    </w:lvl>
    <w:lvl w:ilvl="8" w:tplc="082CFD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8DC9E52">
      <w:start w:val="1"/>
      <w:numFmt w:val="bullet"/>
      <w:pStyle w:val="Lijstopsomteken2"/>
      <w:lvlText w:val="–"/>
      <w:lvlJc w:val="left"/>
      <w:pPr>
        <w:tabs>
          <w:tab w:val="num" w:pos="227"/>
        </w:tabs>
        <w:ind w:left="227" w:firstLine="0"/>
      </w:pPr>
      <w:rPr>
        <w:rFonts w:ascii="Verdana" w:hAnsi="Verdana" w:hint="default"/>
      </w:rPr>
    </w:lvl>
    <w:lvl w:ilvl="1" w:tplc="307A26E6" w:tentative="1">
      <w:start w:val="1"/>
      <w:numFmt w:val="bullet"/>
      <w:lvlText w:val="o"/>
      <w:lvlJc w:val="left"/>
      <w:pPr>
        <w:tabs>
          <w:tab w:val="num" w:pos="1440"/>
        </w:tabs>
        <w:ind w:left="1440" w:hanging="360"/>
      </w:pPr>
      <w:rPr>
        <w:rFonts w:ascii="Courier New" w:hAnsi="Courier New" w:cs="Courier New" w:hint="default"/>
      </w:rPr>
    </w:lvl>
    <w:lvl w:ilvl="2" w:tplc="B658DFEE" w:tentative="1">
      <w:start w:val="1"/>
      <w:numFmt w:val="bullet"/>
      <w:lvlText w:val=""/>
      <w:lvlJc w:val="left"/>
      <w:pPr>
        <w:tabs>
          <w:tab w:val="num" w:pos="2160"/>
        </w:tabs>
        <w:ind w:left="2160" w:hanging="360"/>
      </w:pPr>
      <w:rPr>
        <w:rFonts w:ascii="Wingdings" w:hAnsi="Wingdings" w:hint="default"/>
      </w:rPr>
    </w:lvl>
    <w:lvl w:ilvl="3" w:tplc="39746478" w:tentative="1">
      <w:start w:val="1"/>
      <w:numFmt w:val="bullet"/>
      <w:lvlText w:val=""/>
      <w:lvlJc w:val="left"/>
      <w:pPr>
        <w:tabs>
          <w:tab w:val="num" w:pos="2880"/>
        </w:tabs>
        <w:ind w:left="2880" w:hanging="360"/>
      </w:pPr>
      <w:rPr>
        <w:rFonts w:ascii="Symbol" w:hAnsi="Symbol" w:hint="default"/>
      </w:rPr>
    </w:lvl>
    <w:lvl w:ilvl="4" w:tplc="ABE85C10" w:tentative="1">
      <w:start w:val="1"/>
      <w:numFmt w:val="bullet"/>
      <w:lvlText w:val="o"/>
      <w:lvlJc w:val="left"/>
      <w:pPr>
        <w:tabs>
          <w:tab w:val="num" w:pos="3600"/>
        </w:tabs>
        <w:ind w:left="3600" w:hanging="360"/>
      </w:pPr>
      <w:rPr>
        <w:rFonts w:ascii="Courier New" w:hAnsi="Courier New" w:cs="Courier New" w:hint="default"/>
      </w:rPr>
    </w:lvl>
    <w:lvl w:ilvl="5" w:tplc="2632C086" w:tentative="1">
      <w:start w:val="1"/>
      <w:numFmt w:val="bullet"/>
      <w:lvlText w:val=""/>
      <w:lvlJc w:val="left"/>
      <w:pPr>
        <w:tabs>
          <w:tab w:val="num" w:pos="4320"/>
        </w:tabs>
        <w:ind w:left="4320" w:hanging="360"/>
      </w:pPr>
      <w:rPr>
        <w:rFonts w:ascii="Wingdings" w:hAnsi="Wingdings" w:hint="default"/>
      </w:rPr>
    </w:lvl>
    <w:lvl w:ilvl="6" w:tplc="616CFEEE" w:tentative="1">
      <w:start w:val="1"/>
      <w:numFmt w:val="bullet"/>
      <w:lvlText w:val=""/>
      <w:lvlJc w:val="left"/>
      <w:pPr>
        <w:tabs>
          <w:tab w:val="num" w:pos="5040"/>
        </w:tabs>
        <w:ind w:left="5040" w:hanging="360"/>
      </w:pPr>
      <w:rPr>
        <w:rFonts w:ascii="Symbol" w:hAnsi="Symbol" w:hint="default"/>
      </w:rPr>
    </w:lvl>
    <w:lvl w:ilvl="7" w:tplc="B5C4D47C" w:tentative="1">
      <w:start w:val="1"/>
      <w:numFmt w:val="bullet"/>
      <w:lvlText w:val="o"/>
      <w:lvlJc w:val="left"/>
      <w:pPr>
        <w:tabs>
          <w:tab w:val="num" w:pos="5760"/>
        </w:tabs>
        <w:ind w:left="5760" w:hanging="360"/>
      </w:pPr>
      <w:rPr>
        <w:rFonts w:ascii="Courier New" w:hAnsi="Courier New" w:cs="Courier New" w:hint="default"/>
      </w:rPr>
    </w:lvl>
    <w:lvl w:ilvl="8" w:tplc="4E208D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00000"/>
    <w:multiLevelType w:val="hybridMultilevel"/>
    <w:tmpl w:val="43734123"/>
    <w:lvl w:ilvl="0" w:tplc="406024EC">
      <w:start w:val="1"/>
      <w:numFmt w:val="decimal"/>
      <w:lvlText w:val="%1."/>
      <w:lvlJc w:val="left"/>
      <w:pPr>
        <w:ind w:left="360" w:hanging="360"/>
      </w:pPr>
      <w:rPr>
        <w:rFonts w:hint="default"/>
        <w:shd w:val="clear" w:color="auto" w:fill="auto"/>
      </w:rPr>
    </w:lvl>
    <w:lvl w:ilvl="1" w:tplc="C4A2029E">
      <w:start w:val="1"/>
      <w:numFmt w:val="lowerLetter"/>
      <w:lvlText w:val="%2."/>
      <w:lvlJc w:val="left"/>
      <w:pPr>
        <w:ind w:left="1080" w:hanging="360"/>
      </w:pPr>
      <w:rPr>
        <w:shd w:val="clear" w:color="auto" w:fill="auto"/>
      </w:rPr>
    </w:lvl>
    <w:lvl w:ilvl="2" w:tplc="E128659C">
      <w:start w:val="1"/>
      <w:numFmt w:val="lowerRoman"/>
      <w:lvlText w:val="%3."/>
      <w:lvlJc w:val="right"/>
      <w:pPr>
        <w:ind w:left="1800" w:hanging="180"/>
      </w:pPr>
      <w:rPr>
        <w:shd w:val="clear" w:color="auto" w:fill="auto"/>
      </w:rPr>
    </w:lvl>
    <w:lvl w:ilvl="3" w:tplc="8208EBAA">
      <w:start w:val="1"/>
      <w:numFmt w:val="decimal"/>
      <w:lvlText w:val="%4."/>
      <w:lvlJc w:val="left"/>
      <w:pPr>
        <w:ind w:left="2520" w:hanging="360"/>
      </w:pPr>
      <w:rPr>
        <w:shd w:val="clear" w:color="auto" w:fill="auto"/>
      </w:rPr>
    </w:lvl>
    <w:lvl w:ilvl="4" w:tplc="807EF206">
      <w:start w:val="1"/>
      <w:numFmt w:val="lowerLetter"/>
      <w:lvlText w:val="%5."/>
      <w:lvlJc w:val="left"/>
      <w:pPr>
        <w:ind w:left="3240" w:hanging="360"/>
      </w:pPr>
      <w:rPr>
        <w:shd w:val="clear" w:color="auto" w:fill="auto"/>
      </w:rPr>
    </w:lvl>
    <w:lvl w:ilvl="5" w:tplc="51B641E8">
      <w:start w:val="1"/>
      <w:numFmt w:val="lowerRoman"/>
      <w:lvlText w:val="%6."/>
      <w:lvlJc w:val="right"/>
      <w:pPr>
        <w:ind w:left="3960" w:hanging="180"/>
      </w:pPr>
      <w:rPr>
        <w:shd w:val="clear" w:color="auto" w:fill="auto"/>
      </w:rPr>
    </w:lvl>
    <w:lvl w:ilvl="6" w:tplc="AB36ECAA">
      <w:start w:val="1"/>
      <w:numFmt w:val="decimal"/>
      <w:lvlText w:val="%7."/>
      <w:lvlJc w:val="left"/>
      <w:pPr>
        <w:ind w:left="4680" w:hanging="360"/>
      </w:pPr>
      <w:rPr>
        <w:shd w:val="clear" w:color="auto" w:fill="auto"/>
      </w:rPr>
    </w:lvl>
    <w:lvl w:ilvl="7" w:tplc="F4AC1FEC">
      <w:start w:val="1"/>
      <w:numFmt w:val="lowerLetter"/>
      <w:lvlText w:val="%8."/>
      <w:lvlJc w:val="left"/>
      <w:pPr>
        <w:ind w:left="5400" w:hanging="360"/>
      </w:pPr>
      <w:rPr>
        <w:shd w:val="clear" w:color="auto" w:fill="auto"/>
      </w:rPr>
    </w:lvl>
    <w:lvl w:ilvl="8" w:tplc="FCAE364A">
      <w:start w:val="1"/>
      <w:numFmt w:val="lowerRoman"/>
      <w:lvlText w:val="%9."/>
      <w:lvlJc w:val="right"/>
      <w:pPr>
        <w:ind w:left="6120" w:hanging="180"/>
      </w:pPr>
      <w:rPr>
        <w:shd w:val="clear" w:color="auto" w:fill="auto"/>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5218093">
    <w:abstractNumId w:val="10"/>
  </w:num>
  <w:num w:numId="2" w16cid:durableId="1589146041">
    <w:abstractNumId w:val="7"/>
  </w:num>
  <w:num w:numId="3" w16cid:durableId="312492716">
    <w:abstractNumId w:val="6"/>
  </w:num>
  <w:num w:numId="4" w16cid:durableId="389039331">
    <w:abstractNumId w:val="5"/>
  </w:num>
  <w:num w:numId="5" w16cid:durableId="464009216">
    <w:abstractNumId w:val="4"/>
  </w:num>
  <w:num w:numId="6" w16cid:durableId="2063821685">
    <w:abstractNumId w:val="8"/>
  </w:num>
  <w:num w:numId="7" w16cid:durableId="101919787">
    <w:abstractNumId w:val="3"/>
  </w:num>
  <w:num w:numId="8" w16cid:durableId="213586791">
    <w:abstractNumId w:val="2"/>
  </w:num>
  <w:num w:numId="9" w16cid:durableId="1617104490">
    <w:abstractNumId w:val="1"/>
  </w:num>
  <w:num w:numId="10" w16cid:durableId="1147550781">
    <w:abstractNumId w:val="0"/>
  </w:num>
  <w:num w:numId="11" w16cid:durableId="1912495105">
    <w:abstractNumId w:val="9"/>
  </w:num>
  <w:num w:numId="12" w16cid:durableId="1879663902">
    <w:abstractNumId w:val="11"/>
  </w:num>
  <w:num w:numId="13" w16cid:durableId="1537692239">
    <w:abstractNumId w:val="14"/>
  </w:num>
  <w:num w:numId="14" w16cid:durableId="964432147">
    <w:abstractNumId w:val="12"/>
  </w:num>
  <w:num w:numId="15" w16cid:durableId="6343308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ADF"/>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4CDF"/>
    <w:rsid w:val="000A65AC"/>
    <w:rsid w:val="000B1E64"/>
    <w:rsid w:val="000B7281"/>
    <w:rsid w:val="000B7FAB"/>
    <w:rsid w:val="000C1BA1"/>
    <w:rsid w:val="000C3EA9"/>
    <w:rsid w:val="000C4A32"/>
    <w:rsid w:val="000C65BB"/>
    <w:rsid w:val="000C7119"/>
    <w:rsid w:val="000D0225"/>
    <w:rsid w:val="000D13ED"/>
    <w:rsid w:val="000D249E"/>
    <w:rsid w:val="000D6399"/>
    <w:rsid w:val="000E04A1"/>
    <w:rsid w:val="000E5886"/>
    <w:rsid w:val="000E6621"/>
    <w:rsid w:val="000E744B"/>
    <w:rsid w:val="000E7895"/>
    <w:rsid w:val="000F161D"/>
    <w:rsid w:val="000F19A7"/>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27AC"/>
    <w:rsid w:val="00202956"/>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4B7"/>
    <w:rsid w:val="00280F74"/>
    <w:rsid w:val="00286998"/>
    <w:rsid w:val="00291AB7"/>
    <w:rsid w:val="0029422B"/>
    <w:rsid w:val="00294DCB"/>
    <w:rsid w:val="002A06CE"/>
    <w:rsid w:val="002A37B5"/>
    <w:rsid w:val="002A6722"/>
    <w:rsid w:val="002B153C"/>
    <w:rsid w:val="002B52FC"/>
    <w:rsid w:val="002B6E90"/>
    <w:rsid w:val="002C0644"/>
    <w:rsid w:val="002C26D0"/>
    <w:rsid w:val="002C2830"/>
    <w:rsid w:val="002C3CE0"/>
    <w:rsid w:val="002C3F75"/>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495"/>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0116"/>
    <w:rsid w:val="003D39EC"/>
    <w:rsid w:val="003D40EA"/>
    <w:rsid w:val="003E188E"/>
    <w:rsid w:val="003E3DD5"/>
    <w:rsid w:val="003F07C6"/>
    <w:rsid w:val="003F1F6B"/>
    <w:rsid w:val="003F3757"/>
    <w:rsid w:val="003F44B7"/>
    <w:rsid w:val="004008E9"/>
    <w:rsid w:val="00407991"/>
    <w:rsid w:val="0041019E"/>
    <w:rsid w:val="00413D48"/>
    <w:rsid w:val="00416D5A"/>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369C"/>
    <w:rsid w:val="00474463"/>
    <w:rsid w:val="00474B75"/>
    <w:rsid w:val="00483ECA"/>
    <w:rsid w:val="00483F0B"/>
    <w:rsid w:val="0049501A"/>
    <w:rsid w:val="00496319"/>
    <w:rsid w:val="0049657E"/>
    <w:rsid w:val="00497279"/>
    <w:rsid w:val="004A010B"/>
    <w:rsid w:val="004A3186"/>
    <w:rsid w:val="004A3D1E"/>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193B"/>
    <w:rsid w:val="00593C2B"/>
    <w:rsid w:val="00595231"/>
    <w:rsid w:val="00595CBB"/>
    <w:rsid w:val="00596166"/>
    <w:rsid w:val="00597F64"/>
    <w:rsid w:val="005A1AF5"/>
    <w:rsid w:val="005A207F"/>
    <w:rsid w:val="005A2F35"/>
    <w:rsid w:val="005A7512"/>
    <w:rsid w:val="005B2E29"/>
    <w:rsid w:val="005B3441"/>
    <w:rsid w:val="005B463E"/>
    <w:rsid w:val="005B4FAC"/>
    <w:rsid w:val="005B5D8B"/>
    <w:rsid w:val="005C34E1"/>
    <w:rsid w:val="005C3FE0"/>
    <w:rsid w:val="005C4C82"/>
    <w:rsid w:val="005C740C"/>
    <w:rsid w:val="005D1EE5"/>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5302"/>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4976"/>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856"/>
    <w:rsid w:val="006E3FA9"/>
    <w:rsid w:val="006E7D82"/>
    <w:rsid w:val="006F038F"/>
    <w:rsid w:val="006F0F93"/>
    <w:rsid w:val="006F273B"/>
    <w:rsid w:val="006F31F2"/>
    <w:rsid w:val="00704845"/>
    <w:rsid w:val="00706AB3"/>
    <w:rsid w:val="007134F1"/>
    <w:rsid w:val="00714DC5"/>
    <w:rsid w:val="00715237"/>
    <w:rsid w:val="007174F4"/>
    <w:rsid w:val="00721D2E"/>
    <w:rsid w:val="007242CC"/>
    <w:rsid w:val="00724A8B"/>
    <w:rsid w:val="007254A5"/>
    <w:rsid w:val="00725748"/>
    <w:rsid w:val="00727AAC"/>
    <w:rsid w:val="00733660"/>
    <w:rsid w:val="00735D88"/>
    <w:rsid w:val="0073720D"/>
    <w:rsid w:val="00737507"/>
    <w:rsid w:val="00740712"/>
    <w:rsid w:val="00741309"/>
    <w:rsid w:val="00742AB9"/>
    <w:rsid w:val="00743995"/>
    <w:rsid w:val="00745AE0"/>
    <w:rsid w:val="00751A6A"/>
    <w:rsid w:val="00754AD6"/>
    <w:rsid w:val="00754FBF"/>
    <w:rsid w:val="007615AC"/>
    <w:rsid w:val="00764585"/>
    <w:rsid w:val="00767FEF"/>
    <w:rsid w:val="007709EF"/>
    <w:rsid w:val="00774A95"/>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13D7"/>
    <w:rsid w:val="00872271"/>
    <w:rsid w:val="008731F6"/>
    <w:rsid w:val="00873684"/>
    <w:rsid w:val="00874982"/>
    <w:rsid w:val="008762B6"/>
    <w:rsid w:val="00883137"/>
    <w:rsid w:val="0089165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4F51"/>
    <w:rsid w:val="00910642"/>
    <w:rsid w:val="00910DDF"/>
    <w:rsid w:val="00915EDA"/>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922"/>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B3F"/>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27"/>
    <w:rsid w:val="00AE013D"/>
    <w:rsid w:val="00AE11B7"/>
    <w:rsid w:val="00AE131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7981"/>
    <w:rsid w:val="00B41F2A"/>
    <w:rsid w:val="00B425F0"/>
    <w:rsid w:val="00B42DFA"/>
    <w:rsid w:val="00B50571"/>
    <w:rsid w:val="00B531DD"/>
    <w:rsid w:val="00B55014"/>
    <w:rsid w:val="00B55B52"/>
    <w:rsid w:val="00B62232"/>
    <w:rsid w:val="00B626DD"/>
    <w:rsid w:val="00B63478"/>
    <w:rsid w:val="00B70BF3"/>
    <w:rsid w:val="00B70D24"/>
    <w:rsid w:val="00B70E51"/>
    <w:rsid w:val="00B71DC2"/>
    <w:rsid w:val="00B80DB6"/>
    <w:rsid w:val="00B81AD2"/>
    <w:rsid w:val="00B81AEC"/>
    <w:rsid w:val="00B8552F"/>
    <w:rsid w:val="00B85A66"/>
    <w:rsid w:val="00B85ED4"/>
    <w:rsid w:val="00B85F07"/>
    <w:rsid w:val="00B91CFC"/>
    <w:rsid w:val="00B93893"/>
    <w:rsid w:val="00B97E06"/>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572C"/>
    <w:rsid w:val="00C47F04"/>
    <w:rsid w:val="00C50E87"/>
    <w:rsid w:val="00C5258E"/>
    <w:rsid w:val="00C5333A"/>
    <w:rsid w:val="00C53BD7"/>
    <w:rsid w:val="00C55923"/>
    <w:rsid w:val="00C619A7"/>
    <w:rsid w:val="00C64E34"/>
    <w:rsid w:val="00C6545E"/>
    <w:rsid w:val="00C7013F"/>
    <w:rsid w:val="00C7097A"/>
    <w:rsid w:val="00C72B2E"/>
    <w:rsid w:val="00C736E8"/>
    <w:rsid w:val="00C73D5F"/>
    <w:rsid w:val="00C90B86"/>
    <w:rsid w:val="00C965EF"/>
    <w:rsid w:val="00C97C80"/>
    <w:rsid w:val="00CA1D00"/>
    <w:rsid w:val="00CA35E4"/>
    <w:rsid w:val="00CA47D3"/>
    <w:rsid w:val="00CA6533"/>
    <w:rsid w:val="00CA6A25"/>
    <w:rsid w:val="00CA6A3F"/>
    <w:rsid w:val="00CA7C99"/>
    <w:rsid w:val="00CB081F"/>
    <w:rsid w:val="00CB741D"/>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58D6"/>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55C6B"/>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27B"/>
    <w:rsid w:val="00DC23FF"/>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42D"/>
    <w:rsid w:val="00E01A59"/>
    <w:rsid w:val="00E0622C"/>
    <w:rsid w:val="00E0675E"/>
    <w:rsid w:val="00E10DC6"/>
    <w:rsid w:val="00E11F8E"/>
    <w:rsid w:val="00E13D95"/>
    <w:rsid w:val="00E14AA3"/>
    <w:rsid w:val="00E15881"/>
    <w:rsid w:val="00E16A8F"/>
    <w:rsid w:val="00E17CA2"/>
    <w:rsid w:val="00E20C25"/>
    <w:rsid w:val="00E21DE3"/>
    <w:rsid w:val="00E233D5"/>
    <w:rsid w:val="00E273FD"/>
    <w:rsid w:val="00E307D1"/>
    <w:rsid w:val="00E35710"/>
    <w:rsid w:val="00E35CF4"/>
    <w:rsid w:val="00E3731D"/>
    <w:rsid w:val="00E37811"/>
    <w:rsid w:val="00E468E4"/>
    <w:rsid w:val="00E46B79"/>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BD6"/>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177E"/>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744C2"/>
  <w15:docId w15:val="{EED69E13-9B00-425F-846B-44E21821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59193B"/>
    <w:rPr>
      <w:rFonts w:ascii="Verdana" w:eastAsiaTheme="minorHAnsi" w:hAnsi="Verdana" w:cstheme="minorBidi"/>
      <w:lang w:val="nl-NL"/>
    </w:rPr>
  </w:style>
  <w:style w:type="paragraph" w:styleId="Lijstalinea">
    <w:name w:val="List Paragraph"/>
    <w:basedOn w:val="Standaard"/>
    <w:uiPriority w:val="34"/>
    <w:qFormat/>
    <w:rsid w:val="0059193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59193B"/>
    <w:rPr>
      <w:rFonts w:ascii="Verdana" w:hAnsi="Verdana"/>
      <w:sz w:val="13"/>
      <w:lang w:val="nl-NL" w:eastAsia="nl-NL"/>
    </w:rPr>
  </w:style>
  <w:style w:type="character" w:styleId="Voetnootmarkering">
    <w:name w:val="footnote reference"/>
    <w:basedOn w:val="Standaardalinea-lettertype"/>
    <w:uiPriority w:val="99"/>
    <w:unhideWhenUsed/>
    <w:rsid w:val="0059193B"/>
    <w:rPr>
      <w:vertAlign w:val="superscript"/>
    </w:rPr>
  </w:style>
  <w:style w:type="paragraph" w:styleId="Revisie">
    <w:name w:val="Revision"/>
    <w:hidden/>
    <w:uiPriority w:val="99"/>
    <w:semiHidden/>
    <w:rsid w:val="002C0644"/>
    <w:rPr>
      <w:rFonts w:ascii="Verdana" w:hAnsi="Verdana"/>
      <w:sz w:val="18"/>
      <w:szCs w:val="24"/>
      <w:lang w:val="nl-NL" w:eastAsia="nl-NL"/>
    </w:rPr>
  </w:style>
  <w:style w:type="character" w:styleId="Verwijzingopmerking">
    <w:name w:val="annotation reference"/>
    <w:basedOn w:val="Standaardalinea-lettertype"/>
    <w:rsid w:val="00AD7C27"/>
    <w:rPr>
      <w:sz w:val="16"/>
      <w:szCs w:val="16"/>
    </w:rPr>
  </w:style>
  <w:style w:type="paragraph" w:styleId="Tekstopmerking">
    <w:name w:val="annotation text"/>
    <w:basedOn w:val="Standaard"/>
    <w:link w:val="TekstopmerkingChar"/>
    <w:rsid w:val="00AD7C27"/>
    <w:pPr>
      <w:spacing w:line="240" w:lineRule="auto"/>
    </w:pPr>
    <w:rPr>
      <w:sz w:val="20"/>
      <w:szCs w:val="20"/>
    </w:rPr>
  </w:style>
  <w:style w:type="character" w:customStyle="1" w:styleId="TekstopmerkingChar">
    <w:name w:val="Tekst opmerking Char"/>
    <w:basedOn w:val="Standaardalinea-lettertype"/>
    <w:link w:val="Tekstopmerking"/>
    <w:rsid w:val="00AD7C27"/>
    <w:rPr>
      <w:rFonts w:ascii="Verdana" w:hAnsi="Verdana"/>
      <w:lang w:val="nl-NL" w:eastAsia="nl-NL"/>
    </w:rPr>
  </w:style>
  <w:style w:type="paragraph" w:styleId="Onderwerpvanopmerking">
    <w:name w:val="annotation subject"/>
    <w:basedOn w:val="Tekstopmerking"/>
    <w:next w:val="Tekstopmerking"/>
    <w:link w:val="OnderwerpvanopmerkingChar"/>
    <w:rsid w:val="00AD7C27"/>
    <w:rPr>
      <w:b/>
      <w:bCs/>
    </w:rPr>
  </w:style>
  <w:style w:type="character" w:customStyle="1" w:styleId="OnderwerpvanopmerkingChar">
    <w:name w:val="Onderwerp van opmerking Char"/>
    <w:basedOn w:val="TekstopmerkingChar"/>
    <w:link w:val="Onderwerpvanopmerking"/>
    <w:rsid w:val="00AD7C2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1408</ap:Words>
  <ap:Characters>8348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2026-03-24T10:30:00.0000000Z</lastPrinted>
  <dcterms:created xsi:type="dcterms:W3CDTF">2026-03-20T09:26:00.0000000Z</dcterms:created>
  <dcterms:modified xsi:type="dcterms:W3CDTF">2026-03-24T10:47:00.0000000Z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O200ABA</vt:lpwstr>
  </property>
  <property fmtid="{D5CDD505-2E9C-101B-9397-08002B2CF9AE}" pid="3" name="Author">
    <vt:lpwstr>O200ABA</vt:lpwstr>
  </property>
  <property fmtid="{D5CDD505-2E9C-101B-9397-08002B2CF9AE}" pid="4" name="cs_objectid">
    <vt:lpwstr>62714439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"Een kwestie van lange adem"</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O200ABA</vt:lpwstr>
  </property>
</Properties>
</file>