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897378" w:rsidRDefault="00897378" w14:paraId="25BA989B" w14:textId="77777777">
      <w:pPr>
        <w:rPr>
          <w:lang w:val="en-US"/>
        </w:rPr>
      </w:pPr>
      <w:bookmarkStart w:name="bmkOndertekening" w:id="0"/>
      <w:bookmarkStart w:name="bmkMinuut" w:id="1"/>
      <w:bookmarkEnd w:id="0"/>
      <w:bookmarkEnd w:id="1"/>
    </w:p>
    <w:p w:rsidR="00897378" w:rsidP="00897378" w:rsidRDefault="00897378" w14:paraId="027D37D9" w14:textId="77777777">
      <w:pPr>
        <w:rPr>
          <w:lang w:val="en-US"/>
        </w:rPr>
      </w:pPr>
    </w:p>
    <w:p w:rsidRPr="00A97BB8" w:rsidR="00897378" w:rsidP="00897378" w:rsidRDefault="00000000" w14:paraId="18D42287"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1D3D4C58" w14:textId="77777777">
      <w:pPr>
        <w:pStyle w:val="Retouradres"/>
      </w:pPr>
    </w:p>
    <w:p w:rsidRPr="007539FC" w:rsidR="00897378" w:rsidP="00897378" w:rsidRDefault="00000000" w14:paraId="53A69865" w14:textId="77777777">
      <w:pPr>
        <w:outlineLvl w:val="0"/>
      </w:pPr>
      <w:r w:rsidRPr="007539FC">
        <w:t>De Voorzitter van de Tweede Kamer</w:t>
      </w:r>
    </w:p>
    <w:p w:rsidRPr="00832C14" w:rsidR="00897378" w:rsidP="00897378" w:rsidRDefault="00000000" w14:paraId="39313F05" w14:textId="77777777">
      <w:pPr>
        <w:rPr>
          <w:lang w:val="de-DE"/>
        </w:rPr>
      </w:pPr>
      <w:r w:rsidRPr="00832C14">
        <w:rPr>
          <w:lang w:val="de-DE"/>
        </w:rPr>
        <w:t>der Staten-Generaal</w:t>
      </w:r>
    </w:p>
    <w:p w:rsidRPr="00832C14" w:rsidR="00897378" w:rsidP="00897378" w:rsidRDefault="00000000" w14:paraId="314B84F9" w14:textId="77777777">
      <w:pPr>
        <w:rPr>
          <w:lang w:val="de-DE"/>
        </w:rPr>
      </w:pPr>
      <w:r w:rsidRPr="00832C14">
        <w:rPr>
          <w:lang w:val="de-DE"/>
        </w:rPr>
        <w:t>Postbus 20018</w:t>
      </w:r>
    </w:p>
    <w:p w:rsidRPr="00832C14" w:rsidR="00897378" w:rsidP="00897378" w:rsidRDefault="00000000" w14:paraId="39391C59" w14:textId="7F045163">
      <w:pPr>
        <w:rPr>
          <w:lang w:val="de-DE"/>
        </w:rPr>
      </w:pPr>
      <w:r w:rsidRPr="00832C14">
        <w:rPr>
          <w:lang w:val="de-DE"/>
        </w:rPr>
        <w:t xml:space="preserve">2500 EA </w:t>
      </w:r>
      <w:r w:rsidR="00875513">
        <w:rPr>
          <w:lang w:val="de-DE"/>
        </w:rPr>
        <w:t xml:space="preserve"> </w:t>
      </w:r>
      <w:r w:rsidRPr="00832C14">
        <w:rPr>
          <w:lang w:val="de-DE"/>
        </w:rPr>
        <w:t>DEN HAAG</w:t>
      </w:r>
    </w:p>
    <w:p w:rsidRPr="00832C14" w:rsidR="00897378" w:rsidP="00897378" w:rsidRDefault="00897378" w14:paraId="5F015EA4" w14:textId="77777777">
      <w:pPr>
        <w:rPr>
          <w:lang w:val="de-DE"/>
        </w:rPr>
      </w:pPr>
    </w:p>
    <w:p w:rsidRPr="00832C14" w:rsidR="00897378" w:rsidP="00897378" w:rsidRDefault="00897378" w14:paraId="5298B163" w14:textId="77777777">
      <w:pPr>
        <w:rPr>
          <w:lang w:val="de-DE"/>
        </w:rPr>
      </w:pPr>
    </w:p>
    <w:p w:rsidRPr="00832C14" w:rsidR="00897378" w:rsidP="00897378" w:rsidRDefault="00897378" w14:paraId="46DA0DD0" w14:textId="77777777">
      <w:pPr>
        <w:rPr>
          <w:lang w:val="de-DE"/>
        </w:rPr>
      </w:pPr>
    </w:p>
    <w:p w:rsidRPr="00832C14" w:rsidR="00897378" w:rsidP="00897378" w:rsidRDefault="00897378" w14:paraId="3650BF27" w14:textId="77777777">
      <w:pPr>
        <w:rPr>
          <w:lang w:val="de-DE"/>
        </w:rPr>
      </w:pPr>
    </w:p>
    <w:p w:rsidRPr="00832C14" w:rsidR="00897378" w:rsidP="00897378" w:rsidRDefault="00897378" w14:paraId="52C205CC" w14:textId="77777777">
      <w:pPr>
        <w:rPr>
          <w:lang w:val="de-DE"/>
        </w:rPr>
      </w:pPr>
    </w:p>
    <w:p w:rsidRPr="00832C14" w:rsidR="00897378" w:rsidP="00897378" w:rsidRDefault="00897378" w14:paraId="786539A6" w14:textId="77777777">
      <w:pPr>
        <w:rPr>
          <w:lang w:val="de-DE"/>
        </w:rPr>
      </w:pPr>
    </w:p>
    <w:p w:rsidRPr="00832C14" w:rsidR="00897378" w:rsidP="00897378" w:rsidRDefault="00000000" w14:paraId="5E618DA3" w14:textId="472C7D0B">
      <w:pPr>
        <w:tabs>
          <w:tab w:val="left" w:pos="737"/>
        </w:tabs>
        <w:outlineLvl w:val="0"/>
        <w:rPr>
          <w:lang w:val="de-DE"/>
        </w:rPr>
      </w:pPr>
      <w:r w:rsidRPr="00832C14">
        <w:rPr>
          <w:lang w:val="de-DE"/>
        </w:rPr>
        <w:t>Datum</w:t>
      </w:r>
      <w:r w:rsidRPr="00832C14" w:rsidR="00D74EDF">
        <w:rPr>
          <w:lang w:val="de-DE"/>
        </w:rPr>
        <w:tab/>
      </w:r>
      <w:r w:rsidR="009D2B87">
        <w:rPr>
          <w:lang w:val="de-DE"/>
        </w:rPr>
        <w:t>24 maart 2026</w:t>
      </w:r>
    </w:p>
    <w:p w:rsidRPr="007539FC" w:rsidR="00897378" w:rsidP="00897378" w:rsidRDefault="00000000" w14:paraId="5F839BA0" w14:textId="77777777">
      <w:pPr>
        <w:tabs>
          <w:tab w:val="left" w:pos="737"/>
        </w:tabs>
      </w:pPr>
      <w:r w:rsidRPr="007539FC">
        <w:t>Betreft</w:t>
      </w:r>
      <w:r w:rsidRPr="007539FC">
        <w:tab/>
      </w:r>
      <w:r>
        <w:t>Kamervragen</w:t>
      </w:r>
    </w:p>
    <w:p w:rsidR="00897378" w:rsidP="00897378" w:rsidRDefault="00897378" w14:paraId="56F63B2A" w14:textId="77777777"/>
    <w:p w:rsidRPr="007539FC" w:rsidR="00897378" w:rsidP="00897378" w:rsidRDefault="00897378" w14:paraId="3F48A5A1" w14:textId="77777777"/>
    <w:p w:rsidR="00897378" w:rsidP="00897378" w:rsidRDefault="00897378" w14:paraId="6106F67D" w14:textId="77777777"/>
    <w:p w:rsidR="00897378" w:rsidP="00897378" w:rsidRDefault="00000000" w14:paraId="632B13EB" w14:textId="77777777">
      <w:r>
        <w:t>Geachte voorzitter,</w:t>
      </w:r>
    </w:p>
    <w:p w:rsidRPr="007539FC" w:rsidR="00897378" w:rsidP="00897378" w:rsidRDefault="00897378" w14:paraId="06A7F78A" w14:textId="77777777"/>
    <w:p w:rsidR="00897378" w:rsidP="00897378" w:rsidRDefault="00000000" w14:paraId="74D02273" w14:textId="56254D35">
      <w:pPr>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sidR="00875513">
        <w:rPr>
          <w:spacing w:val="-2"/>
        </w:rPr>
        <w:t xml:space="preserve"> het lid</w:t>
      </w:r>
      <w:r>
        <w:rPr>
          <w:spacing w:val="-2"/>
        </w:rPr>
        <w:t xml:space="preserve"> </w:t>
      </w:r>
      <w:r w:rsidR="00B25223">
        <w:t>Westerveld (</w:t>
      </w:r>
      <w:r w:rsidR="00132B58">
        <w:t>GroenLinks-</w:t>
      </w:r>
      <w:r w:rsidR="00B25223">
        <w:t>PvdA)</w:t>
      </w:r>
      <w:r w:rsidR="00674CA6">
        <w:t xml:space="preserve"> </w:t>
      </w:r>
      <w:r>
        <w:rPr>
          <w:spacing w:val="-2"/>
        </w:rPr>
        <w:t xml:space="preserve">over </w:t>
      </w:r>
      <w:r w:rsidR="00B25223">
        <w:t>het voorkomen en herkennen van seksueel grensoverschrijdend gedrag in de zorg</w:t>
      </w:r>
      <w:r>
        <w:rPr>
          <w:spacing w:val="-2"/>
        </w:rPr>
        <w:t xml:space="preserve"> (</w:t>
      </w:r>
      <w:r w:rsidR="00B25223">
        <w:t>2026Z04536</w:t>
      </w:r>
      <w:r>
        <w:rPr>
          <w:spacing w:val="-2"/>
        </w:rPr>
        <w:t>).</w:t>
      </w:r>
    </w:p>
    <w:p w:rsidR="00832C14" w:rsidP="00832C14" w:rsidRDefault="00832C14" w14:paraId="6FC69441" w14:textId="77777777">
      <w:pPr>
        <w:rPr>
          <w:spacing w:val="-2"/>
        </w:rPr>
      </w:pPr>
    </w:p>
    <w:p w:rsidR="00897378" w:rsidP="00897378" w:rsidRDefault="00000000" w14:paraId="303272D5" w14:textId="77777777">
      <w:r>
        <w:t>Hoogachtend,</w:t>
      </w:r>
    </w:p>
    <w:p w:rsidR="00D22737" w:rsidP="00605234" w:rsidRDefault="00D22737" w14:paraId="1A6C1A8A" w14:textId="77777777">
      <w:pPr>
        <w:rPr>
          <w:spacing w:val="-2"/>
        </w:rPr>
      </w:pPr>
    </w:p>
    <w:p w:rsidR="00875513" w:rsidP="00D74EDF" w:rsidRDefault="00000000" w14:paraId="2852B959"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 xml:space="preserve">de minister van Langdurige Zorg, </w:t>
      </w:r>
    </w:p>
    <w:p w:rsidRPr="00D74EDF" w:rsidR="00D74EDF" w:rsidP="00D74EDF" w:rsidRDefault="00000000" w14:paraId="4042ECB6" w14:textId="700FC703">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Jeugd en Sport</w:t>
      </w:r>
      <w:r w:rsidRPr="00D74EDF">
        <w:rPr>
          <w:rFonts w:eastAsia="SimSun" w:cs="Lohit Hindi"/>
          <w:kern w:val="3"/>
          <w:szCs w:val="18"/>
          <w:lang w:eastAsia="zh-CN" w:bidi="hi-IN"/>
        </w:rPr>
        <w:t>,</w:t>
      </w:r>
    </w:p>
    <w:p w:rsidRPr="00D74EDF" w:rsidR="00D74EDF" w:rsidP="00D74EDF" w:rsidRDefault="00D74EDF" w14:paraId="627FCE05"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875513" w:rsidP="00D74EDF" w:rsidRDefault="00000000" w14:paraId="1819E7DA" w14:textId="77777777">
      <w:pPr>
        <w:widowControl w:val="0"/>
        <w:suppressAutoHyphens/>
        <w:autoSpaceDN w:val="0"/>
        <w:textAlignment w:val="baseline"/>
      </w:pPr>
      <w:r>
        <w:cr/>
      </w:r>
    </w:p>
    <w:p w:rsidRPr="00D74EDF" w:rsidR="00D74EDF" w:rsidP="00D74EDF" w:rsidRDefault="00000000" w14:paraId="5C0F6FBB" w14:textId="089D5D88">
      <w:pPr>
        <w:widowControl w:val="0"/>
        <w:suppressAutoHyphens/>
        <w:autoSpaceDN w:val="0"/>
        <w:textAlignment w:val="baseline"/>
        <w:rPr>
          <w:rFonts w:eastAsia="SimSun" w:cs="Lohit Hindi"/>
          <w:kern w:val="3"/>
          <w:szCs w:val="18"/>
          <w:lang w:eastAsia="zh-CN" w:bidi="hi-IN"/>
        </w:rPr>
      </w:pPr>
      <w:r>
        <w:cr/>
      </w:r>
    </w:p>
    <w:p w:rsidRPr="00D74EDF" w:rsidR="00D74EDF" w:rsidP="00D74EDF" w:rsidRDefault="00000000" w14:paraId="573E3193"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Mirjam Sterk</w:t>
      </w:r>
    </w:p>
    <w:p w:rsidRPr="00D74EDF" w:rsidR="00D74EDF" w:rsidP="00D74EDF" w:rsidRDefault="00D74EDF" w14:paraId="0800A9AD" w14:textId="77777777">
      <w:pPr>
        <w:widowControl w:val="0"/>
        <w:suppressAutoHyphens/>
        <w:autoSpaceDN w:val="0"/>
        <w:spacing w:line="240" w:lineRule="exact"/>
        <w:textAlignment w:val="baseline"/>
        <w:rPr>
          <w:rFonts w:eastAsia="SimSun" w:cs="Lohit Hindi"/>
          <w:i/>
          <w:kern w:val="3"/>
          <w:szCs w:val="24"/>
          <w:lang w:eastAsia="zh-CN" w:bidi="hi-IN"/>
        </w:rPr>
      </w:pPr>
    </w:p>
    <w:p w:rsidR="00A97BB8" w:rsidP="00A97BB8" w:rsidRDefault="00A97BB8" w14:paraId="1C79FA16"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A97BB8" w:rsidRDefault="00000000" w14:paraId="0E7BE63A" w14:textId="0F2243D3">
      <w:r>
        <w:lastRenderedPageBreak/>
        <w:t xml:space="preserve">Antwoorden op </w:t>
      </w:r>
      <w:r w:rsidR="001E37CA">
        <w:t>K</w:t>
      </w:r>
      <w:r>
        <w:t>amervragen van</w:t>
      </w:r>
      <w:r w:rsidR="00D1126F">
        <w:t xml:space="preserve"> </w:t>
      </w:r>
      <w:r w:rsidR="00875513">
        <w:t xml:space="preserve">het lid </w:t>
      </w:r>
      <w:r w:rsidR="00B25223">
        <w:t>Westerveld (</w:t>
      </w:r>
      <w:r w:rsidR="00875513">
        <w:t>GroenLinks-PvdA</w:t>
      </w:r>
      <w:r w:rsidR="00B25223">
        <w:t>)</w:t>
      </w:r>
      <w:r w:rsidR="00B54A56">
        <w:t xml:space="preserve"> </w:t>
      </w:r>
      <w:r>
        <w:t>over</w:t>
      </w:r>
      <w:r w:rsidR="00B25223">
        <w:t xml:space="preserve"> het voorkomen en herkennen van seksueel grensoverschrijdend gedrag in de zorg </w:t>
      </w:r>
      <w:r>
        <w:t>(</w:t>
      </w:r>
      <w:r w:rsidR="00B25223">
        <w:t>2026Z04536</w:t>
      </w:r>
      <w:r w:rsidR="00875513">
        <w:t>, ingezonden 6 maart 2026</w:t>
      </w:r>
      <w:r>
        <w:t>)</w:t>
      </w:r>
      <w:r w:rsidR="00B25223">
        <w:t>.</w:t>
      </w:r>
    </w:p>
    <w:p w:rsidR="00304834" w:rsidP="00A97BB8" w:rsidRDefault="00304834" w14:paraId="423BF671" w14:textId="77777777"/>
    <w:p w:rsidR="00304834" w:rsidP="00304834" w:rsidRDefault="00304834" w14:paraId="116A2FCF" w14:textId="77777777">
      <w:pPr>
        <w:rPr>
          <w:szCs w:val="18"/>
        </w:rPr>
      </w:pPr>
    </w:p>
    <w:p w:rsidR="00304834" w:rsidP="00304834" w:rsidRDefault="00000000" w14:paraId="31B8DB1D" w14:textId="77777777">
      <w:pPr>
        <w:rPr>
          <w:szCs w:val="18"/>
        </w:rPr>
      </w:pPr>
      <w:r w:rsidRPr="00EC24F2">
        <w:rPr>
          <w:szCs w:val="18"/>
        </w:rPr>
        <w:t xml:space="preserve">Vraag 1 </w:t>
      </w:r>
      <w:r w:rsidRPr="00EC24F2">
        <w:rPr>
          <w:szCs w:val="18"/>
        </w:rPr>
        <w:br/>
        <w:t>Bent u bekend met het bericht ‘Meerdere aangiftes van seksueel wangedrag op zorgboerderij?</w:t>
      </w:r>
      <w:r>
        <w:rPr>
          <w:rStyle w:val="Voetnootmarkering"/>
          <w:szCs w:val="18"/>
        </w:rPr>
        <w:footnoteReference w:id="1"/>
      </w:r>
      <w:r w:rsidRPr="00EC24F2">
        <w:rPr>
          <w:szCs w:val="18"/>
        </w:rPr>
        <w:t xml:space="preserve">’ </w:t>
      </w:r>
    </w:p>
    <w:p w:rsidRPr="00EC24F2" w:rsidR="00304834" w:rsidP="00304834" w:rsidRDefault="00304834" w14:paraId="1BBAA2E2" w14:textId="77777777">
      <w:pPr>
        <w:rPr>
          <w:szCs w:val="18"/>
        </w:rPr>
      </w:pPr>
    </w:p>
    <w:p w:rsidR="00304834" w:rsidP="00304834" w:rsidRDefault="00000000" w14:paraId="6207662E" w14:textId="77777777">
      <w:pPr>
        <w:rPr>
          <w:szCs w:val="18"/>
        </w:rPr>
      </w:pPr>
      <w:r>
        <w:rPr>
          <w:szCs w:val="18"/>
        </w:rPr>
        <w:t>Antwoord 1</w:t>
      </w:r>
    </w:p>
    <w:p w:rsidRPr="00832C14" w:rsidR="00304834" w:rsidP="00304834" w:rsidRDefault="00000000" w14:paraId="50E7E7C0" w14:textId="77777777">
      <w:pPr>
        <w:rPr>
          <w:szCs w:val="18"/>
        </w:rPr>
      </w:pPr>
      <w:r w:rsidRPr="00832C14">
        <w:rPr>
          <w:szCs w:val="18"/>
        </w:rPr>
        <w:t>Ja</w:t>
      </w:r>
      <w:r w:rsidR="00132B58">
        <w:rPr>
          <w:szCs w:val="18"/>
        </w:rPr>
        <w:t>,</w:t>
      </w:r>
      <w:r w:rsidRPr="00832C14">
        <w:rPr>
          <w:szCs w:val="18"/>
        </w:rPr>
        <w:t xml:space="preserve"> daar ben ik bekend mee. </w:t>
      </w:r>
    </w:p>
    <w:p w:rsidR="00304834" w:rsidP="00304834" w:rsidRDefault="00304834" w14:paraId="6BB27FF2" w14:textId="77777777">
      <w:pPr>
        <w:rPr>
          <w:color w:val="5B9BD5" w:themeColor="accent1"/>
          <w:szCs w:val="18"/>
        </w:rPr>
      </w:pPr>
    </w:p>
    <w:p w:rsidR="00304834" w:rsidP="00304834" w:rsidRDefault="00304834" w14:paraId="39E366E4" w14:textId="77777777">
      <w:pPr>
        <w:rPr>
          <w:szCs w:val="18"/>
        </w:rPr>
      </w:pPr>
    </w:p>
    <w:p w:rsidR="00304834" w:rsidP="00304834" w:rsidRDefault="00000000" w14:paraId="63EF1BF5" w14:textId="77777777">
      <w:pPr>
        <w:rPr>
          <w:szCs w:val="18"/>
        </w:rPr>
      </w:pPr>
      <w:r w:rsidRPr="00EC24F2">
        <w:rPr>
          <w:szCs w:val="18"/>
        </w:rPr>
        <w:t>Vraag 2</w:t>
      </w:r>
      <w:r w:rsidRPr="00EC24F2">
        <w:rPr>
          <w:szCs w:val="18"/>
        </w:rPr>
        <w:br/>
        <w:t>Hoeveel klachten zijn er sinds 2025 ontvangen door klachtenfunctionarisseren, uitgesplitst per zorgaanbieder, over seksueel grensoverschrijdend gedrag in de gehandicaptenzorg? Hoeveel meldingen hebben geleid tot aangifte?</w:t>
      </w:r>
    </w:p>
    <w:p w:rsidRPr="00EC24F2" w:rsidR="00304834" w:rsidP="00304834" w:rsidRDefault="00304834" w14:paraId="67106BC1" w14:textId="77777777">
      <w:pPr>
        <w:rPr>
          <w:szCs w:val="18"/>
        </w:rPr>
      </w:pPr>
    </w:p>
    <w:p w:rsidR="00304834" w:rsidP="00304834" w:rsidRDefault="00000000" w14:paraId="7C02BE93" w14:textId="77777777">
      <w:pPr>
        <w:pStyle w:val="Geenafstand"/>
      </w:pPr>
      <w:r>
        <w:t>Antwoord 2</w:t>
      </w:r>
    </w:p>
    <w:p w:rsidR="00304834" w:rsidP="00304834" w:rsidRDefault="00000000" w14:paraId="10560A16" w14:textId="77777777">
      <w:pPr>
        <w:pStyle w:val="Geenafstand"/>
      </w:pPr>
      <w:r w:rsidRPr="00CF750D">
        <w:t xml:space="preserve">Er zijn geen cijfers bekend over het aantal klachten dat in 2025 is ontvangen door klachtenfunctionarissen over seksueel grensoverschrijdend gedrag in de gehandicaptenzorg. Seksueel overschrijdend gedrag moet door de zorgaanbieder wel altijd gemeld worden bij de IGJ. Zie ook het antwoord op vraag 3. </w:t>
      </w:r>
    </w:p>
    <w:p w:rsidRPr="00CF750D" w:rsidR="00304834" w:rsidP="00304834" w:rsidRDefault="00304834" w14:paraId="4FCDAB0F" w14:textId="77777777">
      <w:pPr>
        <w:pStyle w:val="Geenafstand"/>
      </w:pPr>
    </w:p>
    <w:p w:rsidR="00304834" w:rsidP="00304834" w:rsidRDefault="00304834" w14:paraId="202839B7" w14:textId="77777777">
      <w:pPr>
        <w:rPr>
          <w:szCs w:val="18"/>
        </w:rPr>
      </w:pPr>
    </w:p>
    <w:p w:rsidR="00304834" w:rsidP="00304834" w:rsidRDefault="00000000" w14:paraId="423ADE19" w14:textId="77777777">
      <w:pPr>
        <w:rPr>
          <w:szCs w:val="18"/>
        </w:rPr>
      </w:pPr>
      <w:r w:rsidRPr="00EC24F2">
        <w:rPr>
          <w:szCs w:val="18"/>
        </w:rPr>
        <w:t xml:space="preserve">Vraag 3 </w:t>
      </w:r>
      <w:r w:rsidRPr="00EC24F2">
        <w:rPr>
          <w:szCs w:val="18"/>
        </w:rPr>
        <w:br/>
        <w:t>Hoeveel meldingen zijn er sinds 2025 ontvangen door de Inspectie Gezondheids</w:t>
      </w:r>
      <w:r>
        <w:rPr>
          <w:szCs w:val="18"/>
        </w:rPr>
        <w:t>-</w:t>
      </w:r>
      <w:r w:rsidRPr="00EC24F2">
        <w:rPr>
          <w:szCs w:val="18"/>
        </w:rPr>
        <w:t>zorg en Jeugd (IGJ) over seksueel grensoverschrijdend gedrag in de gehandicaptenzorg? Hoeveel meldingen hebben geleid tot aangifte?</w:t>
      </w:r>
    </w:p>
    <w:p w:rsidRPr="00832C14" w:rsidR="00304834" w:rsidP="00304834" w:rsidRDefault="00304834" w14:paraId="67673CE5" w14:textId="77777777">
      <w:pPr>
        <w:rPr>
          <w:szCs w:val="18"/>
        </w:rPr>
      </w:pPr>
    </w:p>
    <w:p w:rsidR="00304834" w:rsidP="00304834" w:rsidRDefault="00000000" w14:paraId="7E9818E5" w14:textId="77777777">
      <w:pPr>
        <w:rPr>
          <w:szCs w:val="18"/>
        </w:rPr>
      </w:pPr>
      <w:r>
        <w:rPr>
          <w:szCs w:val="18"/>
        </w:rPr>
        <w:t>Antwoord 3</w:t>
      </w:r>
    </w:p>
    <w:p w:rsidR="00304834" w:rsidP="00304834" w:rsidRDefault="00000000" w14:paraId="2C000520" w14:textId="77777777">
      <w:pPr>
        <w:rPr>
          <w:szCs w:val="18"/>
        </w:rPr>
      </w:pPr>
      <w:r w:rsidRPr="00832C14">
        <w:rPr>
          <w:szCs w:val="18"/>
        </w:rPr>
        <w:t>Sinds 2025 heeft de IGJ circa 100 meldingen ontvangen over seksueel grensoverschrijdend gedrag in de gehandicaptenzorg. Hoeveel meldingen hebben geleid tot een aangifte is bij de IGJ niet bekend.</w:t>
      </w:r>
      <w:r w:rsidRPr="00EC24F2">
        <w:rPr>
          <w:color w:val="5B9BD5" w:themeColor="accent1"/>
          <w:szCs w:val="18"/>
        </w:rPr>
        <w:br/>
      </w:r>
      <w:r w:rsidRPr="00EC24F2">
        <w:rPr>
          <w:szCs w:val="18"/>
        </w:rPr>
        <w:br/>
      </w:r>
    </w:p>
    <w:p w:rsidR="00304834" w:rsidP="00304834" w:rsidRDefault="00000000" w14:paraId="17D160E3" w14:textId="77777777">
      <w:pPr>
        <w:rPr>
          <w:szCs w:val="18"/>
        </w:rPr>
      </w:pPr>
      <w:r w:rsidRPr="00EC24F2">
        <w:rPr>
          <w:szCs w:val="18"/>
        </w:rPr>
        <w:t xml:space="preserve">Vraag 4 </w:t>
      </w:r>
      <w:r w:rsidRPr="00EC24F2">
        <w:rPr>
          <w:szCs w:val="18"/>
        </w:rPr>
        <w:br/>
      </w:r>
      <w:r w:rsidRPr="00832C14">
        <w:rPr>
          <w:szCs w:val="18"/>
        </w:rPr>
        <w:t>Hoeveel meldingen zijn er sinds 2025 gedaan door cliënten en zorgpersoneel van grensoverschrijdend gedrag in de hele zorgsector, uitgesplitst per sector en uitgesplitst per vorm waarin de zorg wordt geleverd?</w:t>
      </w:r>
    </w:p>
    <w:p w:rsidRPr="00832C14" w:rsidR="00304834" w:rsidP="00304834" w:rsidRDefault="00304834" w14:paraId="567EAA26" w14:textId="77777777">
      <w:pPr>
        <w:rPr>
          <w:szCs w:val="18"/>
        </w:rPr>
      </w:pPr>
    </w:p>
    <w:p w:rsidR="00304834" w:rsidP="00304834" w:rsidRDefault="00000000" w14:paraId="54524ACC" w14:textId="77777777">
      <w:pPr>
        <w:rPr>
          <w:szCs w:val="18"/>
        </w:rPr>
      </w:pPr>
      <w:r>
        <w:rPr>
          <w:szCs w:val="18"/>
        </w:rPr>
        <w:t>Antwoord 4</w:t>
      </w:r>
    </w:p>
    <w:p w:rsidR="00304834" w:rsidP="00304834" w:rsidRDefault="00000000" w14:paraId="740C4986" w14:textId="77777777">
      <w:pPr>
        <w:rPr>
          <w:szCs w:val="18"/>
        </w:rPr>
      </w:pPr>
      <w:r w:rsidRPr="00832C14">
        <w:rPr>
          <w:szCs w:val="18"/>
        </w:rPr>
        <w:t xml:space="preserve">De onderstaande tabel geeft een overzicht van de meldingen die de IGJ heeft ontvangen over seksueel grensoverschrijdend gedrag per 2025, uitgesplitst naar zorgsector en afgerond op tientallen. Een nadere uitsplitsing per zorgvorm is niet beschikbaar. </w:t>
      </w:r>
    </w:p>
    <w:p w:rsidR="00875513" w:rsidP="00304834" w:rsidRDefault="00875513" w14:paraId="790D3D5D" w14:textId="77777777">
      <w:pPr>
        <w:rPr>
          <w:szCs w:val="18"/>
        </w:rPr>
      </w:pPr>
    </w:p>
    <w:p w:rsidR="00875513" w:rsidP="00304834" w:rsidRDefault="00875513" w14:paraId="4933C473" w14:textId="77777777">
      <w:pPr>
        <w:rPr>
          <w:szCs w:val="18"/>
        </w:rPr>
      </w:pPr>
    </w:p>
    <w:p w:rsidRPr="00832C14" w:rsidR="00875513" w:rsidP="00304834" w:rsidRDefault="00875513" w14:paraId="5BF30844" w14:textId="77777777">
      <w:pPr>
        <w:rPr>
          <w:szCs w:val="18"/>
        </w:rPr>
      </w:pPr>
    </w:p>
    <w:p w:rsidRPr="00832C14" w:rsidR="00304834" w:rsidP="00304834" w:rsidRDefault="00304834" w14:paraId="166D9C95" w14:textId="77777777">
      <w:pPr>
        <w:rPr>
          <w:i/>
          <w:iCs/>
          <w:szCs w:val="18"/>
        </w:rPr>
      </w:pPr>
    </w:p>
    <w:tbl>
      <w:tblPr>
        <w:tblW w:w="6060" w:type="dxa"/>
        <w:tblInd w:w="-3" w:type="dxa"/>
        <w:tblCellMar>
          <w:left w:w="0" w:type="dxa"/>
          <w:right w:w="0" w:type="dxa"/>
        </w:tblCellMar>
        <w:tblLook w:val="04A0" w:firstRow="1" w:lastRow="0" w:firstColumn="1" w:lastColumn="0" w:noHBand="0" w:noVBand="1"/>
      </w:tblPr>
      <w:tblGrid>
        <w:gridCol w:w="4280"/>
        <w:gridCol w:w="1780"/>
      </w:tblGrid>
      <w:tr w:rsidR="00062968" w:rsidTr="005B0698" w14:paraId="38D17E35" w14:textId="77777777">
        <w:trPr>
          <w:trHeight w:val="300"/>
        </w:trPr>
        <w:tc>
          <w:tcPr>
            <w:tcW w:w="4280" w:type="dxa"/>
            <w:tcBorders>
              <w:top w:val="single" w:color="5B9BD5" w:sz="8" w:space="0"/>
              <w:left w:val="single" w:color="5B9BD5" w:sz="8" w:space="0"/>
              <w:bottom w:val="nil"/>
              <w:right w:val="nil"/>
            </w:tcBorders>
            <w:shd w:val="clear" w:color="auto" w:fill="5B9BD5"/>
            <w:noWrap/>
            <w:tcMar>
              <w:top w:w="0" w:type="dxa"/>
              <w:left w:w="70" w:type="dxa"/>
              <w:bottom w:w="0" w:type="dxa"/>
              <w:right w:w="70" w:type="dxa"/>
            </w:tcMar>
            <w:vAlign w:val="bottom"/>
            <w:hideMark/>
          </w:tcPr>
          <w:p w:rsidRPr="00832C14" w:rsidR="00304834" w:rsidP="005B0698" w:rsidRDefault="00000000" w14:paraId="061CC032" w14:textId="77777777">
            <w:pPr>
              <w:rPr>
                <w:b/>
                <w:bCs/>
                <w:szCs w:val="18"/>
              </w:rPr>
            </w:pPr>
            <w:r w:rsidRPr="00832C14">
              <w:rPr>
                <w:b/>
                <w:bCs/>
                <w:szCs w:val="18"/>
              </w:rPr>
              <w:lastRenderedPageBreak/>
              <w:t>Zorgsector</w:t>
            </w:r>
          </w:p>
        </w:tc>
        <w:tc>
          <w:tcPr>
            <w:tcW w:w="1780" w:type="dxa"/>
            <w:tcBorders>
              <w:top w:val="single" w:color="5B9BD5" w:sz="8" w:space="0"/>
              <w:left w:val="nil"/>
              <w:bottom w:val="nil"/>
              <w:right w:val="single" w:color="5B9BD5" w:sz="8" w:space="0"/>
            </w:tcBorders>
            <w:shd w:val="clear" w:color="auto" w:fill="5B9BD5"/>
            <w:noWrap/>
            <w:tcMar>
              <w:top w:w="0" w:type="dxa"/>
              <w:left w:w="70" w:type="dxa"/>
              <w:bottom w:w="0" w:type="dxa"/>
              <w:right w:w="70" w:type="dxa"/>
            </w:tcMar>
            <w:vAlign w:val="bottom"/>
            <w:hideMark/>
          </w:tcPr>
          <w:p w:rsidRPr="00832C14" w:rsidR="00304834" w:rsidP="005B0698" w:rsidRDefault="00000000" w14:paraId="1805FD42" w14:textId="77777777">
            <w:pPr>
              <w:rPr>
                <w:b/>
                <w:bCs/>
                <w:szCs w:val="18"/>
              </w:rPr>
            </w:pPr>
            <w:r w:rsidRPr="00832C14">
              <w:rPr>
                <w:b/>
                <w:bCs/>
                <w:szCs w:val="18"/>
              </w:rPr>
              <w:t>Aantal meldingen</w:t>
            </w:r>
          </w:p>
        </w:tc>
      </w:tr>
      <w:tr w:rsidR="00062968" w:rsidTr="005B0698" w14:paraId="0B49F7C9" w14:textId="77777777">
        <w:trPr>
          <w:trHeight w:val="300"/>
        </w:trPr>
        <w:tc>
          <w:tcPr>
            <w:tcW w:w="4280" w:type="dxa"/>
            <w:tcBorders>
              <w:top w:val="single" w:color="5B9BD5" w:sz="8" w:space="0"/>
              <w:left w:val="single" w:color="5B9BD5" w:sz="8" w:space="0"/>
              <w:bottom w:val="nil"/>
              <w:right w:val="nil"/>
            </w:tcBorders>
            <w:noWrap/>
            <w:tcMar>
              <w:top w:w="0" w:type="dxa"/>
              <w:left w:w="70" w:type="dxa"/>
              <w:bottom w:w="0" w:type="dxa"/>
              <w:right w:w="70" w:type="dxa"/>
            </w:tcMar>
            <w:vAlign w:val="bottom"/>
            <w:hideMark/>
          </w:tcPr>
          <w:p w:rsidRPr="00832C14" w:rsidR="00304834" w:rsidP="005B0698" w:rsidRDefault="00000000" w14:paraId="57E377B1" w14:textId="77777777">
            <w:pPr>
              <w:rPr>
                <w:szCs w:val="18"/>
              </w:rPr>
            </w:pPr>
            <w:r w:rsidRPr="00832C14">
              <w:rPr>
                <w:szCs w:val="18"/>
              </w:rPr>
              <w:t xml:space="preserve">Eerstelijnszorg </w:t>
            </w:r>
          </w:p>
        </w:tc>
        <w:tc>
          <w:tcPr>
            <w:tcW w:w="1780" w:type="dxa"/>
            <w:tcBorders>
              <w:top w:val="single" w:color="5B9BD5" w:sz="8" w:space="0"/>
              <w:left w:val="nil"/>
              <w:bottom w:val="nil"/>
              <w:right w:val="single" w:color="5B9BD5" w:sz="8" w:space="0"/>
            </w:tcBorders>
            <w:noWrap/>
            <w:tcMar>
              <w:top w:w="0" w:type="dxa"/>
              <w:left w:w="70" w:type="dxa"/>
              <w:bottom w:w="0" w:type="dxa"/>
              <w:right w:w="70" w:type="dxa"/>
            </w:tcMar>
            <w:vAlign w:val="bottom"/>
            <w:hideMark/>
          </w:tcPr>
          <w:p w:rsidRPr="00832C14" w:rsidR="00304834" w:rsidP="005B0698" w:rsidRDefault="00000000" w14:paraId="4C73A33B" w14:textId="77777777">
            <w:pPr>
              <w:rPr>
                <w:szCs w:val="18"/>
              </w:rPr>
            </w:pPr>
            <w:r w:rsidRPr="00832C14">
              <w:rPr>
                <w:szCs w:val="18"/>
              </w:rPr>
              <w:t>50</w:t>
            </w:r>
          </w:p>
        </w:tc>
      </w:tr>
      <w:tr w:rsidR="00062968" w:rsidTr="005B0698" w14:paraId="307C4EF1" w14:textId="77777777">
        <w:trPr>
          <w:trHeight w:val="300"/>
        </w:trPr>
        <w:tc>
          <w:tcPr>
            <w:tcW w:w="4280" w:type="dxa"/>
            <w:tcBorders>
              <w:top w:val="single" w:color="5B9BD5" w:sz="8" w:space="0"/>
              <w:left w:val="single" w:color="5B9BD5" w:sz="8" w:space="0"/>
              <w:bottom w:val="nil"/>
              <w:right w:val="nil"/>
            </w:tcBorders>
            <w:noWrap/>
            <w:tcMar>
              <w:top w:w="0" w:type="dxa"/>
              <w:left w:w="70" w:type="dxa"/>
              <w:bottom w:w="0" w:type="dxa"/>
              <w:right w:w="70" w:type="dxa"/>
            </w:tcMar>
            <w:vAlign w:val="bottom"/>
            <w:hideMark/>
          </w:tcPr>
          <w:p w:rsidRPr="00832C14" w:rsidR="00304834" w:rsidP="005B0698" w:rsidRDefault="00000000" w14:paraId="2FB39C55" w14:textId="77777777">
            <w:pPr>
              <w:rPr>
                <w:szCs w:val="18"/>
              </w:rPr>
            </w:pPr>
            <w:r w:rsidRPr="00832C14">
              <w:rPr>
                <w:szCs w:val="18"/>
              </w:rPr>
              <w:t>Geestelijke Gezondheidszorg (dit jaar inclusief Zorg aan Justitiabelen)</w:t>
            </w:r>
          </w:p>
        </w:tc>
        <w:tc>
          <w:tcPr>
            <w:tcW w:w="1780" w:type="dxa"/>
            <w:tcBorders>
              <w:top w:val="single" w:color="5B9BD5" w:sz="8" w:space="0"/>
              <w:left w:val="nil"/>
              <w:bottom w:val="nil"/>
              <w:right w:val="single" w:color="5B9BD5" w:sz="8" w:space="0"/>
            </w:tcBorders>
            <w:noWrap/>
            <w:tcMar>
              <w:top w:w="0" w:type="dxa"/>
              <w:left w:w="70" w:type="dxa"/>
              <w:bottom w:w="0" w:type="dxa"/>
              <w:right w:w="70" w:type="dxa"/>
            </w:tcMar>
            <w:vAlign w:val="bottom"/>
            <w:hideMark/>
          </w:tcPr>
          <w:p w:rsidRPr="00832C14" w:rsidR="00304834" w:rsidP="005B0698" w:rsidRDefault="00000000" w14:paraId="18813934" w14:textId="77777777">
            <w:pPr>
              <w:rPr>
                <w:szCs w:val="18"/>
              </w:rPr>
            </w:pPr>
            <w:r w:rsidRPr="00832C14">
              <w:rPr>
                <w:szCs w:val="18"/>
              </w:rPr>
              <w:t>80</w:t>
            </w:r>
          </w:p>
        </w:tc>
      </w:tr>
      <w:tr w:rsidR="00062968" w:rsidTr="005B0698" w14:paraId="4CE8F70E" w14:textId="77777777">
        <w:trPr>
          <w:trHeight w:val="300"/>
        </w:trPr>
        <w:tc>
          <w:tcPr>
            <w:tcW w:w="4280" w:type="dxa"/>
            <w:tcBorders>
              <w:top w:val="single" w:color="5B9BD5" w:sz="8" w:space="0"/>
              <w:left w:val="single" w:color="5B9BD5" w:sz="8" w:space="0"/>
              <w:bottom w:val="nil"/>
              <w:right w:val="nil"/>
            </w:tcBorders>
            <w:noWrap/>
            <w:tcMar>
              <w:top w:w="0" w:type="dxa"/>
              <w:left w:w="70" w:type="dxa"/>
              <w:bottom w:w="0" w:type="dxa"/>
              <w:right w:w="70" w:type="dxa"/>
            </w:tcMar>
            <w:vAlign w:val="bottom"/>
            <w:hideMark/>
          </w:tcPr>
          <w:p w:rsidRPr="00832C14" w:rsidR="00304834" w:rsidP="005B0698" w:rsidRDefault="00000000" w14:paraId="2BED3F3B" w14:textId="77777777">
            <w:pPr>
              <w:rPr>
                <w:szCs w:val="18"/>
              </w:rPr>
            </w:pPr>
            <w:r w:rsidRPr="00832C14">
              <w:rPr>
                <w:szCs w:val="18"/>
              </w:rPr>
              <w:t>Gehandicaptenzorg</w:t>
            </w:r>
          </w:p>
        </w:tc>
        <w:tc>
          <w:tcPr>
            <w:tcW w:w="1780" w:type="dxa"/>
            <w:tcBorders>
              <w:top w:val="single" w:color="5B9BD5" w:sz="8" w:space="0"/>
              <w:left w:val="nil"/>
              <w:bottom w:val="nil"/>
              <w:right w:val="single" w:color="5B9BD5" w:sz="8" w:space="0"/>
            </w:tcBorders>
            <w:noWrap/>
            <w:tcMar>
              <w:top w:w="0" w:type="dxa"/>
              <w:left w:w="70" w:type="dxa"/>
              <w:bottom w:w="0" w:type="dxa"/>
              <w:right w:w="70" w:type="dxa"/>
            </w:tcMar>
            <w:vAlign w:val="bottom"/>
            <w:hideMark/>
          </w:tcPr>
          <w:p w:rsidRPr="00832C14" w:rsidR="00304834" w:rsidP="005B0698" w:rsidRDefault="00000000" w14:paraId="479F7F71" w14:textId="77777777">
            <w:pPr>
              <w:rPr>
                <w:szCs w:val="18"/>
              </w:rPr>
            </w:pPr>
            <w:r w:rsidRPr="00832C14">
              <w:rPr>
                <w:szCs w:val="18"/>
              </w:rPr>
              <w:t>100</w:t>
            </w:r>
          </w:p>
        </w:tc>
      </w:tr>
      <w:tr w:rsidR="00062968" w:rsidTr="005B0698" w14:paraId="575AA544" w14:textId="77777777">
        <w:trPr>
          <w:trHeight w:val="300"/>
        </w:trPr>
        <w:tc>
          <w:tcPr>
            <w:tcW w:w="4280" w:type="dxa"/>
            <w:tcBorders>
              <w:top w:val="single" w:color="5B9BD5" w:sz="8" w:space="0"/>
              <w:left w:val="single" w:color="5B9BD5" w:sz="8" w:space="0"/>
              <w:bottom w:val="nil"/>
              <w:right w:val="nil"/>
            </w:tcBorders>
            <w:noWrap/>
            <w:tcMar>
              <w:top w:w="0" w:type="dxa"/>
              <w:left w:w="70" w:type="dxa"/>
              <w:bottom w:w="0" w:type="dxa"/>
              <w:right w:w="70" w:type="dxa"/>
            </w:tcMar>
            <w:vAlign w:val="bottom"/>
            <w:hideMark/>
          </w:tcPr>
          <w:p w:rsidRPr="00832C14" w:rsidR="00304834" w:rsidP="005B0698" w:rsidRDefault="00000000" w14:paraId="205AA83C" w14:textId="77777777">
            <w:pPr>
              <w:rPr>
                <w:szCs w:val="18"/>
              </w:rPr>
            </w:pPr>
            <w:r w:rsidRPr="00832C14">
              <w:rPr>
                <w:szCs w:val="18"/>
              </w:rPr>
              <w:t>Jeugd</w:t>
            </w:r>
          </w:p>
        </w:tc>
        <w:tc>
          <w:tcPr>
            <w:tcW w:w="1780" w:type="dxa"/>
            <w:tcBorders>
              <w:top w:val="single" w:color="5B9BD5" w:sz="8" w:space="0"/>
              <w:left w:val="nil"/>
              <w:bottom w:val="nil"/>
              <w:right w:val="single" w:color="5B9BD5" w:sz="8" w:space="0"/>
            </w:tcBorders>
            <w:noWrap/>
            <w:tcMar>
              <w:top w:w="0" w:type="dxa"/>
              <w:left w:w="70" w:type="dxa"/>
              <w:bottom w:w="0" w:type="dxa"/>
              <w:right w:w="70" w:type="dxa"/>
            </w:tcMar>
            <w:vAlign w:val="bottom"/>
            <w:hideMark/>
          </w:tcPr>
          <w:p w:rsidRPr="00832C14" w:rsidR="00304834" w:rsidP="005B0698" w:rsidRDefault="00000000" w14:paraId="50F4B899" w14:textId="77777777">
            <w:pPr>
              <w:rPr>
                <w:szCs w:val="18"/>
              </w:rPr>
            </w:pPr>
            <w:r w:rsidRPr="00832C14">
              <w:rPr>
                <w:szCs w:val="18"/>
              </w:rPr>
              <w:t>70</w:t>
            </w:r>
          </w:p>
        </w:tc>
      </w:tr>
      <w:tr w:rsidR="00062968" w:rsidTr="005B0698" w14:paraId="4EC32886" w14:textId="77777777">
        <w:trPr>
          <w:trHeight w:val="300"/>
        </w:trPr>
        <w:tc>
          <w:tcPr>
            <w:tcW w:w="4280" w:type="dxa"/>
            <w:tcBorders>
              <w:top w:val="single" w:color="5B9BD5" w:sz="8" w:space="0"/>
              <w:left w:val="single" w:color="5B9BD5" w:sz="8" w:space="0"/>
              <w:bottom w:val="nil"/>
              <w:right w:val="nil"/>
            </w:tcBorders>
            <w:noWrap/>
            <w:tcMar>
              <w:top w:w="0" w:type="dxa"/>
              <w:left w:w="70" w:type="dxa"/>
              <w:bottom w:w="0" w:type="dxa"/>
              <w:right w:w="70" w:type="dxa"/>
            </w:tcMar>
            <w:vAlign w:val="bottom"/>
            <w:hideMark/>
          </w:tcPr>
          <w:p w:rsidRPr="00832C14" w:rsidR="00304834" w:rsidP="005B0698" w:rsidRDefault="00000000" w14:paraId="4B82F9D2" w14:textId="77777777">
            <w:pPr>
              <w:rPr>
                <w:szCs w:val="18"/>
              </w:rPr>
            </w:pPr>
            <w:r w:rsidRPr="00832C14">
              <w:rPr>
                <w:szCs w:val="18"/>
              </w:rPr>
              <w:t>Medisch Specialistische Zorg</w:t>
            </w:r>
          </w:p>
        </w:tc>
        <w:tc>
          <w:tcPr>
            <w:tcW w:w="1780" w:type="dxa"/>
            <w:tcBorders>
              <w:top w:val="single" w:color="5B9BD5" w:sz="8" w:space="0"/>
              <w:left w:val="nil"/>
              <w:bottom w:val="nil"/>
              <w:right w:val="single" w:color="5B9BD5" w:sz="8" w:space="0"/>
            </w:tcBorders>
            <w:noWrap/>
            <w:tcMar>
              <w:top w:w="0" w:type="dxa"/>
              <w:left w:w="70" w:type="dxa"/>
              <w:bottom w:w="0" w:type="dxa"/>
              <w:right w:w="70" w:type="dxa"/>
            </w:tcMar>
            <w:vAlign w:val="bottom"/>
            <w:hideMark/>
          </w:tcPr>
          <w:p w:rsidRPr="00832C14" w:rsidR="00304834" w:rsidP="005B0698" w:rsidRDefault="00000000" w14:paraId="7AB6B824" w14:textId="77777777">
            <w:pPr>
              <w:rPr>
                <w:szCs w:val="18"/>
              </w:rPr>
            </w:pPr>
            <w:r w:rsidRPr="00832C14">
              <w:rPr>
                <w:szCs w:val="18"/>
              </w:rPr>
              <w:t>10</w:t>
            </w:r>
          </w:p>
        </w:tc>
      </w:tr>
      <w:tr w:rsidR="00062968" w:rsidTr="005B0698" w14:paraId="152FB9A0" w14:textId="77777777">
        <w:trPr>
          <w:trHeight w:val="300"/>
        </w:trPr>
        <w:tc>
          <w:tcPr>
            <w:tcW w:w="4280" w:type="dxa"/>
            <w:tcBorders>
              <w:top w:val="single" w:color="5B9BD5" w:sz="8" w:space="0"/>
              <w:left w:val="single" w:color="5B9BD5" w:sz="8" w:space="0"/>
              <w:bottom w:val="nil"/>
              <w:right w:val="nil"/>
            </w:tcBorders>
            <w:noWrap/>
            <w:tcMar>
              <w:top w:w="0" w:type="dxa"/>
              <w:left w:w="70" w:type="dxa"/>
              <w:bottom w:w="0" w:type="dxa"/>
              <w:right w:w="70" w:type="dxa"/>
            </w:tcMar>
            <w:vAlign w:val="bottom"/>
            <w:hideMark/>
          </w:tcPr>
          <w:p w:rsidRPr="00832C14" w:rsidR="00304834" w:rsidP="005B0698" w:rsidRDefault="00000000" w14:paraId="2FF688CD" w14:textId="77777777">
            <w:pPr>
              <w:rPr>
                <w:szCs w:val="18"/>
              </w:rPr>
            </w:pPr>
            <w:r w:rsidRPr="00832C14">
              <w:rPr>
                <w:szCs w:val="18"/>
              </w:rPr>
              <w:t>Publieke gezondheidszorg</w:t>
            </w:r>
          </w:p>
        </w:tc>
        <w:tc>
          <w:tcPr>
            <w:tcW w:w="1780" w:type="dxa"/>
            <w:tcBorders>
              <w:top w:val="single" w:color="5B9BD5" w:sz="8" w:space="0"/>
              <w:left w:val="nil"/>
              <w:bottom w:val="nil"/>
              <w:right w:val="single" w:color="5B9BD5" w:sz="8" w:space="0"/>
            </w:tcBorders>
            <w:noWrap/>
            <w:tcMar>
              <w:top w:w="0" w:type="dxa"/>
              <w:left w:w="70" w:type="dxa"/>
              <w:bottom w:w="0" w:type="dxa"/>
              <w:right w:w="70" w:type="dxa"/>
            </w:tcMar>
            <w:vAlign w:val="bottom"/>
            <w:hideMark/>
          </w:tcPr>
          <w:p w:rsidRPr="00832C14" w:rsidR="00304834" w:rsidP="005B0698" w:rsidRDefault="00000000" w14:paraId="1FEAFE6F" w14:textId="77777777">
            <w:pPr>
              <w:rPr>
                <w:szCs w:val="18"/>
              </w:rPr>
            </w:pPr>
            <w:r w:rsidRPr="00832C14">
              <w:rPr>
                <w:szCs w:val="18"/>
              </w:rPr>
              <w:t>&lt;5</w:t>
            </w:r>
          </w:p>
        </w:tc>
      </w:tr>
      <w:tr w:rsidR="00062968" w:rsidTr="005B0698" w14:paraId="186F1F4F" w14:textId="77777777">
        <w:trPr>
          <w:trHeight w:val="300"/>
        </w:trPr>
        <w:tc>
          <w:tcPr>
            <w:tcW w:w="4280" w:type="dxa"/>
            <w:tcBorders>
              <w:top w:val="single" w:color="5B9BD5" w:sz="8" w:space="0"/>
              <w:left w:val="single" w:color="5B9BD5" w:sz="8" w:space="0"/>
              <w:bottom w:val="nil"/>
              <w:right w:val="nil"/>
            </w:tcBorders>
            <w:noWrap/>
            <w:tcMar>
              <w:top w:w="0" w:type="dxa"/>
              <w:left w:w="70" w:type="dxa"/>
              <w:bottom w:w="0" w:type="dxa"/>
              <w:right w:w="70" w:type="dxa"/>
            </w:tcMar>
            <w:vAlign w:val="bottom"/>
            <w:hideMark/>
          </w:tcPr>
          <w:p w:rsidRPr="00832C14" w:rsidR="00304834" w:rsidP="005B0698" w:rsidRDefault="00000000" w14:paraId="62F0E5AC" w14:textId="77777777">
            <w:pPr>
              <w:rPr>
                <w:szCs w:val="18"/>
              </w:rPr>
            </w:pPr>
            <w:r w:rsidRPr="00832C14">
              <w:rPr>
                <w:szCs w:val="18"/>
              </w:rPr>
              <w:t>Verpleging en Verzorging</w:t>
            </w:r>
          </w:p>
        </w:tc>
        <w:tc>
          <w:tcPr>
            <w:tcW w:w="1780" w:type="dxa"/>
            <w:tcBorders>
              <w:top w:val="single" w:color="5B9BD5" w:sz="8" w:space="0"/>
              <w:left w:val="nil"/>
              <w:bottom w:val="nil"/>
              <w:right w:val="single" w:color="5B9BD5" w:sz="8" w:space="0"/>
            </w:tcBorders>
            <w:noWrap/>
            <w:tcMar>
              <w:top w:w="0" w:type="dxa"/>
              <w:left w:w="70" w:type="dxa"/>
              <w:bottom w:w="0" w:type="dxa"/>
              <w:right w:w="70" w:type="dxa"/>
            </w:tcMar>
            <w:vAlign w:val="bottom"/>
            <w:hideMark/>
          </w:tcPr>
          <w:p w:rsidRPr="00832C14" w:rsidR="00304834" w:rsidP="005B0698" w:rsidRDefault="00000000" w14:paraId="4EA7DA50" w14:textId="77777777">
            <w:pPr>
              <w:rPr>
                <w:szCs w:val="18"/>
              </w:rPr>
            </w:pPr>
            <w:r w:rsidRPr="00832C14">
              <w:rPr>
                <w:szCs w:val="18"/>
              </w:rPr>
              <w:t>30</w:t>
            </w:r>
          </w:p>
        </w:tc>
      </w:tr>
      <w:tr w:rsidR="00062968" w:rsidTr="005B0698" w14:paraId="13D38CBE" w14:textId="77777777">
        <w:trPr>
          <w:trHeight w:val="300"/>
        </w:trPr>
        <w:tc>
          <w:tcPr>
            <w:tcW w:w="4280" w:type="dxa"/>
            <w:tcBorders>
              <w:top w:val="single" w:color="5B9BD5" w:sz="8" w:space="0"/>
              <w:left w:val="single" w:color="5B9BD5" w:sz="8" w:space="0"/>
              <w:bottom w:val="single" w:color="5B9BD5" w:sz="8" w:space="0"/>
              <w:right w:val="nil"/>
            </w:tcBorders>
            <w:noWrap/>
            <w:tcMar>
              <w:top w:w="0" w:type="dxa"/>
              <w:left w:w="70" w:type="dxa"/>
              <w:bottom w:w="0" w:type="dxa"/>
              <w:right w:w="70" w:type="dxa"/>
            </w:tcMar>
            <w:vAlign w:val="bottom"/>
            <w:hideMark/>
          </w:tcPr>
          <w:p w:rsidRPr="00132B58" w:rsidR="00304834" w:rsidP="005B0698" w:rsidRDefault="00000000" w14:paraId="7A10D0EB" w14:textId="77777777">
            <w:pPr>
              <w:rPr>
                <w:b/>
                <w:bCs/>
                <w:szCs w:val="18"/>
              </w:rPr>
            </w:pPr>
            <w:r w:rsidRPr="00132B58">
              <w:rPr>
                <w:b/>
                <w:bCs/>
                <w:szCs w:val="18"/>
              </w:rPr>
              <w:t>Totaal</w:t>
            </w:r>
          </w:p>
        </w:tc>
        <w:tc>
          <w:tcPr>
            <w:tcW w:w="1780" w:type="dxa"/>
            <w:tcBorders>
              <w:top w:val="single" w:color="5B9BD5" w:sz="8" w:space="0"/>
              <w:left w:val="nil"/>
              <w:bottom w:val="single" w:color="5B9BD5" w:sz="8" w:space="0"/>
              <w:right w:val="single" w:color="5B9BD5" w:sz="8" w:space="0"/>
            </w:tcBorders>
            <w:noWrap/>
            <w:tcMar>
              <w:top w:w="0" w:type="dxa"/>
              <w:left w:w="70" w:type="dxa"/>
              <w:bottom w:w="0" w:type="dxa"/>
              <w:right w:w="70" w:type="dxa"/>
            </w:tcMar>
            <w:vAlign w:val="bottom"/>
            <w:hideMark/>
          </w:tcPr>
          <w:p w:rsidRPr="00132B58" w:rsidR="00304834" w:rsidP="005B0698" w:rsidRDefault="00000000" w14:paraId="722BC28D" w14:textId="77777777">
            <w:pPr>
              <w:rPr>
                <w:b/>
                <w:bCs/>
                <w:szCs w:val="18"/>
              </w:rPr>
            </w:pPr>
            <w:r w:rsidRPr="00132B58">
              <w:rPr>
                <w:b/>
                <w:bCs/>
                <w:szCs w:val="18"/>
              </w:rPr>
              <w:t>340</w:t>
            </w:r>
          </w:p>
        </w:tc>
      </w:tr>
    </w:tbl>
    <w:p w:rsidR="00304834" w:rsidP="00304834" w:rsidRDefault="00000000" w14:paraId="35CB0FB1" w14:textId="77777777">
      <w:pPr>
        <w:rPr>
          <w:szCs w:val="18"/>
        </w:rPr>
      </w:pPr>
      <w:r w:rsidRPr="00832C14">
        <w:rPr>
          <w:szCs w:val="18"/>
        </w:rPr>
        <w:br/>
      </w:r>
    </w:p>
    <w:p w:rsidR="00304834" w:rsidP="00304834" w:rsidRDefault="00000000" w14:paraId="4A25DBC2" w14:textId="77777777">
      <w:pPr>
        <w:rPr>
          <w:szCs w:val="18"/>
        </w:rPr>
      </w:pPr>
      <w:r w:rsidRPr="00EC24F2">
        <w:rPr>
          <w:szCs w:val="18"/>
        </w:rPr>
        <w:t xml:space="preserve">Vraag 5 </w:t>
      </w:r>
      <w:r w:rsidRPr="00EC24F2">
        <w:rPr>
          <w:szCs w:val="18"/>
        </w:rPr>
        <w:br/>
        <w:t>Hoeveel zorgaanbieders hanteren momenteel een algemene VOG-verplichting voor alle zorgverleners?</w:t>
      </w:r>
    </w:p>
    <w:p w:rsidR="00304834" w:rsidP="00304834" w:rsidRDefault="00304834" w14:paraId="296C6EE1" w14:textId="77777777">
      <w:pPr>
        <w:rPr>
          <w:szCs w:val="18"/>
        </w:rPr>
      </w:pPr>
    </w:p>
    <w:p w:rsidRPr="00832C14" w:rsidR="00304834" w:rsidP="00304834" w:rsidRDefault="00000000" w14:paraId="3FE67991" w14:textId="77777777">
      <w:pPr>
        <w:rPr>
          <w:szCs w:val="18"/>
        </w:rPr>
      </w:pPr>
      <w:r w:rsidRPr="00832C14">
        <w:rPr>
          <w:szCs w:val="18"/>
        </w:rPr>
        <w:t>Antwoord 5</w:t>
      </w:r>
    </w:p>
    <w:p w:rsidRPr="00CF750D" w:rsidR="00304834" w:rsidP="00304834" w:rsidRDefault="00000000" w14:paraId="07D282A0" w14:textId="77777777">
      <w:pPr>
        <w:spacing w:after="160" w:line="278" w:lineRule="auto"/>
        <w:rPr>
          <w:szCs w:val="18"/>
        </w:rPr>
      </w:pPr>
      <w:r w:rsidRPr="00CF750D">
        <w:rPr>
          <w:szCs w:val="18"/>
        </w:rPr>
        <w:t xml:space="preserve">Alle zorgaanbieders die zorg verlenen op grond van de Wet langdurige zorg (Wlz) moeten op grond van het Uitvoeringsbesluit wet kwaliteit, klachten en geschillen zorg (Wkkgz) beschikken over een Verklaring Omtrent het Gedrag (VOG) van de zorgverleners die zorg verlenen aan hun cliënten. Die VOG-verplichting geldt </w:t>
      </w:r>
      <w:r w:rsidRPr="00132B58">
        <w:rPr>
          <w:szCs w:val="18"/>
        </w:rPr>
        <w:t>binnen de Wlz</w:t>
      </w:r>
      <w:r w:rsidRPr="00CF750D">
        <w:rPr>
          <w:szCs w:val="18"/>
        </w:rPr>
        <w:t xml:space="preserve"> ook voor andere personen die beroepsmatig in contact kunnen komen met de cliënten. Het voorgaande geldt ook voor zorgaanbieders die geestelijke gezondheidszorg verlenen met de mogelijkheid tot verblijf. Voor andere zorgaanbieders geldt dat het afhankelijk is van de individuele zorgaanbieder of een VOG wordt verlangd van zorgverleners. Een VOG verlangen is mogelijk, maar is geen wettelijke verplichting.</w:t>
      </w:r>
    </w:p>
    <w:p w:rsidR="00304834" w:rsidP="00304834" w:rsidRDefault="00304834" w14:paraId="31E9EA86" w14:textId="77777777">
      <w:pPr>
        <w:rPr>
          <w:szCs w:val="18"/>
        </w:rPr>
      </w:pPr>
    </w:p>
    <w:p w:rsidR="00304834" w:rsidP="00304834" w:rsidRDefault="00000000" w14:paraId="75D6EB92" w14:textId="77777777">
      <w:pPr>
        <w:rPr>
          <w:szCs w:val="18"/>
        </w:rPr>
      </w:pPr>
      <w:r w:rsidRPr="00EC24F2">
        <w:rPr>
          <w:szCs w:val="18"/>
        </w:rPr>
        <w:t xml:space="preserve">Vraag 6 </w:t>
      </w:r>
      <w:r w:rsidRPr="00EC24F2">
        <w:rPr>
          <w:szCs w:val="18"/>
        </w:rPr>
        <w:br/>
        <w:t>Wat zijn de kosten van invoering van een algemene VOG-verplichting voor alle zorgverleners? Welke gevolgen heeft een dergelijke algemene verplichting voor de administratieve lasten?</w:t>
      </w:r>
    </w:p>
    <w:p w:rsidR="00304834" w:rsidP="00304834" w:rsidRDefault="00304834" w14:paraId="51183886" w14:textId="77777777">
      <w:pPr>
        <w:rPr>
          <w:szCs w:val="18"/>
        </w:rPr>
      </w:pPr>
    </w:p>
    <w:p w:rsidRPr="00EC24F2" w:rsidR="00304834" w:rsidP="00304834" w:rsidRDefault="00000000" w14:paraId="293D4984" w14:textId="77777777">
      <w:pPr>
        <w:rPr>
          <w:szCs w:val="18"/>
        </w:rPr>
      </w:pPr>
      <w:r>
        <w:rPr>
          <w:szCs w:val="18"/>
        </w:rPr>
        <w:t>Antwoord 6</w:t>
      </w:r>
    </w:p>
    <w:p w:rsidRPr="002C3245" w:rsidR="002C3245" w:rsidP="002C3245" w:rsidRDefault="00000000" w14:paraId="2F3A28D1" w14:textId="77777777">
      <w:pPr>
        <w:rPr>
          <w:szCs w:val="18"/>
        </w:rPr>
      </w:pPr>
      <w:r w:rsidRPr="002C3245">
        <w:rPr>
          <w:szCs w:val="18"/>
        </w:rPr>
        <w:t>De totale kosten van een zorgbrede VOG-verplichting voor alle zorgverleners zouden aanzienlijk zijn, gezien het grote aantal zorgverleners in de sector.</w:t>
      </w:r>
      <w:r>
        <w:rPr>
          <w:szCs w:val="18"/>
        </w:rPr>
        <w:t xml:space="preserve"> </w:t>
      </w:r>
      <w:r w:rsidRPr="002C3245">
        <w:rPr>
          <w:szCs w:val="18"/>
        </w:rPr>
        <w:t>Naast financiële kosten zijn ook de uitvoeringsconsequenties van belang, met name voor screeningsautoriteit Justis en zorgaanbieders. De uiteindelijke kosten hangen bovendien sterk af van de invoering, bijvoorbeeld of de verplichting geldt voor nieuwe en/of zittende medewerkers en of deze eenmalig of periodiek wordt uitgevoerd.</w:t>
      </w:r>
      <w:r>
        <w:rPr>
          <w:szCs w:val="18"/>
        </w:rPr>
        <w:t xml:space="preserve"> </w:t>
      </w:r>
      <w:r w:rsidRPr="002C3245">
        <w:rPr>
          <w:szCs w:val="18"/>
        </w:rPr>
        <w:t>De financiële kosten en administratieve lasten van een uitbreiding van de VOG-verplichting moeten natuurlijk in verhouding staan tot het beoogde doel: het verkleinen van veiligheidsrisico's en het waarborgen van de integriteit binnen organisaties.</w:t>
      </w:r>
    </w:p>
    <w:p w:rsidRPr="002C3245" w:rsidR="002C3245" w:rsidP="002C3245" w:rsidRDefault="002C3245" w14:paraId="653CA7ED" w14:textId="77777777">
      <w:pPr>
        <w:rPr>
          <w:szCs w:val="18"/>
        </w:rPr>
      </w:pPr>
    </w:p>
    <w:p w:rsidR="00304834" w:rsidP="00304834" w:rsidRDefault="00304834" w14:paraId="63030C4E" w14:textId="77777777">
      <w:pPr>
        <w:rPr>
          <w:szCs w:val="18"/>
        </w:rPr>
      </w:pPr>
    </w:p>
    <w:p w:rsidR="00304834" w:rsidP="00304834" w:rsidRDefault="00000000" w14:paraId="06FC0B0B" w14:textId="77777777">
      <w:pPr>
        <w:rPr>
          <w:szCs w:val="18"/>
        </w:rPr>
      </w:pPr>
      <w:r w:rsidRPr="00EC24F2">
        <w:rPr>
          <w:szCs w:val="18"/>
        </w:rPr>
        <w:lastRenderedPageBreak/>
        <w:t xml:space="preserve">Vraag 7 </w:t>
      </w:r>
      <w:r w:rsidRPr="00EC24F2">
        <w:rPr>
          <w:szCs w:val="18"/>
        </w:rPr>
        <w:br/>
      </w:r>
      <w:bookmarkStart w:name="_Hlk224033800" w:id="8"/>
      <w:r w:rsidRPr="00EC24F2">
        <w:rPr>
          <w:szCs w:val="18"/>
        </w:rPr>
        <w:t>Hoeveel cliënten in de gehandicaptenzorg ontvangen momenteel zorg vanuit een persoonsgebonden budget (pgb) en hoeveel cliënten ontvangen zorg in natura?</w:t>
      </w:r>
    </w:p>
    <w:p w:rsidR="00304834" w:rsidP="00304834" w:rsidRDefault="00304834" w14:paraId="0E405E65" w14:textId="77777777">
      <w:pPr>
        <w:rPr>
          <w:szCs w:val="18"/>
        </w:rPr>
      </w:pPr>
    </w:p>
    <w:p w:rsidRPr="00304834" w:rsidR="00304834" w:rsidP="00304834" w:rsidRDefault="00000000" w14:paraId="56720169" w14:textId="77777777">
      <w:pPr>
        <w:rPr>
          <w:szCs w:val="18"/>
        </w:rPr>
      </w:pPr>
      <w:r>
        <w:rPr>
          <w:szCs w:val="18"/>
        </w:rPr>
        <w:t>Antwoord 7</w:t>
      </w:r>
      <w:r w:rsidRPr="00EC24F2">
        <w:rPr>
          <w:szCs w:val="18"/>
        </w:rPr>
        <w:br/>
      </w:r>
      <w:bookmarkEnd w:id="8"/>
      <w:r w:rsidRPr="00832C14">
        <w:rPr>
          <w:szCs w:val="18"/>
        </w:rPr>
        <w:t>Er zijn c</w:t>
      </w:r>
      <w:r>
        <w:rPr>
          <w:szCs w:val="18"/>
        </w:rPr>
        <w:t>irca</w:t>
      </w:r>
      <w:r w:rsidRPr="00832C14">
        <w:rPr>
          <w:szCs w:val="18"/>
        </w:rPr>
        <w:t xml:space="preserve"> 133.000 cliënten met een zorgprofiel behorend bij de gehandicaptenzorg met gebruik van naturazorg, pgb of een combinatie van naturazorg en pgb (gemeten op peilmoment, 2024). Daarvan hadden er 105.300 naturazorg, 41.500 pgb en 13.800 een combinatie van naturazorg en pgb</w:t>
      </w:r>
      <w:r>
        <w:rPr>
          <w:rStyle w:val="Voetnootmarkering"/>
          <w:szCs w:val="18"/>
        </w:rPr>
        <w:footnoteReference w:id="2"/>
      </w:r>
      <w:r w:rsidRPr="00832C14">
        <w:rPr>
          <w:szCs w:val="18"/>
        </w:rPr>
        <w:t xml:space="preserve">. </w:t>
      </w:r>
    </w:p>
    <w:p w:rsidR="00304834" w:rsidP="00304834" w:rsidRDefault="00304834" w14:paraId="6EAD063D" w14:textId="77777777">
      <w:pPr>
        <w:rPr>
          <w:szCs w:val="18"/>
        </w:rPr>
      </w:pPr>
    </w:p>
    <w:p w:rsidR="00304834" w:rsidP="00304834" w:rsidRDefault="00304834" w14:paraId="7ED53DFA" w14:textId="77777777">
      <w:pPr>
        <w:rPr>
          <w:szCs w:val="18"/>
        </w:rPr>
      </w:pPr>
    </w:p>
    <w:p w:rsidR="00304834" w:rsidP="00304834" w:rsidRDefault="00000000" w14:paraId="55B7AEB5" w14:textId="77777777">
      <w:pPr>
        <w:rPr>
          <w:szCs w:val="18"/>
        </w:rPr>
      </w:pPr>
      <w:r w:rsidRPr="00EC24F2">
        <w:rPr>
          <w:szCs w:val="18"/>
        </w:rPr>
        <w:t xml:space="preserve">Vraag 8 </w:t>
      </w:r>
      <w:r w:rsidRPr="00EC24F2">
        <w:rPr>
          <w:szCs w:val="18"/>
        </w:rPr>
        <w:br/>
      </w:r>
      <w:bookmarkStart w:name="_Hlk223944409" w:id="9"/>
      <w:r w:rsidRPr="00EC24F2">
        <w:rPr>
          <w:szCs w:val="18"/>
        </w:rPr>
        <w:t>Hoeveel pgb-gefinancierde wooninitiatieven zijn er in de gehandicaptenzorg? Wanneer kan het transparantieregister van pgb-wooninitiatieven verwacht worden?</w:t>
      </w:r>
    </w:p>
    <w:p w:rsidR="00304834" w:rsidP="00304834" w:rsidRDefault="00304834" w14:paraId="02B63E95" w14:textId="77777777">
      <w:pPr>
        <w:rPr>
          <w:szCs w:val="18"/>
        </w:rPr>
      </w:pPr>
    </w:p>
    <w:p w:rsidRPr="00EC24F2" w:rsidR="00304834" w:rsidP="00304834" w:rsidRDefault="00000000" w14:paraId="248B9207" w14:textId="77777777">
      <w:pPr>
        <w:rPr>
          <w:szCs w:val="18"/>
        </w:rPr>
      </w:pPr>
      <w:r>
        <w:rPr>
          <w:szCs w:val="18"/>
        </w:rPr>
        <w:t>Antwoord 8</w:t>
      </w:r>
    </w:p>
    <w:bookmarkEnd w:id="9"/>
    <w:p w:rsidRPr="00F5449A" w:rsidR="00304834" w:rsidP="00304834" w:rsidRDefault="00000000" w14:paraId="196DDD5B" w14:textId="77777777">
      <w:pPr>
        <w:spacing w:after="160" w:line="278" w:lineRule="auto"/>
        <w:rPr>
          <w:szCs w:val="18"/>
        </w:rPr>
      </w:pPr>
      <w:r w:rsidRPr="00F5449A">
        <w:rPr>
          <w:szCs w:val="18"/>
        </w:rPr>
        <w:t>Het exacte aantal pgb-gefinancierde wooninitiatieven in de gehandicaptenzorg is niet bekend. Wel is bekend dat medio 2025 6.170 pgb-houders met een zorg</w:t>
      </w:r>
      <w:r>
        <w:rPr>
          <w:szCs w:val="18"/>
        </w:rPr>
        <w:t>-</w:t>
      </w:r>
      <w:r w:rsidRPr="00F5449A">
        <w:rPr>
          <w:szCs w:val="18"/>
        </w:rPr>
        <w:t>profiel in de gehandicaptenzorg een wooninitiatieventoeslag ontvingen</w:t>
      </w:r>
      <w:r>
        <w:rPr>
          <w:rStyle w:val="Voetnootmarkering"/>
          <w:szCs w:val="18"/>
        </w:rPr>
        <w:footnoteReference w:id="3"/>
      </w:r>
      <w:r w:rsidRPr="00F5449A">
        <w:rPr>
          <w:szCs w:val="18"/>
        </w:rPr>
        <w:t>. Als wordt uitgegaan van gemiddeld 12 bewoners per wooninitiatief komt dit neer op circa 500 pgb-gefinancierde wooninitiatieven in de gehandicaptenzorg. Samen met de IGJ, Zorgverzekeraars Nederland (ZN) en het CIBG werk ik aan de ontwikkeling van een transparantieregister voor pgb-gefinancierde wooninitiatieven. Het is de bedoeling dat het register automatisch wordt samengesteld door gebruik te maken van de vragenlijsten van Meldplicht, Vergunningplicht en Openbare Jaarverant</w:t>
      </w:r>
      <w:r>
        <w:rPr>
          <w:szCs w:val="18"/>
        </w:rPr>
        <w:t>-</w:t>
      </w:r>
      <w:r w:rsidRPr="00F5449A">
        <w:rPr>
          <w:szCs w:val="18"/>
        </w:rPr>
        <w:t xml:space="preserve">woording. Hiervoor moeten deze vragenlijsten worden aangepast, zodat hieruit eenduidig kan worden afgeleid wanneer er bij een zorgaanbieder sprake is van een wooninitiatief. Deze informatie wordt verder aangevuld met gegevens van zorgkantoren. </w:t>
      </w:r>
    </w:p>
    <w:p w:rsidRPr="00F5449A" w:rsidR="00304834" w:rsidP="00304834" w:rsidRDefault="00000000" w14:paraId="26D1A921" w14:textId="77777777">
      <w:pPr>
        <w:spacing w:after="160" w:line="278" w:lineRule="auto"/>
        <w:rPr>
          <w:szCs w:val="18"/>
        </w:rPr>
      </w:pPr>
      <w:r w:rsidRPr="00F5449A">
        <w:rPr>
          <w:szCs w:val="18"/>
        </w:rPr>
        <w:t>Om dit alles te realiseren zijn zowel technische als juridische aanpassingen nodig. Met name het aanpassen van regelingen en het creëren van een vereiste grondslag voor gegevensuitwisseling kost tijd. Ik streef ernaar het register zo spoedig als mogelijk operationeel te hebben. Daarbij wordt verkend of het een optie is het register in fasen te vullen en beschikbaar te stellen, waarbij een steeds completer beeld ontstaat. Als blijkt dat dit mogelijk is, kan een eerste versie wellicht eind dit jaar beschikbaar zijn.</w:t>
      </w:r>
    </w:p>
    <w:p w:rsidR="00304834" w:rsidP="00304834" w:rsidRDefault="00304834" w14:paraId="54520BE3" w14:textId="77777777">
      <w:pPr>
        <w:rPr>
          <w:szCs w:val="18"/>
        </w:rPr>
      </w:pPr>
    </w:p>
    <w:p w:rsidR="00304834" w:rsidP="00304834" w:rsidRDefault="00000000" w14:paraId="6A9EE671" w14:textId="77777777">
      <w:pPr>
        <w:rPr>
          <w:szCs w:val="18"/>
        </w:rPr>
      </w:pPr>
      <w:r w:rsidRPr="00EC24F2">
        <w:rPr>
          <w:szCs w:val="18"/>
        </w:rPr>
        <w:t xml:space="preserve">Vraag 9 </w:t>
      </w:r>
      <w:r w:rsidRPr="00EC24F2">
        <w:rPr>
          <w:szCs w:val="18"/>
        </w:rPr>
        <w:br/>
        <w:t xml:space="preserve">Wat is de stand van zaken van het door zorgaanbieders 'beter in staat zijn van het herkennen en signaleren van seksueel grensoverschrijdend gedrag'? Op welke wijze worden zorgaanbieders gestimuleerd om te werken aan deze bewustwording en preventie, in het bijzonder als het gaat om cliënten met moeilijk verstaanbaar gedrag of die niet verbaal kunnen aangeven wat zij ervaren? Zijn er concrete veranderingen te zien? </w:t>
      </w:r>
    </w:p>
    <w:p w:rsidR="00304834" w:rsidP="00304834" w:rsidRDefault="00304834" w14:paraId="6CFB7B3A" w14:textId="77777777">
      <w:pPr>
        <w:rPr>
          <w:szCs w:val="18"/>
        </w:rPr>
      </w:pPr>
    </w:p>
    <w:p w:rsidR="00875513" w:rsidP="00304834" w:rsidRDefault="00875513" w14:paraId="74177747" w14:textId="77777777">
      <w:pPr>
        <w:rPr>
          <w:szCs w:val="18"/>
        </w:rPr>
      </w:pPr>
    </w:p>
    <w:p w:rsidRPr="00EC24F2" w:rsidR="00304834" w:rsidP="00304834" w:rsidRDefault="00000000" w14:paraId="06B35BC8" w14:textId="77777777">
      <w:pPr>
        <w:rPr>
          <w:szCs w:val="18"/>
        </w:rPr>
      </w:pPr>
      <w:r>
        <w:rPr>
          <w:szCs w:val="18"/>
        </w:rPr>
        <w:lastRenderedPageBreak/>
        <w:t>Antwoord 9</w:t>
      </w:r>
    </w:p>
    <w:p w:rsidR="00304834" w:rsidP="00304834" w:rsidRDefault="00000000" w14:paraId="29D4B6F0" w14:textId="77777777">
      <w:pPr>
        <w:spacing w:line="259" w:lineRule="auto"/>
        <w:rPr>
          <w:szCs w:val="18"/>
        </w:rPr>
      </w:pPr>
      <w:r w:rsidRPr="00832C14">
        <w:rPr>
          <w:szCs w:val="18"/>
        </w:rPr>
        <w:t xml:space="preserve">De inspectie ziet dat zorgaanbieders in de </w:t>
      </w:r>
      <w:r w:rsidR="00783E93">
        <w:rPr>
          <w:szCs w:val="18"/>
        </w:rPr>
        <w:t>gehandicaptenzorg</w:t>
      </w:r>
      <w:r w:rsidRPr="00832C14">
        <w:rPr>
          <w:szCs w:val="18"/>
        </w:rPr>
        <w:t xml:space="preserve"> zich blijvend inspannen om het beleid verder te verbeteren. De inspectie ziet daarnaast een positieve ontwikkeling als het gaat om doorontwikkeling van het beleid. Zo is </w:t>
      </w:r>
      <w:r w:rsidR="00783E93">
        <w:rPr>
          <w:szCs w:val="18"/>
        </w:rPr>
        <w:t xml:space="preserve">het </w:t>
      </w:r>
      <w:r w:rsidRPr="00832C14">
        <w:rPr>
          <w:szCs w:val="18"/>
        </w:rPr>
        <w:t xml:space="preserve">bij veel zorgaanbieders aantoonbaar beleid om het thema gezonde seksuele ontwikkeling (vriendschap, relaties, intimiteit en seksualiteit) onderdeel te laten zijn van de methodische begeleiding van cliënten, als dat mogelijk is. Ook hebben veel zorgaanbieders de pijlers van de Veilige Zorgrelatie ingevoerd of werken zij daaraan. </w:t>
      </w:r>
    </w:p>
    <w:p w:rsidRPr="00832C14" w:rsidR="00304834" w:rsidP="00304834" w:rsidRDefault="00304834" w14:paraId="607AE044" w14:textId="77777777">
      <w:pPr>
        <w:spacing w:line="259" w:lineRule="auto"/>
        <w:rPr>
          <w:szCs w:val="18"/>
        </w:rPr>
      </w:pPr>
    </w:p>
    <w:p w:rsidR="00304834" w:rsidP="00304834" w:rsidRDefault="00000000" w14:paraId="64FA6AB1" w14:textId="77777777">
      <w:pPr>
        <w:rPr>
          <w:szCs w:val="18"/>
        </w:rPr>
      </w:pPr>
      <w:r w:rsidRPr="00832C14">
        <w:rPr>
          <w:szCs w:val="18"/>
        </w:rPr>
        <w:t xml:space="preserve">De Regeringscommissaris </w:t>
      </w:r>
      <w:r w:rsidR="00783E93">
        <w:rPr>
          <w:szCs w:val="18"/>
        </w:rPr>
        <w:t xml:space="preserve">seksueel grensoverschrijdend gedrag en seksueel geweld </w:t>
      </w:r>
      <w:r w:rsidRPr="00832C14">
        <w:rPr>
          <w:szCs w:val="18"/>
        </w:rPr>
        <w:t xml:space="preserve">heeft samen met de gehele zorgsector, waaronder het domein gehandicaptenzorg, in juni 2025 een zorgmanifest gepresenteerd op een zorgbreed congres tegen seksueel grensoverschrijdend gedrag. Dit manifest is inmiddels door 40 branche- en beroepsverenigingen ondertekend. </w:t>
      </w:r>
    </w:p>
    <w:p w:rsidRPr="00832C14" w:rsidR="00304834" w:rsidP="00304834" w:rsidRDefault="00304834" w14:paraId="75DBE7E8" w14:textId="77777777">
      <w:pPr>
        <w:rPr>
          <w:szCs w:val="18"/>
        </w:rPr>
      </w:pPr>
    </w:p>
    <w:p w:rsidR="00304834" w:rsidP="00304834" w:rsidRDefault="00000000" w14:paraId="105CA6CC" w14:textId="77777777">
      <w:pPr>
        <w:spacing w:line="278" w:lineRule="auto"/>
        <w:rPr>
          <w:szCs w:val="18"/>
        </w:rPr>
      </w:pPr>
      <w:r w:rsidRPr="00832C14">
        <w:rPr>
          <w:szCs w:val="18"/>
        </w:rPr>
        <w:t>Ter opvolging van dit manifest</w:t>
      </w:r>
      <w:r w:rsidRPr="00C7284F">
        <w:rPr>
          <w:szCs w:val="18"/>
        </w:rPr>
        <w:t xml:space="preserve"> heeft de Regeringscommissaris </w:t>
      </w:r>
      <w:hyperlink w:history="1" r:id="rId11">
        <w:r w:rsidRPr="00C7284F" w:rsidR="00304834">
          <w:rPr>
            <w:rStyle w:val="Hyperlink"/>
            <w:color w:val="auto"/>
            <w:szCs w:val="18"/>
            <w:u w:val="none"/>
          </w:rPr>
          <w:t xml:space="preserve">op 17 december </w:t>
        </w:r>
        <w:r w:rsidRPr="00832C14" w:rsidR="00304834">
          <w:rPr>
            <w:rStyle w:val="Hyperlink"/>
            <w:color w:val="auto"/>
            <w:szCs w:val="18"/>
            <w:u w:val="none"/>
          </w:rPr>
          <w:t xml:space="preserve">2025 </w:t>
        </w:r>
        <w:r w:rsidRPr="00C7284F" w:rsidR="00304834">
          <w:rPr>
            <w:rStyle w:val="Hyperlink"/>
            <w:color w:val="auto"/>
            <w:szCs w:val="18"/>
            <w:u w:val="none"/>
          </w:rPr>
          <w:t>een bestuurlijk overleg</w:t>
        </w:r>
      </w:hyperlink>
      <w:r w:rsidRPr="00C7284F">
        <w:rPr>
          <w:szCs w:val="18"/>
        </w:rPr>
        <w:t xml:space="preserve"> georganiseerd ten behoeve van bestuurlijk</w:t>
      </w:r>
      <w:r w:rsidR="00783E93">
        <w:rPr>
          <w:szCs w:val="18"/>
        </w:rPr>
        <w:t>e</w:t>
      </w:r>
      <w:r w:rsidRPr="00C7284F">
        <w:rPr>
          <w:szCs w:val="18"/>
        </w:rPr>
        <w:t xml:space="preserve"> </w:t>
      </w:r>
      <w:r w:rsidRPr="00832C14">
        <w:rPr>
          <w:szCs w:val="18"/>
        </w:rPr>
        <w:t xml:space="preserve">inzet </w:t>
      </w:r>
      <w:r w:rsidRPr="00C7284F">
        <w:rPr>
          <w:szCs w:val="18"/>
        </w:rPr>
        <w:t>op het ontwikkelen van ideeën tot concrete plannen van aanpak. Op 28 mei</w:t>
      </w:r>
      <w:r w:rsidRPr="00832C14">
        <w:rPr>
          <w:szCs w:val="18"/>
        </w:rPr>
        <w:t xml:space="preserve"> </w:t>
      </w:r>
      <w:r w:rsidR="00783E93">
        <w:rPr>
          <w:szCs w:val="18"/>
        </w:rPr>
        <w:t xml:space="preserve">a.s. </w:t>
      </w:r>
      <w:r w:rsidRPr="00832C14">
        <w:rPr>
          <w:szCs w:val="18"/>
        </w:rPr>
        <w:t>wordt er een</w:t>
      </w:r>
      <w:r w:rsidRPr="00C7284F">
        <w:rPr>
          <w:szCs w:val="18"/>
        </w:rPr>
        <w:t xml:space="preserve"> bestuurlijk vervolg</w:t>
      </w:r>
      <w:r w:rsidRPr="00832C14">
        <w:rPr>
          <w:szCs w:val="18"/>
        </w:rPr>
        <w:t xml:space="preserve"> op georganiseerd</w:t>
      </w:r>
      <w:r w:rsidRPr="00C7284F">
        <w:rPr>
          <w:szCs w:val="18"/>
        </w:rPr>
        <w:t xml:space="preserve">. </w:t>
      </w:r>
      <w:r w:rsidRPr="00832C14">
        <w:rPr>
          <w:szCs w:val="18"/>
        </w:rPr>
        <w:t>D</w:t>
      </w:r>
      <w:r w:rsidRPr="00C7284F">
        <w:rPr>
          <w:szCs w:val="18"/>
        </w:rPr>
        <w:t xml:space="preserve">e plannen van aanpak per zorgdomein </w:t>
      </w:r>
      <w:r w:rsidRPr="00832C14">
        <w:rPr>
          <w:szCs w:val="18"/>
        </w:rPr>
        <w:t xml:space="preserve">zijn </w:t>
      </w:r>
      <w:r w:rsidRPr="00C7284F">
        <w:rPr>
          <w:szCs w:val="18"/>
        </w:rPr>
        <w:t>dan verder uitgewerkt en de eerste ideeën</w:t>
      </w:r>
      <w:r w:rsidRPr="00832C14">
        <w:rPr>
          <w:szCs w:val="18"/>
        </w:rPr>
        <w:t xml:space="preserve"> </w:t>
      </w:r>
      <w:r w:rsidRPr="00C7284F">
        <w:rPr>
          <w:szCs w:val="18"/>
        </w:rPr>
        <w:t>in gang gezet.</w:t>
      </w:r>
    </w:p>
    <w:p w:rsidR="00304834" w:rsidP="00304834" w:rsidRDefault="00304834" w14:paraId="4D7788CC" w14:textId="77777777">
      <w:pPr>
        <w:rPr>
          <w:rFonts w:cstheme="minorBidi"/>
          <w:szCs w:val="18"/>
        </w:rPr>
      </w:pPr>
    </w:p>
    <w:p w:rsidR="00304834" w:rsidP="00304834" w:rsidRDefault="00000000" w14:paraId="7DC7C5C9" w14:textId="77777777">
      <w:pPr>
        <w:rPr>
          <w:szCs w:val="18"/>
        </w:rPr>
      </w:pPr>
      <w:r w:rsidRPr="00832C14">
        <w:rPr>
          <w:szCs w:val="18"/>
        </w:rPr>
        <w:t>De V</w:t>
      </w:r>
      <w:r w:rsidR="00783E93">
        <w:rPr>
          <w:szCs w:val="18"/>
        </w:rPr>
        <w:t>ereniging Gehandicaptenzorg Nederland</w:t>
      </w:r>
      <w:r w:rsidRPr="00832C14">
        <w:rPr>
          <w:szCs w:val="18"/>
        </w:rPr>
        <w:t xml:space="preserve"> heeft daarnaast een handreiking ‘Sturen op aanpak seksueel misbruik’ met praktische handvatten en aanbevelingen voor zorgorganisaties om de preventie en aanpak van seksueel misbruik te organiseren. Deze handreiking wordt momenteel herschreven. De herziene handreiking beschrijft wijzigingen in wet- en regelgeving, bevat veel achtergrondinformatie en ondersteunt organisaties bij het uitwerken van hun eigen interne beleid en procedures t</w:t>
      </w:r>
      <w:r w:rsidR="00783E93">
        <w:rPr>
          <w:szCs w:val="18"/>
        </w:rPr>
        <w:t xml:space="preserve">en aanzien van </w:t>
      </w:r>
      <w:r w:rsidRPr="00832C14">
        <w:rPr>
          <w:szCs w:val="18"/>
        </w:rPr>
        <w:t xml:space="preserve">seksueel grensoverschrijdend gedrag richting cliënten. </w:t>
      </w:r>
    </w:p>
    <w:p w:rsidRPr="00832C14" w:rsidR="00304834" w:rsidP="00304834" w:rsidRDefault="00304834" w14:paraId="73FB9B64" w14:textId="77777777">
      <w:pPr>
        <w:rPr>
          <w:szCs w:val="18"/>
        </w:rPr>
      </w:pPr>
    </w:p>
    <w:p w:rsidR="00304834" w:rsidP="00304834" w:rsidRDefault="00304834" w14:paraId="16853069" w14:textId="77777777">
      <w:pPr>
        <w:rPr>
          <w:szCs w:val="18"/>
        </w:rPr>
      </w:pPr>
    </w:p>
    <w:p w:rsidR="00304834" w:rsidP="00304834" w:rsidRDefault="00000000" w14:paraId="0E9EE0F9" w14:textId="77777777">
      <w:pPr>
        <w:rPr>
          <w:szCs w:val="18"/>
        </w:rPr>
      </w:pPr>
      <w:r w:rsidRPr="00EC24F2">
        <w:rPr>
          <w:szCs w:val="18"/>
        </w:rPr>
        <w:t xml:space="preserve">Vraag 10 </w:t>
      </w:r>
      <w:r w:rsidRPr="00EC24F2">
        <w:rPr>
          <w:szCs w:val="18"/>
        </w:rPr>
        <w:br/>
        <w:t>Over hoeveel inspecteurs beschikt de IGJ momenteel? Hoeveel bezoeken heeft de IGJ sinds 2025 afgelegd aan pgb-gefinancierde wooninitiatieven, zoals zorgboerderijen?</w:t>
      </w:r>
    </w:p>
    <w:p w:rsidR="00304834" w:rsidP="00304834" w:rsidRDefault="00304834" w14:paraId="0029661C" w14:textId="77777777">
      <w:pPr>
        <w:rPr>
          <w:szCs w:val="18"/>
        </w:rPr>
      </w:pPr>
    </w:p>
    <w:p w:rsidRPr="00EC24F2" w:rsidR="00304834" w:rsidP="00304834" w:rsidRDefault="00000000" w14:paraId="4F3EF5BF" w14:textId="77777777">
      <w:pPr>
        <w:rPr>
          <w:szCs w:val="18"/>
        </w:rPr>
      </w:pPr>
      <w:r>
        <w:rPr>
          <w:szCs w:val="18"/>
        </w:rPr>
        <w:t>Antwoord 10</w:t>
      </w:r>
    </w:p>
    <w:p w:rsidRPr="00832C14" w:rsidR="00304834" w:rsidP="00304834" w:rsidRDefault="00000000" w14:paraId="3D66755B" w14:textId="77777777">
      <w:pPr>
        <w:rPr>
          <w:szCs w:val="18"/>
        </w:rPr>
      </w:pPr>
      <w:r w:rsidRPr="00832C14">
        <w:rPr>
          <w:szCs w:val="18"/>
        </w:rPr>
        <w:t xml:space="preserve">Er werken 470 inspecteurs bij de IGJ. Hiermee houdt de IGJ toezicht op de kwaliteit en veiligheid van de gehele gezondheidszorg, jeugdhulp, farmaceutische producten en medische hulpmiddelen. Binnen de afdeling gehandicaptenzorg werken 28 inspecteurs. </w:t>
      </w:r>
    </w:p>
    <w:p w:rsidR="00304834" w:rsidP="00304834" w:rsidRDefault="00304834" w14:paraId="1EB10B89" w14:textId="77777777">
      <w:pPr>
        <w:rPr>
          <w:color w:val="5B9BD5" w:themeColor="accent1"/>
          <w:szCs w:val="18"/>
        </w:rPr>
      </w:pPr>
    </w:p>
    <w:p w:rsidR="00304834" w:rsidP="00304834" w:rsidRDefault="00000000" w14:paraId="09145AB1" w14:textId="77777777">
      <w:pPr>
        <w:rPr>
          <w:szCs w:val="18"/>
        </w:rPr>
      </w:pPr>
      <w:r w:rsidRPr="00832C14">
        <w:rPr>
          <w:szCs w:val="18"/>
        </w:rPr>
        <w:t>De IGJ heeft vanaf 2025</w:t>
      </w:r>
      <w:r>
        <w:rPr>
          <w:szCs w:val="18"/>
        </w:rPr>
        <w:t xml:space="preserve"> </w:t>
      </w:r>
      <w:r w:rsidRPr="00832C14">
        <w:rPr>
          <w:szCs w:val="18"/>
        </w:rPr>
        <w:t xml:space="preserve">229 bezoeken gebracht aan aanbieders van gehandicaptenzorg. Daaronder zijn ook </w:t>
      </w:r>
      <w:r w:rsidR="00935EA7">
        <w:rPr>
          <w:szCs w:val="18"/>
        </w:rPr>
        <w:t>pgb-</w:t>
      </w:r>
      <w:r w:rsidRPr="00832C14">
        <w:rPr>
          <w:szCs w:val="18"/>
        </w:rPr>
        <w:t xml:space="preserve">gefinancierde wooninitiatieven. De financieringsvorm maakt echter geen deel uit van de </w:t>
      </w:r>
      <w:r w:rsidRPr="00832C14" w:rsidR="00935EA7">
        <w:rPr>
          <w:szCs w:val="18"/>
        </w:rPr>
        <w:t>risico informatie</w:t>
      </w:r>
      <w:r w:rsidRPr="00832C14">
        <w:rPr>
          <w:szCs w:val="18"/>
        </w:rPr>
        <w:t xml:space="preserve"> voorafgaand aan een bezoek. Daarom is geen exact antwoord te geven op de vraag hoeveel van de bezochte zorgaanbieders </w:t>
      </w:r>
      <w:r w:rsidR="00935EA7">
        <w:rPr>
          <w:szCs w:val="18"/>
        </w:rPr>
        <w:t>pgb-</w:t>
      </w:r>
      <w:r w:rsidRPr="00832C14">
        <w:rPr>
          <w:szCs w:val="18"/>
        </w:rPr>
        <w:t xml:space="preserve">gefinancierd zijn. In haar toezicht en de ingezette toetsingskaders maakt de inspectie evenwel geen onderscheid tussen </w:t>
      </w:r>
      <w:r w:rsidR="00935EA7">
        <w:rPr>
          <w:szCs w:val="18"/>
        </w:rPr>
        <w:t>pgb-</w:t>
      </w:r>
      <w:r w:rsidRPr="00832C14">
        <w:rPr>
          <w:szCs w:val="18"/>
        </w:rPr>
        <w:t xml:space="preserve"> zorg en zorg in natura. </w:t>
      </w:r>
    </w:p>
    <w:p w:rsidRPr="00832C14" w:rsidR="00304834" w:rsidP="00304834" w:rsidRDefault="00304834" w14:paraId="6CE7FC8F" w14:textId="77777777">
      <w:pPr>
        <w:rPr>
          <w:szCs w:val="18"/>
        </w:rPr>
      </w:pPr>
    </w:p>
    <w:p w:rsidR="00304834" w:rsidP="00304834" w:rsidRDefault="00000000" w14:paraId="1AD0E600" w14:textId="77777777">
      <w:pPr>
        <w:rPr>
          <w:szCs w:val="18"/>
        </w:rPr>
      </w:pPr>
      <w:r w:rsidRPr="00832C14">
        <w:rPr>
          <w:szCs w:val="18"/>
        </w:rPr>
        <w:lastRenderedPageBreak/>
        <w:t xml:space="preserve">Verder ziet de IGJ veel mengvormen: aanbieders die zowel </w:t>
      </w:r>
      <w:r w:rsidR="00935EA7">
        <w:rPr>
          <w:szCs w:val="18"/>
        </w:rPr>
        <w:t>pgb-</w:t>
      </w:r>
      <w:r w:rsidRPr="00832C14">
        <w:rPr>
          <w:szCs w:val="18"/>
        </w:rPr>
        <w:t>gefinancierd zijn, als zorg in natura leveren en ook door de Wmo gefinancierd zijn. Deze aanbieders bieden vaak zorg aan cliënten met uiteenlopende zorgvragen (</w:t>
      </w:r>
      <w:r w:rsidR="00935EA7">
        <w:rPr>
          <w:szCs w:val="18"/>
        </w:rPr>
        <w:t>gehandicaptenzorg</w:t>
      </w:r>
      <w:r w:rsidRPr="00832C14">
        <w:rPr>
          <w:szCs w:val="18"/>
        </w:rPr>
        <w:t xml:space="preserve">, </w:t>
      </w:r>
      <w:r w:rsidR="00935EA7">
        <w:rPr>
          <w:szCs w:val="18"/>
        </w:rPr>
        <w:t>ggz</w:t>
      </w:r>
      <w:r w:rsidRPr="00832C14">
        <w:rPr>
          <w:szCs w:val="18"/>
        </w:rPr>
        <w:t>, jeugd, ouderenzorg).</w:t>
      </w:r>
    </w:p>
    <w:p w:rsidR="00304834" w:rsidP="00304834" w:rsidRDefault="00304834" w14:paraId="5B143EC7" w14:textId="77777777">
      <w:pPr>
        <w:rPr>
          <w:szCs w:val="18"/>
        </w:rPr>
      </w:pPr>
    </w:p>
    <w:p w:rsidRPr="00832C14" w:rsidR="00304834" w:rsidP="00304834" w:rsidRDefault="00304834" w14:paraId="32B93BA6" w14:textId="77777777">
      <w:pPr>
        <w:rPr>
          <w:szCs w:val="18"/>
        </w:rPr>
      </w:pPr>
    </w:p>
    <w:p w:rsidR="00304834" w:rsidP="00304834" w:rsidRDefault="00000000" w14:paraId="0732239A" w14:textId="77777777">
      <w:pPr>
        <w:rPr>
          <w:szCs w:val="18"/>
        </w:rPr>
      </w:pPr>
      <w:r w:rsidRPr="00EC24F2">
        <w:rPr>
          <w:szCs w:val="18"/>
        </w:rPr>
        <w:t xml:space="preserve">Vraag 11 </w:t>
      </w:r>
      <w:r w:rsidRPr="00EC24F2">
        <w:rPr>
          <w:szCs w:val="18"/>
        </w:rPr>
        <w:br/>
        <w:t>Beschikt de IGJ inmiddels over gespecialiseerde inspecteurs voor intramurale gehandicaptenzorg en pgb-wooninitiatieven, zoals verzocht in de motie-Westerveld? Zo ja, hoeveel inspecteurs zijn er inmiddels? Zo nee, waarom niet? 3)</w:t>
      </w:r>
    </w:p>
    <w:p w:rsidR="00304834" w:rsidP="00304834" w:rsidRDefault="00304834" w14:paraId="298C8BAF" w14:textId="77777777">
      <w:pPr>
        <w:rPr>
          <w:szCs w:val="18"/>
        </w:rPr>
      </w:pPr>
    </w:p>
    <w:p w:rsidRPr="00EC24F2" w:rsidR="00304834" w:rsidP="00304834" w:rsidRDefault="00000000" w14:paraId="0FD79005" w14:textId="77777777">
      <w:pPr>
        <w:rPr>
          <w:szCs w:val="18"/>
        </w:rPr>
      </w:pPr>
      <w:r>
        <w:rPr>
          <w:szCs w:val="18"/>
        </w:rPr>
        <w:t>Antwoord 11</w:t>
      </w:r>
    </w:p>
    <w:p w:rsidR="00304834" w:rsidP="00304834" w:rsidRDefault="00000000" w14:paraId="5BBCC251" w14:textId="77777777">
      <w:pPr>
        <w:rPr>
          <w:szCs w:val="18"/>
        </w:rPr>
      </w:pPr>
      <w:r w:rsidRPr="00832C14">
        <w:rPr>
          <w:szCs w:val="18"/>
        </w:rPr>
        <w:t xml:space="preserve">Ja, de inspectie beschikt over inspecteurs die toezichthouden op aanbieders voor intramurale gehandicaptenzorg, waaronder pgb-wooninitiatieven. Binnen de afdeling Gehandicaptenzorg (GHZ) werken momenteel 28 inspecteurs. </w:t>
      </w:r>
    </w:p>
    <w:p w:rsidRPr="00832C14" w:rsidR="00304834" w:rsidP="00304834" w:rsidRDefault="00304834" w14:paraId="73778799" w14:textId="77777777">
      <w:pPr>
        <w:rPr>
          <w:szCs w:val="18"/>
        </w:rPr>
      </w:pPr>
    </w:p>
    <w:p w:rsidR="00304834" w:rsidP="00304834" w:rsidRDefault="00000000" w14:paraId="4B99E12E" w14:textId="77777777">
      <w:pPr>
        <w:rPr>
          <w:szCs w:val="18"/>
        </w:rPr>
      </w:pPr>
      <w:r w:rsidRPr="00832C14">
        <w:rPr>
          <w:szCs w:val="18"/>
        </w:rPr>
        <w:t xml:space="preserve">Naar aanleiding van de bovengenoemde motie-Westerveld en de Toekomstagenda </w:t>
      </w:r>
      <w:r w:rsidR="00935EA7">
        <w:rPr>
          <w:szCs w:val="18"/>
        </w:rPr>
        <w:t xml:space="preserve">‘zorg en ondersteuning voor mensen met een beperking’ (Toekomstagenda) </w:t>
      </w:r>
      <w:r w:rsidRPr="00832C14">
        <w:rPr>
          <w:szCs w:val="18"/>
        </w:rPr>
        <w:t xml:space="preserve">is de capaciteit van de afdeling GHZ tijdelijk uitgebreid met 8 fte waarvan 6 inspecteurs. De huidige bezetting van 28 fte is inclusief die 6 inspecteurs. </w:t>
      </w:r>
    </w:p>
    <w:p w:rsidRPr="00832C14" w:rsidR="00304834" w:rsidP="00304834" w:rsidRDefault="00304834" w14:paraId="6960916D" w14:textId="77777777">
      <w:pPr>
        <w:rPr>
          <w:szCs w:val="18"/>
        </w:rPr>
      </w:pPr>
    </w:p>
    <w:p w:rsidR="00304834" w:rsidP="00304834" w:rsidRDefault="00304834" w14:paraId="38B7FC22" w14:textId="77777777">
      <w:pPr>
        <w:rPr>
          <w:szCs w:val="18"/>
        </w:rPr>
      </w:pPr>
      <w:bookmarkStart w:name="_Hlk224204405" w:id="10"/>
    </w:p>
    <w:p w:rsidR="00304834" w:rsidP="00304834" w:rsidRDefault="00000000" w14:paraId="05506FA9" w14:textId="77777777">
      <w:pPr>
        <w:rPr>
          <w:szCs w:val="18"/>
        </w:rPr>
      </w:pPr>
      <w:r w:rsidRPr="00EC24F2">
        <w:rPr>
          <w:szCs w:val="18"/>
        </w:rPr>
        <w:t xml:space="preserve">Vraag 12 </w:t>
      </w:r>
      <w:r w:rsidRPr="00EC24F2">
        <w:rPr>
          <w:szCs w:val="18"/>
        </w:rPr>
        <w:br/>
        <w:t>Zijn er inmiddels gespecialiseerde vertrouwenspersonen voor de intramurale gehandicaptenzorg en pgb-wooninitiatieven, zoals verzocht in de motie-Westerveld? Zo ja, hoeveel vertrouwenspersonen zijn er? Zo nee, waarom niet? </w:t>
      </w:r>
    </w:p>
    <w:p w:rsidR="00304834" w:rsidP="00304834" w:rsidRDefault="00304834" w14:paraId="79D8488F" w14:textId="77777777">
      <w:pPr>
        <w:rPr>
          <w:szCs w:val="18"/>
        </w:rPr>
      </w:pPr>
    </w:p>
    <w:p w:rsidRPr="00EC24F2" w:rsidR="00304834" w:rsidP="00304834" w:rsidRDefault="00000000" w14:paraId="79648F8E" w14:textId="77777777">
      <w:pPr>
        <w:rPr>
          <w:szCs w:val="18"/>
        </w:rPr>
      </w:pPr>
      <w:r>
        <w:rPr>
          <w:szCs w:val="18"/>
        </w:rPr>
        <w:t>Antwoord 12</w:t>
      </w:r>
    </w:p>
    <w:bookmarkEnd w:id="10"/>
    <w:p w:rsidRPr="00832C14" w:rsidR="00304834" w:rsidP="00304834" w:rsidRDefault="00000000" w14:paraId="21E4334C" w14:textId="77777777">
      <w:pPr>
        <w:rPr>
          <w:szCs w:val="18"/>
        </w:rPr>
      </w:pPr>
      <w:r w:rsidRPr="00832C14">
        <w:rPr>
          <w:szCs w:val="18"/>
        </w:rPr>
        <w:t xml:space="preserve">Ik heb geen zicht op het type vertrouwenspersonen werkzaam in de intramurale gehandicaptenzorg en pgb-wooninitiatieven, noch heb ik zicht op het aantal vertrouwenspersonen werkzaam in de sector. </w:t>
      </w:r>
    </w:p>
    <w:p w:rsidRPr="00832C14" w:rsidR="00304834" w:rsidP="00304834" w:rsidRDefault="00304834" w14:paraId="4A90B610" w14:textId="77777777">
      <w:pPr>
        <w:rPr>
          <w:szCs w:val="18"/>
        </w:rPr>
      </w:pPr>
    </w:p>
    <w:p w:rsidR="00304834" w:rsidP="00304834" w:rsidRDefault="00000000" w14:paraId="2CA55A48" w14:textId="77777777">
      <w:pPr>
        <w:rPr>
          <w:szCs w:val="18"/>
        </w:rPr>
      </w:pPr>
      <w:r w:rsidRPr="00832C14">
        <w:rPr>
          <w:szCs w:val="18"/>
        </w:rPr>
        <w:t>Mijn ambtsvoorganger is in 2024 in gesprek gegaan met de sector over cliënt</w:t>
      </w:r>
      <w:r>
        <w:rPr>
          <w:szCs w:val="18"/>
        </w:rPr>
        <w:t>-</w:t>
      </w:r>
      <w:r w:rsidRPr="00832C14">
        <w:rPr>
          <w:szCs w:val="18"/>
        </w:rPr>
        <w:t>vertrouwenspersonen Wet zorg en dwang (Wzd). Hierover is aan uw kamer gerapporteerd in de voortgangsrapportage van de Toekomstagenda in 2024</w:t>
      </w:r>
      <w:r>
        <w:rPr>
          <w:rStyle w:val="Voetnootmarkering"/>
          <w:szCs w:val="18"/>
        </w:rPr>
        <w:footnoteReference w:id="4"/>
      </w:r>
      <w:r w:rsidRPr="00832C14">
        <w:rPr>
          <w:szCs w:val="18"/>
        </w:rPr>
        <w:t xml:space="preserve">. </w:t>
      </w:r>
    </w:p>
    <w:p w:rsidRPr="00832C14" w:rsidR="00304834" w:rsidP="00304834" w:rsidRDefault="00304834" w14:paraId="5E854728" w14:textId="77777777">
      <w:pPr>
        <w:rPr>
          <w:szCs w:val="18"/>
        </w:rPr>
      </w:pPr>
    </w:p>
    <w:p w:rsidR="00304834" w:rsidP="00304834" w:rsidRDefault="00304834" w14:paraId="3A07C2EA" w14:textId="77777777">
      <w:pPr>
        <w:rPr>
          <w:szCs w:val="18"/>
        </w:rPr>
      </w:pPr>
    </w:p>
    <w:p w:rsidR="00304834" w:rsidP="00304834" w:rsidRDefault="00000000" w14:paraId="56CD6EBC" w14:textId="77777777">
      <w:pPr>
        <w:rPr>
          <w:szCs w:val="18"/>
        </w:rPr>
      </w:pPr>
      <w:r w:rsidRPr="00EC24F2">
        <w:rPr>
          <w:szCs w:val="18"/>
        </w:rPr>
        <w:t xml:space="preserve">Vraag 13 </w:t>
      </w:r>
    </w:p>
    <w:p w:rsidR="00304834" w:rsidP="00304834" w:rsidRDefault="00000000" w14:paraId="221E196F" w14:textId="77777777">
      <w:pPr>
        <w:rPr>
          <w:szCs w:val="18"/>
        </w:rPr>
      </w:pPr>
      <w:r w:rsidRPr="00EC24F2">
        <w:rPr>
          <w:szCs w:val="18"/>
        </w:rPr>
        <w:t>Welke concrete stappen zijn er sinds de antwoorden van uw ambtsvoorganger uit 2024 gezet om zicht te krijgen op de omvang van (seksueel) grensoverschrijdend gedrag in de gehandicaptenzorg en om een gerichte aanpak in te zetten?</w:t>
      </w:r>
    </w:p>
    <w:p w:rsidR="00304834" w:rsidP="00304834" w:rsidRDefault="00304834" w14:paraId="77C289D1" w14:textId="77777777">
      <w:pPr>
        <w:rPr>
          <w:szCs w:val="18"/>
        </w:rPr>
      </w:pPr>
    </w:p>
    <w:p w:rsidR="00304834" w:rsidP="00304834" w:rsidRDefault="00000000" w14:paraId="7D2E169A" w14:textId="77777777">
      <w:pPr>
        <w:rPr>
          <w:szCs w:val="18"/>
        </w:rPr>
      </w:pPr>
      <w:r>
        <w:rPr>
          <w:szCs w:val="18"/>
        </w:rPr>
        <w:t>Antwoord 13</w:t>
      </w:r>
    </w:p>
    <w:p w:rsidRPr="00471A6B" w:rsidR="00304834" w:rsidP="00304834" w:rsidRDefault="00000000" w14:paraId="6C25FF90" w14:textId="77777777">
      <w:pPr>
        <w:rPr>
          <w:szCs w:val="18"/>
        </w:rPr>
      </w:pPr>
      <w:r w:rsidRPr="00471A6B">
        <w:rPr>
          <w:szCs w:val="18"/>
        </w:rPr>
        <w:t>Met middelen uit de Toekomstagenda</w:t>
      </w:r>
      <w:r w:rsidR="00935EA7">
        <w:rPr>
          <w:szCs w:val="18"/>
        </w:rPr>
        <w:t xml:space="preserve"> </w:t>
      </w:r>
      <w:r w:rsidRPr="00471A6B">
        <w:rPr>
          <w:szCs w:val="18"/>
        </w:rPr>
        <w:t xml:space="preserve">is de capaciteit van de IGJ fors uitgebreid (26%) met zes extra inspecteurs specifiek voor de gehandicaptenzorg. </w:t>
      </w:r>
    </w:p>
    <w:p w:rsidR="00304834" w:rsidP="00304834" w:rsidRDefault="00000000" w14:paraId="08CA2DA1" w14:textId="77777777">
      <w:pPr>
        <w:spacing w:line="259" w:lineRule="auto"/>
        <w:rPr>
          <w:szCs w:val="18"/>
        </w:rPr>
      </w:pPr>
      <w:r w:rsidRPr="00471A6B">
        <w:rPr>
          <w:szCs w:val="18"/>
        </w:rPr>
        <w:t xml:space="preserve">Voor de inspectie heeft het voorkomen van seksueel grensoverschrijdend gedrag zowel in 2025 als 2026 in de gehandicaptenzorg aandacht in het toezicht. De inspectie beoordeelt of zorgaanbieders voldoende doen om (toekomstige) cliënten te beschermen tegen (seksueel) grensoverschrijdend gedrag. Dit doet zij in zowel het </w:t>
      </w:r>
      <w:r w:rsidRPr="00471A6B" w:rsidR="00935EA7">
        <w:rPr>
          <w:szCs w:val="18"/>
        </w:rPr>
        <w:t>risico</w:t>
      </w:r>
      <w:r w:rsidR="00935EA7">
        <w:rPr>
          <w:szCs w:val="18"/>
        </w:rPr>
        <w:t>-</w:t>
      </w:r>
      <w:r w:rsidRPr="00471A6B" w:rsidR="00935EA7">
        <w:rPr>
          <w:szCs w:val="18"/>
        </w:rPr>
        <w:t>gestuurde</w:t>
      </w:r>
      <w:r w:rsidRPr="00471A6B">
        <w:rPr>
          <w:szCs w:val="18"/>
        </w:rPr>
        <w:t xml:space="preserve"> toezicht als in het incidententoezicht. Zorgaanbieders worden </w:t>
      </w:r>
      <w:r w:rsidRPr="00471A6B">
        <w:rPr>
          <w:szCs w:val="18"/>
        </w:rPr>
        <w:lastRenderedPageBreak/>
        <w:t>daarnaast gestimuleerd om zelf hun beleid te beoordelen. De inspectie beoogt hiermee het bewustzijn binnen de sector te vergroten</w:t>
      </w:r>
      <w:r>
        <w:rPr>
          <w:rStyle w:val="Voetnootmarkering"/>
          <w:szCs w:val="18"/>
        </w:rPr>
        <w:footnoteReference w:id="5"/>
      </w:r>
      <w:r w:rsidRPr="00471A6B">
        <w:rPr>
          <w:szCs w:val="18"/>
        </w:rPr>
        <w:t xml:space="preserve">. </w:t>
      </w:r>
    </w:p>
    <w:p w:rsidRPr="00471A6B" w:rsidR="00304834" w:rsidP="00304834" w:rsidRDefault="00304834" w14:paraId="4F4525C5" w14:textId="77777777">
      <w:pPr>
        <w:spacing w:line="259" w:lineRule="auto"/>
        <w:rPr>
          <w:szCs w:val="18"/>
        </w:rPr>
      </w:pPr>
    </w:p>
    <w:p w:rsidRPr="00471A6B" w:rsidR="00304834" w:rsidP="00304834" w:rsidRDefault="00000000" w14:paraId="2AC6DDD2" w14:textId="77777777">
      <w:pPr>
        <w:rPr>
          <w:szCs w:val="18"/>
        </w:rPr>
      </w:pPr>
      <w:r w:rsidRPr="00471A6B">
        <w:rPr>
          <w:szCs w:val="18"/>
        </w:rPr>
        <w:t xml:space="preserve">Om beter zicht te krijgen op </w:t>
      </w:r>
      <w:r w:rsidRPr="00F5449A">
        <w:rPr>
          <w:szCs w:val="18"/>
        </w:rPr>
        <w:t>pgb-gefinancierde wooninitiatieven</w:t>
      </w:r>
      <w:r w:rsidRPr="00471A6B">
        <w:rPr>
          <w:szCs w:val="18"/>
        </w:rPr>
        <w:t xml:space="preserve"> is er een transparantieregister in ontwikkeling. Ten slotte rapporteer ik hierover in de voortgangsrapportage van de Toekomstagenda die uw Kamer op korte termijn ontvangt. </w:t>
      </w:r>
    </w:p>
    <w:p w:rsidRPr="00EC24F2" w:rsidR="00304834" w:rsidP="00304834" w:rsidRDefault="00304834" w14:paraId="2A38804E" w14:textId="77777777">
      <w:pPr>
        <w:rPr>
          <w:szCs w:val="18"/>
        </w:rPr>
      </w:pPr>
    </w:p>
    <w:p w:rsidRPr="00EC24F2" w:rsidR="00304834" w:rsidP="00304834" w:rsidRDefault="00000000" w14:paraId="549F00F5" w14:textId="77777777">
      <w:pPr>
        <w:rPr>
          <w:szCs w:val="18"/>
        </w:rPr>
      </w:pPr>
      <w:r w:rsidRPr="00EC24F2">
        <w:rPr>
          <w:szCs w:val="18"/>
        </w:rPr>
        <w:t> </w:t>
      </w:r>
    </w:p>
    <w:sectPr w:rsidRPr="00EC24F2" w:rsidR="00304834" w:rsidSect="00D11661">
      <w:footerReference w:type="default" r:id="rId12"/>
      <w:headerReference w:type="first" r:id="rId13"/>
      <w:footerReference w:type="first" r:id="rId14"/>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E0D1E" w14:textId="77777777" w:rsidR="00F848E1" w:rsidRDefault="00F848E1">
      <w:pPr>
        <w:spacing w:line="240" w:lineRule="auto"/>
      </w:pPr>
      <w:r>
        <w:separator/>
      </w:r>
    </w:p>
  </w:endnote>
  <w:endnote w:type="continuationSeparator" w:id="0">
    <w:p w14:paraId="5F7AA955" w14:textId="77777777" w:rsidR="00F848E1" w:rsidRDefault="00F848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Gadugi"/>
    <w:charset w:val="00"/>
    <w:family w:val="swiss"/>
    <w:pitch w:val="variable"/>
    <w:sig w:usb0="00000000" w:usb1="5200FDFF" w:usb2="0A042021" w:usb3="00000000" w:csb0="000001B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00F4"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168F8ECA" wp14:editId="1C65A3EA">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C99614"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68F8ECA"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37C99614"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6BA15"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024E1B42" wp14:editId="09785EE3">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FF9BA8"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24E1B42"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51FF9BA8"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44804"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69DCEEE0" wp14:editId="5BC4F1FD">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32CFF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9DCEEE0"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5A32CFF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0B228" w14:textId="77777777" w:rsidR="00F848E1" w:rsidRDefault="00F848E1">
      <w:pPr>
        <w:spacing w:line="240" w:lineRule="auto"/>
      </w:pPr>
      <w:r>
        <w:separator/>
      </w:r>
    </w:p>
  </w:footnote>
  <w:footnote w:type="continuationSeparator" w:id="0">
    <w:p w14:paraId="3FC726E8" w14:textId="77777777" w:rsidR="00F848E1" w:rsidRDefault="00F848E1">
      <w:pPr>
        <w:spacing w:line="240" w:lineRule="auto"/>
      </w:pPr>
      <w:r>
        <w:continuationSeparator/>
      </w:r>
    </w:p>
  </w:footnote>
  <w:footnote w:id="1">
    <w:p w14:paraId="2D8453AC" w14:textId="77777777" w:rsidR="00677BEE" w:rsidRPr="00E7455B" w:rsidRDefault="00000000">
      <w:pPr>
        <w:pStyle w:val="Voetnoottekst"/>
        <w:rPr>
          <w:sz w:val="16"/>
          <w:szCs w:val="16"/>
        </w:rPr>
      </w:pPr>
      <w:r w:rsidRPr="00E7455B">
        <w:rPr>
          <w:rStyle w:val="Voetnootmarkering"/>
          <w:sz w:val="16"/>
          <w:szCs w:val="16"/>
        </w:rPr>
        <w:footnoteRef/>
      </w:r>
      <w:r w:rsidRPr="00E7455B">
        <w:rPr>
          <w:sz w:val="16"/>
          <w:szCs w:val="16"/>
        </w:rPr>
        <w:t xml:space="preserve"> https://www.gld.nl/nieuws/8436888/meerdere-aangiftes-van-seksueel-wangedrag-op-zorgboerderij</w:t>
      </w:r>
    </w:p>
  </w:footnote>
  <w:footnote w:id="2">
    <w:p w14:paraId="488AC261" w14:textId="77777777" w:rsidR="00304834" w:rsidRPr="00783E93" w:rsidRDefault="00000000" w:rsidP="00304834">
      <w:pPr>
        <w:pStyle w:val="Voetnoottekst"/>
        <w:rPr>
          <w:sz w:val="16"/>
          <w:szCs w:val="16"/>
        </w:rPr>
      </w:pPr>
      <w:r w:rsidRPr="00783E93">
        <w:rPr>
          <w:rStyle w:val="Voetnootmarkering"/>
          <w:sz w:val="16"/>
          <w:szCs w:val="16"/>
        </w:rPr>
        <w:footnoteRef/>
      </w:r>
      <w:r w:rsidRPr="00783E93">
        <w:rPr>
          <w:sz w:val="16"/>
          <w:szCs w:val="16"/>
        </w:rPr>
        <w:t>https://mlzopendata.cbs.nl/#/MLZ/nl/dataset/40065NED/table?ts=1773138545276</w:t>
      </w:r>
    </w:p>
  </w:footnote>
  <w:footnote w:id="3">
    <w:p w14:paraId="0E4FD55D" w14:textId="77777777" w:rsidR="00304834" w:rsidRDefault="00000000" w:rsidP="00304834">
      <w:pPr>
        <w:pStyle w:val="Voetnoottekst"/>
      </w:pPr>
      <w:r w:rsidRPr="00783E93">
        <w:rPr>
          <w:rStyle w:val="Voetnootmarkering"/>
          <w:sz w:val="16"/>
          <w:szCs w:val="16"/>
        </w:rPr>
        <w:footnoteRef/>
      </w:r>
      <w:r w:rsidRPr="00783E93">
        <w:rPr>
          <w:sz w:val="16"/>
          <w:szCs w:val="16"/>
        </w:rPr>
        <w:t>https://mlzopendata.cbs.nl/#/MLZ/nl/dataset/40101NED/table?ts=1773744571781</w:t>
      </w:r>
    </w:p>
  </w:footnote>
  <w:footnote w:id="4">
    <w:p w14:paraId="27B90743" w14:textId="77777777" w:rsidR="00304834" w:rsidRPr="00D3724D" w:rsidRDefault="00000000" w:rsidP="00304834">
      <w:pPr>
        <w:pStyle w:val="Voetnoottekst"/>
      </w:pPr>
      <w:r w:rsidRPr="00875513">
        <w:rPr>
          <w:rStyle w:val="Voetnootmarkering"/>
          <w:sz w:val="16"/>
          <w:szCs w:val="18"/>
        </w:rPr>
        <w:footnoteRef/>
      </w:r>
      <w:r w:rsidRPr="00875513">
        <w:rPr>
          <w:sz w:val="16"/>
          <w:szCs w:val="18"/>
        </w:rPr>
        <w:t xml:space="preserve"> Kamerstukken II 2023/24, 24170, nr. 310</w:t>
      </w:r>
    </w:p>
  </w:footnote>
  <w:footnote w:id="5">
    <w:p w14:paraId="00584AD8" w14:textId="77777777" w:rsidR="00304834" w:rsidRDefault="00000000" w:rsidP="00304834">
      <w:pPr>
        <w:pStyle w:val="Voetnoottekst"/>
      </w:pPr>
      <w:r w:rsidRPr="00875513">
        <w:rPr>
          <w:rStyle w:val="Voetnootmarkering"/>
          <w:sz w:val="16"/>
          <w:szCs w:val="18"/>
        </w:rPr>
        <w:footnoteRef/>
      </w:r>
      <w:r w:rsidRPr="00875513">
        <w:rPr>
          <w:sz w:val="16"/>
          <w:szCs w:val="18"/>
        </w:rPr>
        <w:t xml:space="preserve"> https://www.igj.nl/actueel/nieuws/2025/10/21/kleine-zorgaanbieders-gehandicaptenzorg-hebben-vogs-van-medewerkers-niet-goed-op-orde-geen-onwil-wel-onkunde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2C461"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1F422477" wp14:editId="477D9BBB">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443105"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F422477"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53443105"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34FEF" w14:textId="77777777" w:rsidR="00F860AE" w:rsidRDefault="00000000">
    <w:pPr>
      <w:pStyle w:val="Koptekst"/>
    </w:pPr>
    <w:r>
      <w:rPr>
        <w:noProof/>
      </w:rPr>
      <w:drawing>
        <wp:anchor distT="0" distB="0" distL="114300" distR="114300" simplePos="0" relativeHeight="251657216" behindDoc="0" locked="0" layoutInCell="1" allowOverlap="1" wp14:anchorId="38CC3F1C" wp14:editId="0E9DD769">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DE519A"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585DA080" wp14:editId="1AE321AC">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27676" w14:textId="77777777" w:rsidR="00F860AE" w:rsidRDefault="00000000" w:rsidP="00A97BB8">
                          <w:pPr>
                            <w:pStyle w:val="Afzendgegevens"/>
                          </w:pPr>
                          <w:r>
                            <w:t>Bezoekadres:</w:t>
                          </w:r>
                        </w:p>
                        <w:p w14:paraId="6B37541F" w14:textId="77777777" w:rsidR="00F860AE" w:rsidRDefault="00000000" w:rsidP="00A97BB8">
                          <w:pPr>
                            <w:pStyle w:val="Afzendgegevens"/>
                          </w:pPr>
                          <w:r>
                            <w:t>Parnassusplein 5</w:t>
                          </w:r>
                        </w:p>
                        <w:p w14:paraId="44A31F80"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40FC3D41" w14:textId="77777777" w:rsidR="00F860AE" w:rsidRDefault="00000000" w:rsidP="00A97BB8">
                          <w:pPr>
                            <w:pStyle w:val="Afzendgegevens"/>
                            <w:tabs>
                              <w:tab w:val="left" w:pos="170"/>
                            </w:tabs>
                          </w:pPr>
                          <w:r>
                            <w:t>T</w:t>
                          </w:r>
                          <w:r>
                            <w:tab/>
                            <w:t>070 340 79 11</w:t>
                          </w:r>
                        </w:p>
                        <w:p w14:paraId="27C6B298" w14:textId="77777777" w:rsidR="00F860AE" w:rsidRDefault="00000000" w:rsidP="00A97BB8">
                          <w:pPr>
                            <w:pStyle w:val="Afzendgegevens"/>
                            <w:tabs>
                              <w:tab w:val="left" w:pos="170"/>
                            </w:tabs>
                          </w:pPr>
                          <w:r>
                            <w:t>F</w:t>
                          </w:r>
                          <w:r>
                            <w:tab/>
                            <w:t>070 340 78 34</w:t>
                          </w:r>
                        </w:p>
                        <w:p w14:paraId="0CBE2BBE" w14:textId="77777777" w:rsidR="00F860AE" w:rsidRDefault="00000000" w:rsidP="00A97BB8">
                          <w:pPr>
                            <w:pStyle w:val="Afzendgegevens"/>
                          </w:pPr>
                          <w:r>
                            <w:t>www.</w:t>
                          </w:r>
                          <w:r w:rsidR="00C2746E">
                            <w:t>rijksoverheid</w:t>
                          </w:r>
                          <w:r>
                            <w:t>.nl</w:t>
                          </w:r>
                        </w:p>
                        <w:p w14:paraId="76A0C62D" w14:textId="77777777" w:rsidR="00F860AE" w:rsidRDefault="00F860AE" w:rsidP="00A97BB8">
                          <w:pPr>
                            <w:pStyle w:val="Afzendgegevenswitregel2"/>
                          </w:pPr>
                        </w:p>
                        <w:p w14:paraId="10DFA85B" w14:textId="77777777" w:rsidR="00F860AE" w:rsidRDefault="00000000" w:rsidP="00A97BB8">
                          <w:pPr>
                            <w:pStyle w:val="Afzendgegevenskopjes"/>
                          </w:pPr>
                          <w:r>
                            <w:t>Ons kenmerk</w:t>
                          </w:r>
                        </w:p>
                        <w:p w14:paraId="6F4A7636" w14:textId="77777777" w:rsidR="00D74EDF" w:rsidRPr="00420166" w:rsidRDefault="00000000" w:rsidP="00D74EDF">
                          <w:pPr>
                            <w:pStyle w:val="Huisstijl-Referentiegegevens"/>
                          </w:pPr>
                          <w:r>
                            <w:t>4361913-1095322-LZ</w:t>
                          </w:r>
                        </w:p>
                        <w:p w14:paraId="16A5D694" w14:textId="77777777" w:rsidR="00F860AE" w:rsidRDefault="00F860AE" w:rsidP="00A97BB8">
                          <w:pPr>
                            <w:pStyle w:val="Afzendgegevenswitregel1"/>
                          </w:pPr>
                        </w:p>
                        <w:p w14:paraId="7325A109" w14:textId="77777777" w:rsidR="00F860AE" w:rsidRDefault="00000000" w:rsidP="00A97BB8">
                          <w:pPr>
                            <w:pStyle w:val="Afzendgegevenskopjes"/>
                          </w:pPr>
                          <w:r>
                            <w:t>Bijlagen</w:t>
                          </w:r>
                        </w:p>
                        <w:p w14:paraId="059FDC18" w14:textId="77777777" w:rsidR="00F860AE" w:rsidRDefault="00000000" w:rsidP="00A97BB8">
                          <w:pPr>
                            <w:pStyle w:val="Afzendgegevens"/>
                          </w:pPr>
                          <w:bookmarkStart w:id="4" w:name="bmkBijlagen"/>
                          <w:bookmarkEnd w:id="4"/>
                          <w:r>
                            <w:t>1</w:t>
                          </w:r>
                        </w:p>
                        <w:p w14:paraId="60CB4814" w14:textId="77777777" w:rsidR="00F860AE" w:rsidRDefault="00F860AE" w:rsidP="00A97BB8">
                          <w:pPr>
                            <w:pStyle w:val="Afzendgegevenswitregel1"/>
                          </w:pPr>
                        </w:p>
                        <w:p w14:paraId="71990C6B" w14:textId="77777777" w:rsidR="00F860AE" w:rsidRDefault="00000000" w:rsidP="00A97BB8">
                          <w:pPr>
                            <w:pStyle w:val="Afzendgegevenskopjes"/>
                          </w:pPr>
                          <w:r>
                            <w:t>Datum document</w:t>
                          </w:r>
                        </w:p>
                        <w:p w14:paraId="177E46F4" w14:textId="77777777" w:rsidR="00D74EDF" w:rsidRPr="00D74EDF" w:rsidRDefault="00000000" w:rsidP="00D74EDF">
                          <w:pPr>
                            <w:spacing w:line="180" w:lineRule="atLeast"/>
                            <w:rPr>
                              <w:rFonts w:eastAsia="SimSun"/>
                              <w:sz w:val="13"/>
                            </w:rPr>
                          </w:pPr>
                          <w:bookmarkStart w:id="5" w:name="bmkUwBrief"/>
                          <w:bookmarkEnd w:id="5"/>
                          <w:r>
                            <w:rPr>
                              <w:rFonts w:eastAsia="SimSun"/>
                              <w:sz w:val="13"/>
                              <w:szCs w:val="13"/>
                            </w:rPr>
                            <w:t>06 maart 2026</w:t>
                          </w:r>
                        </w:p>
                        <w:p w14:paraId="6274CFA3" w14:textId="77777777" w:rsidR="00F860AE" w:rsidRDefault="00F860AE" w:rsidP="00A97BB8">
                          <w:pPr>
                            <w:pStyle w:val="Afzendgegevenswitregel1"/>
                          </w:pPr>
                        </w:p>
                        <w:p w14:paraId="364E879E"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585DA080"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3D727676" w14:textId="77777777" w:rsidR="00F860AE" w:rsidRDefault="00000000" w:rsidP="00A97BB8">
                    <w:pPr>
                      <w:pStyle w:val="Afzendgegevens"/>
                    </w:pPr>
                    <w:r>
                      <w:t>Bezoekadres:</w:t>
                    </w:r>
                  </w:p>
                  <w:p w14:paraId="6B37541F" w14:textId="77777777" w:rsidR="00F860AE" w:rsidRDefault="00000000" w:rsidP="00A97BB8">
                    <w:pPr>
                      <w:pStyle w:val="Afzendgegevens"/>
                    </w:pPr>
                    <w:r>
                      <w:t>Parnassusplein 5</w:t>
                    </w:r>
                  </w:p>
                  <w:p w14:paraId="44A31F80"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40FC3D41" w14:textId="77777777" w:rsidR="00F860AE" w:rsidRDefault="00000000" w:rsidP="00A97BB8">
                    <w:pPr>
                      <w:pStyle w:val="Afzendgegevens"/>
                      <w:tabs>
                        <w:tab w:val="left" w:pos="170"/>
                      </w:tabs>
                    </w:pPr>
                    <w:r>
                      <w:t>T</w:t>
                    </w:r>
                    <w:r>
                      <w:tab/>
                      <w:t>070 340 79 11</w:t>
                    </w:r>
                  </w:p>
                  <w:p w14:paraId="27C6B298" w14:textId="77777777" w:rsidR="00F860AE" w:rsidRDefault="00000000" w:rsidP="00A97BB8">
                    <w:pPr>
                      <w:pStyle w:val="Afzendgegevens"/>
                      <w:tabs>
                        <w:tab w:val="left" w:pos="170"/>
                      </w:tabs>
                    </w:pPr>
                    <w:r>
                      <w:t>F</w:t>
                    </w:r>
                    <w:r>
                      <w:tab/>
                      <w:t>070 340 78 34</w:t>
                    </w:r>
                  </w:p>
                  <w:p w14:paraId="0CBE2BBE" w14:textId="77777777" w:rsidR="00F860AE" w:rsidRDefault="00000000" w:rsidP="00A97BB8">
                    <w:pPr>
                      <w:pStyle w:val="Afzendgegevens"/>
                    </w:pPr>
                    <w:r>
                      <w:t>www.</w:t>
                    </w:r>
                    <w:r w:rsidR="00C2746E">
                      <w:t>rijksoverheid</w:t>
                    </w:r>
                    <w:r>
                      <w:t>.nl</w:t>
                    </w:r>
                  </w:p>
                  <w:p w14:paraId="76A0C62D" w14:textId="77777777" w:rsidR="00F860AE" w:rsidRDefault="00F860AE" w:rsidP="00A97BB8">
                    <w:pPr>
                      <w:pStyle w:val="Afzendgegevenswitregel2"/>
                    </w:pPr>
                  </w:p>
                  <w:p w14:paraId="10DFA85B" w14:textId="77777777" w:rsidR="00F860AE" w:rsidRDefault="00000000" w:rsidP="00A97BB8">
                    <w:pPr>
                      <w:pStyle w:val="Afzendgegevenskopjes"/>
                    </w:pPr>
                    <w:r>
                      <w:t>Ons kenmerk</w:t>
                    </w:r>
                  </w:p>
                  <w:p w14:paraId="6F4A7636" w14:textId="77777777" w:rsidR="00D74EDF" w:rsidRPr="00420166" w:rsidRDefault="00000000" w:rsidP="00D74EDF">
                    <w:pPr>
                      <w:pStyle w:val="Huisstijl-Referentiegegevens"/>
                    </w:pPr>
                    <w:r>
                      <w:t>4361913-1095322-LZ</w:t>
                    </w:r>
                  </w:p>
                  <w:p w14:paraId="16A5D694" w14:textId="77777777" w:rsidR="00F860AE" w:rsidRDefault="00F860AE" w:rsidP="00A97BB8">
                    <w:pPr>
                      <w:pStyle w:val="Afzendgegevenswitregel1"/>
                    </w:pPr>
                  </w:p>
                  <w:p w14:paraId="7325A109" w14:textId="77777777" w:rsidR="00F860AE" w:rsidRDefault="00000000" w:rsidP="00A97BB8">
                    <w:pPr>
                      <w:pStyle w:val="Afzendgegevenskopjes"/>
                    </w:pPr>
                    <w:r>
                      <w:t>Bijlagen</w:t>
                    </w:r>
                  </w:p>
                  <w:p w14:paraId="059FDC18" w14:textId="77777777" w:rsidR="00F860AE" w:rsidRDefault="00000000" w:rsidP="00A97BB8">
                    <w:pPr>
                      <w:pStyle w:val="Afzendgegevens"/>
                    </w:pPr>
                    <w:bookmarkStart w:id="6" w:name="bmkBijlagen"/>
                    <w:bookmarkEnd w:id="6"/>
                    <w:r>
                      <w:t>1</w:t>
                    </w:r>
                  </w:p>
                  <w:p w14:paraId="60CB4814" w14:textId="77777777" w:rsidR="00F860AE" w:rsidRDefault="00F860AE" w:rsidP="00A97BB8">
                    <w:pPr>
                      <w:pStyle w:val="Afzendgegevenswitregel1"/>
                    </w:pPr>
                  </w:p>
                  <w:p w14:paraId="71990C6B" w14:textId="77777777" w:rsidR="00F860AE" w:rsidRDefault="00000000" w:rsidP="00A97BB8">
                    <w:pPr>
                      <w:pStyle w:val="Afzendgegevenskopjes"/>
                    </w:pPr>
                    <w:r>
                      <w:t>Datum document</w:t>
                    </w:r>
                  </w:p>
                  <w:p w14:paraId="177E46F4" w14:textId="77777777" w:rsidR="00D74EDF" w:rsidRPr="00D74EDF" w:rsidRDefault="00000000" w:rsidP="00D74EDF">
                    <w:pPr>
                      <w:spacing w:line="180" w:lineRule="atLeast"/>
                      <w:rPr>
                        <w:rFonts w:eastAsia="SimSun"/>
                        <w:sz w:val="13"/>
                      </w:rPr>
                    </w:pPr>
                    <w:bookmarkStart w:id="7" w:name="bmkUwBrief"/>
                    <w:bookmarkEnd w:id="7"/>
                    <w:r>
                      <w:rPr>
                        <w:rFonts w:eastAsia="SimSun"/>
                        <w:sz w:val="13"/>
                        <w:szCs w:val="13"/>
                      </w:rPr>
                      <w:t>06 maart 2026</w:t>
                    </w:r>
                  </w:p>
                  <w:p w14:paraId="6274CFA3" w14:textId="77777777" w:rsidR="00F860AE" w:rsidRDefault="00F860AE" w:rsidP="00A97BB8">
                    <w:pPr>
                      <w:pStyle w:val="Afzendgegevenswitregel1"/>
                    </w:pPr>
                  </w:p>
                  <w:p w14:paraId="364E879E"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974FA" w14:textId="77777777" w:rsidR="00F860AE" w:rsidRDefault="00F860AE">
    <w:pPr>
      <w:pStyle w:val="Koptekst"/>
    </w:pPr>
  </w:p>
  <w:p w14:paraId="0D3991BC"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E2766CA"/>
    <w:multiLevelType w:val="hybridMultilevel"/>
    <w:tmpl w:val="5F500060"/>
    <w:lvl w:ilvl="0" w:tplc="9CC495F6">
      <w:start w:val="1"/>
      <w:numFmt w:val="bullet"/>
      <w:lvlText w:val=""/>
      <w:lvlJc w:val="left"/>
      <w:pPr>
        <w:ind w:left="1120" w:hanging="360"/>
      </w:pPr>
      <w:rPr>
        <w:rFonts w:ascii="Symbol" w:hAnsi="Symbol"/>
      </w:rPr>
    </w:lvl>
    <w:lvl w:ilvl="1" w:tplc="86EEDB16">
      <w:start w:val="1"/>
      <w:numFmt w:val="bullet"/>
      <w:lvlText w:val=""/>
      <w:lvlJc w:val="left"/>
      <w:pPr>
        <w:ind w:left="1120" w:hanging="360"/>
      </w:pPr>
      <w:rPr>
        <w:rFonts w:ascii="Symbol" w:hAnsi="Symbol"/>
      </w:rPr>
    </w:lvl>
    <w:lvl w:ilvl="2" w:tplc="71D0C9CA">
      <w:start w:val="1"/>
      <w:numFmt w:val="bullet"/>
      <w:lvlText w:val=""/>
      <w:lvlJc w:val="left"/>
      <w:pPr>
        <w:ind w:left="1120" w:hanging="360"/>
      </w:pPr>
      <w:rPr>
        <w:rFonts w:ascii="Symbol" w:hAnsi="Symbol"/>
      </w:rPr>
    </w:lvl>
    <w:lvl w:ilvl="3" w:tplc="0610D178">
      <w:start w:val="1"/>
      <w:numFmt w:val="bullet"/>
      <w:lvlText w:val=""/>
      <w:lvlJc w:val="left"/>
      <w:pPr>
        <w:ind w:left="1120" w:hanging="360"/>
      </w:pPr>
      <w:rPr>
        <w:rFonts w:ascii="Symbol" w:hAnsi="Symbol"/>
      </w:rPr>
    </w:lvl>
    <w:lvl w:ilvl="4" w:tplc="91C25478">
      <w:start w:val="1"/>
      <w:numFmt w:val="bullet"/>
      <w:lvlText w:val=""/>
      <w:lvlJc w:val="left"/>
      <w:pPr>
        <w:ind w:left="1120" w:hanging="360"/>
      </w:pPr>
      <w:rPr>
        <w:rFonts w:ascii="Symbol" w:hAnsi="Symbol"/>
      </w:rPr>
    </w:lvl>
    <w:lvl w:ilvl="5" w:tplc="0130F29A">
      <w:start w:val="1"/>
      <w:numFmt w:val="bullet"/>
      <w:lvlText w:val=""/>
      <w:lvlJc w:val="left"/>
      <w:pPr>
        <w:ind w:left="1120" w:hanging="360"/>
      </w:pPr>
      <w:rPr>
        <w:rFonts w:ascii="Symbol" w:hAnsi="Symbol"/>
      </w:rPr>
    </w:lvl>
    <w:lvl w:ilvl="6" w:tplc="835CCEEC">
      <w:start w:val="1"/>
      <w:numFmt w:val="bullet"/>
      <w:lvlText w:val=""/>
      <w:lvlJc w:val="left"/>
      <w:pPr>
        <w:ind w:left="1120" w:hanging="360"/>
      </w:pPr>
      <w:rPr>
        <w:rFonts w:ascii="Symbol" w:hAnsi="Symbol"/>
      </w:rPr>
    </w:lvl>
    <w:lvl w:ilvl="7" w:tplc="E36C5C42">
      <w:start w:val="1"/>
      <w:numFmt w:val="bullet"/>
      <w:lvlText w:val=""/>
      <w:lvlJc w:val="left"/>
      <w:pPr>
        <w:ind w:left="1120" w:hanging="360"/>
      </w:pPr>
      <w:rPr>
        <w:rFonts w:ascii="Symbol" w:hAnsi="Symbol"/>
      </w:rPr>
    </w:lvl>
    <w:lvl w:ilvl="8" w:tplc="A838E750">
      <w:start w:val="1"/>
      <w:numFmt w:val="bullet"/>
      <w:lvlText w:val=""/>
      <w:lvlJc w:val="left"/>
      <w:pPr>
        <w:ind w:left="1120" w:hanging="360"/>
      </w:pPr>
      <w:rPr>
        <w:rFonts w:ascii="Symbol" w:hAnsi="Symbol"/>
      </w:r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15428648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4CD"/>
    <w:rsid w:val="00001D03"/>
    <w:rsid w:val="00003093"/>
    <w:rsid w:val="00024097"/>
    <w:rsid w:val="0003701D"/>
    <w:rsid w:val="0004156C"/>
    <w:rsid w:val="00044264"/>
    <w:rsid w:val="000443E7"/>
    <w:rsid w:val="00062968"/>
    <w:rsid w:val="00067C7F"/>
    <w:rsid w:val="000905C8"/>
    <w:rsid w:val="00091E11"/>
    <w:rsid w:val="000C3852"/>
    <w:rsid w:val="000C6771"/>
    <w:rsid w:val="000D3311"/>
    <w:rsid w:val="000E4C38"/>
    <w:rsid w:val="000F262C"/>
    <w:rsid w:val="000F2F05"/>
    <w:rsid w:val="000F3F37"/>
    <w:rsid w:val="00106D6E"/>
    <w:rsid w:val="00111ABC"/>
    <w:rsid w:val="00112CD5"/>
    <w:rsid w:val="00117AEC"/>
    <w:rsid w:val="00126768"/>
    <w:rsid w:val="00132B19"/>
    <w:rsid w:val="00132B58"/>
    <w:rsid w:val="0015027E"/>
    <w:rsid w:val="00166333"/>
    <w:rsid w:val="0017367B"/>
    <w:rsid w:val="00180FCE"/>
    <w:rsid w:val="0018245B"/>
    <w:rsid w:val="00191A6E"/>
    <w:rsid w:val="001C22D9"/>
    <w:rsid w:val="001E37CA"/>
    <w:rsid w:val="001E4AA7"/>
    <w:rsid w:val="00206CA2"/>
    <w:rsid w:val="00211BEE"/>
    <w:rsid w:val="00211CA7"/>
    <w:rsid w:val="00214C80"/>
    <w:rsid w:val="00261464"/>
    <w:rsid w:val="0026437C"/>
    <w:rsid w:val="002772AE"/>
    <w:rsid w:val="0027737A"/>
    <w:rsid w:val="00282965"/>
    <w:rsid w:val="00283FB4"/>
    <w:rsid w:val="002937FB"/>
    <w:rsid w:val="002A273F"/>
    <w:rsid w:val="002A4808"/>
    <w:rsid w:val="002A7945"/>
    <w:rsid w:val="002A7FF7"/>
    <w:rsid w:val="002C3245"/>
    <w:rsid w:val="002C728A"/>
    <w:rsid w:val="002E382F"/>
    <w:rsid w:val="00304834"/>
    <w:rsid w:val="00305A22"/>
    <w:rsid w:val="00312E83"/>
    <w:rsid w:val="00323A44"/>
    <w:rsid w:val="0032468A"/>
    <w:rsid w:val="00330C81"/>
    <w:rsid w:val="003408F7"/>
    <w:rsid w:val="00342416"/>
    <w:rsid w:val="003565EF"/>
    <w:rsid w:val="0036195D"/>
    <w:rsid w:val="003709E1"/>
    <w:rsid w:val="00375EAB"/>
    <w:rsid w:val="00384F37"/>
    <w:rsid w:val="00394BD1"/>
    <w:rsid w:val="003977E9"/>
    <w:rsid w:val="003A0FCD"/>
    <w:rsid w:val="003E3B26"/>
    <w:rsid w:val="003F281F"/>
    <w:rsid w:val="004179B4"/>
    <w:rsid w:val="00420166"/>
    <w:rsid w:val="00440752"/>
    <w:rsid w:val="00443B68"/>
    <w:rsid w:val="00471A6B"/>
    <w:rsid w:val="004868E0"/>
    <w:rsid w:val="00494227"/>
    <w:rsid w:val="004B5A41"/>
    <w:rsid w:val="004C28CC"/>
    <w:rsid w:val="004D3EE4"/>
    <w:rsid w:val="004F4498"/>
    <w:rsid w:val="004F7466"/>
    <w:rsid w:val="00506C21"/>
    <w:rsid w:val="00525092"/>
    <w:rsid w:val="00537EB3"/>
    <w:rsid w:val="00547739"/>
    <w:rsid w:val="00553742"/>
    <w:rsid w:val="005578F3"/>
    <w:rsid w:val="00586002"/>
    <w:rsid w:val="005A273B"/>
    <w:rsid w:val="005A668A"/>
    <w:rsid w:val="005B0698"/>
    <w:rsid w:val="005C4279"/>
    <w:rsid w:val="005C55B1"/>
    <w:rsid w:val="005D79E3"/>
    <w:rsid w:val="00605234"/>
    <w:rsid w:val="006339DB"/>
    <w:rsid w:val="00634D71"/>
    <w:rsid w:val="00635330"/>
    <w:rsid w:val="0065343A"/>
    <w:rsid w:val="00656DE0"/>
    <w:rsid w:val="00664686"/>
    <w:rsid w:val="00670F32"/>
    <w:rsid w:val="00670F96"/>
    <w:rsid w:val="00674CA6"/>
    <w:rsid w:val="00677BEE"/>
    <w:rsid w:val="00680FCF"/>
    <w:rsid w:val="006C0CC8"/>
    <w:rsid w:val="006D4913"/>
    <w:rsid w:val="006E07B5"/>
    <w:rsid w:val="00721401"/>
    <w:rsid w:val="007275B8"/>
    <w:rsid w:val="00727E4A"/>
    <w:rsid w:val="0075008E"/>
    <w:rsid w:val="007539FC"/>
    <w:rsid w:val="00754BBC"/>
    <w:rsid w:val="00756CC5"/>
    <w:rsid w:val="007605B0"/>
    <w:rsid w:val="00773942"/>
    <w:rsid w:val="00783E93"/>
    <w:rsid w:val="00794A93"/>
    <w:rsid w:val="007C0BC6"/>
    <w:rsid w:val="007D6882"/>
    <w:rsid w:val="007E13A5"/>
    <w:rsid w:val="007F5AEE"/>
    <w:rsid w:val="007F63F2"/>
    <w:rsid w:val="00803A9A"/>
    <w:rsid w:val="00803C7D"/>
    <w:rsid w:val="008232FE"/>
    <w:rsid w:val="0082399F"/>
    <w:rsid w:val="00832C14"/>
    <w:rsid w:val="00850932"/>
    <w:rsid w:val="008570F5"/>
    <w:rsid w:val="00861D19"/>
    <w:rsid w:val="00875513"/>
    <w:rsid w:val="00891202"/>
    <w:rsid w:val="00897378"/>
    <w:rsid w:val="00897ABA"/>
    <w:rsid w:val="008A42E7"/>
    <w:rsid w:val="008E5C66"/>
    <w:rsid w:val="008F5C23"/>
    <w:rsid w:val="009071A4"/>
    <w:rsid w:val="00907302"/>
    <w:rsid w:val="00907AC4"/>
    <w:rsid w:val="00935EA7"/>
    <w:rsid w:val="009368F6"/>
    <w:rsid w:val="0096086B"/>
    <w:rsid w:val="009608D3"/>
    <w:rsid w:val="009615EB"/>
    <w:rsid w:val="0096635E"/>
    <w:rsid w:val="0097481D"/>
    <w:rsid w:val="009945B3"/>
    <w:rsid w:val="009A0B66"/>
    <w:rsid w:val="009A3BCA"/>
    <w:rsid w:val="009B7B79"/>
    <w:rsid w:val="009C1DFC"/>
    <w:rsid w:val="009D1389"/>
    <w:rsid w:val="009D2B87"/>
    <w:rsid w:val="009D676D"/>
    <w:rsid w:val="009E49D6"/>
    <w:rsid w:val="00A00443"/>
    <w:rsid w:val="00A0347D"/>
    <w:rsid w:val="00A1272F"/>
    <w:rsid w:val="00A1671E"/>
    <w:rsid w:val="00A257D1"/>
    <w:rsid w:val="00A439C2"/>
    <w:rsid w:val="00A46115"/>
    <w:rsid w:val="00A75276"/>
    <w:rsid w:val="00A907B9"/>
    <w:rsid w:val="00A97BB8"/>
    <w:rsid w:val="00AB4A9A"/>
    <w:rsid w:val="00AB6116"/>
    <w:rsid w:val="00AC17D5"/>
    <w:rsid w:val="00AC2BFA"/>
    <w:rsid w:val="00AE5E7A"/>
    <w:rsid w:val="00B22FCB"/>
    <w:rsid w:val="00B25223"/>
    <w:rsid w:val="00B4064E"/>
    <w:rsid w:val="00B42A63"/>
    <w:rsid w:val="00B43456"/>
    <w:rsid w:val="00B452FA"/>
    <w:rsid w:val="00B54A56"/>
    <w:rsid w:val="00B55170"/>
    <w:rsid w:val="00B566C7"/>
    <w:rsid w:val="00B6471C"/>
    <w:rsid w:val="00B65DEA"/>
    <w:rsid w:val="00B83641"/>
    <w:rsid w:val="00B963F2"/>
    <w:rsid w:val="00BA19A7"/>
    <w:rsid w:val="00BC75A2"/>
    <w:rsid w:val="00BE11D3"/>
    <w:rsid w:val="00BE3ABA"/>
    <w:rsid w:val="00BF1E5F"/>
    <w:rsid w:val="00C2219A"/>
    <w:rsid w:val="00C2746E"/>
    <w:rsid w:val="00C45528"/>
    <w:rsid w:val="00C7284F"/>
    <w:rsid w:val="00C742D7"/>
    <w:rsid w:val="00C76AFD"/>
    <w:rsid w:val="00C9417E"/>
    <w:rsid w:val="00CA481F"/>
    <w:rsid w:val="00CB09AE"/>
    <w:rsid w:val="00CC2EDD"/>
    <w:rsid w:val="00CF2030"/>
    <w:rsid w:val="00CF750D"/>
    <w:rsid w:val="00D0069C"/>
    <w:rsid w:val="00D01419"/>
    <w:rsid w:val="00D1126F"/>
    <w:rsid w:val="00D11661"/>
    <w:rsid w:val="00D22737"/>
    <w:rsid w:val="00D324DD"/>
    <w:rsid w:val="00D3724D"/>
    <w:rsid w:val="00D66608"/>
    <w:rsid w:val="00D74041"/>
    <w:rsid w:val="00D74937"/>
    <w:rsid w:val="00D74EDF"/>
    <w:rsid w:val="00D81FF9"/>
    <w:rsid w:val="00D82490"/>
    <w:rsid w:val="00D87848"/>
    <w:rsid w:val="00D97A0B"/>
    <w:rsid w:val="00DC45B7"/>
    <w:rsid w:val="00DC5645"/>
    <w:rsid w:val="00E00E6C"/>
    <w:rsid w:val="00E16C64"/>
    <w:rsid w:val="00E57FE4"/>
    <w:rsid w:val="00E703F4"/>
    <w:rsid w:val="00E7455B"/>
    <w:rsid w:val="00EA6D30"/>
    <w:rsid w:val="00EB2F0F"/>
    <w:rsid w:val="00EB49A6"/>
    <w:rsid w:val="00EC24F2"/>
    <w:rsid w:val="00ED6774"/>
    <w:rsid w:val="00EE6EBB"/>
    <w:rsid w:val="00F01F8C"/>
    <w:rsid w:val="00F06AF8"/>
    <w:rsid w:val="00F200C2"/>
    <w:rsid w:val="00F20C99"/>
    <w:rsid w:val="00F306B5"/>
    <w:rsid w:val="00F358D8"/>
    <w:rsid w:val="00F36B68"/>
    <w:rsid w:val="00F5449A"/>
    <w:rsid w:val="00F60FF6"/>
    <w:rsid w:val="00F848E1"/>
    <w:rsid w:val="00F860AE"/>
    <w:rsid w:val="00F93113"/>
    <w:rsid w:val="00FB3314"/>
    <w:rsid w:val="00FC4A2B"/>
    <w:rsid w:val="00FF28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6BEC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uiPriority w:val="99"/>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Hyperlink">
    <w:name w:val="Hyperlink"/>
    <w:basedOn w:val="Standaardalinea-lettertype"/>
    <w:uiPriority w:val="99"/>
    <w:unhideWhenUsed/>
    <w:rsid w:val="00832C14"/>
    <w:rPr>
      <w:color w:val="0563C1" w:themeColor="hyperlink"/>
      <w:u w:val="single"/>
    </w:rPr>
  </w:style>
  <w:style w:type="character" w:styleId="Verwijzingopmerking">
    <w:name w:val="annotation reference"/>
    <w:basedOn w:val="Standaardalinea-lettertype"/>
    <w:uiPriority w:val="99"/>
    <w:unhideWhenUsed/>
    <w:rsid w:val="00832C14"/>
    <w:rPr>
      <w:sz w:val="16"/>
      <w:szCs w:val="16"/>
    </w:rPr>
  </w:style>
  <w:style w:type="character" w:customStyle="1" w:styleId="TekstopmerkingChar">
    <w:name w:val="Tekst opmerking Char"/>
    <w:basedOn w:val="Standaardalinea-lettertype"/>
    <w:link w:val="Tekstopmerking"/>
    <w:uiPriority w:val="99"/>
    <w:rsid w:val="00832C14"/>
    <w:rPr>
      <w:rFonts w:ascii="Verdana" w:hAnsi="Verdana"/>
      <w:sz w:val="18"/>
    </w:rPr>
  </w:style>
  <w:style w:type="character" w:styleId="GevolgdeHyperlink">
    <w:name w:val="FollowedHyperlink"/>
    <w:basedOn w:val="Standaardalinea-lettertype"/>
    <w:rsid w:val="00832C14"/>
    <w:rPr>
      <w:color w:val="954F72" w:themeColor="followedHyperlink"/>
      <w:u w:val="single"/>
    </w:rPr>
  </w:style>
  <w:style w:type="paragraph" w:styleId="Geenafstand">
    <w:name w:val="No Spacing"/>
    <w:uiPriority w:val="1"/>
    <w:qFormat/>
    <w:rsid w:val="00832C14"/>
    <w:rPr>
      <w:rFonts w:ascii="Verdana" w:hAnsi="Verdana"/>
      <w:sz w:val="18"/>
    </w:rPr>
  </w:style>
  <w:style w:type="character" w:styleId="Voetnootmarkering">
    <w:name w:val="footnote reference"/>
    <w:basedOn w:val="Standaardalinea-lettertype"/>
    <w:rsid w:val="00832C14"/>
    <w:rPr>
      <w:vertAlign w:val="superscript"/>
    </w:rPr>
  </w:style>
  <w:style w:type="character" w:styleId="Onopgelostemelding">
    <w:name w:val="Unresolved Mention"/>
    <w:basedOn w:val="Standaardalinea-lettertype"/>
    <w:uiPriority w:val="99"/>
    <w:semiHidden/>
    <w:unhideWhenUsed/>
    <w:rsid w:val="00832C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hyperlink" Target="https://www.linkedin.com/posts/regeringscommissaris-seksueel-grensoverschrijdend-gedrag-en-seksueel-geweld_het-is-inmiddels-ruim-2-jaar-geleden-dat-activity-7432137261758005248-UrGG?utm_source=share&amp;utm_medium=member_desktop&amp;rcm=ACoAAAIXRx0BTaaZtuxMpq-6kMd5rjINvSa-vG4"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1972</ap:Words>
  <ap:Characters>10847</ap:Characters>
  <ap:DocSecurity>0</ap:DocSecurity>
  <ap:Lines>90</ap:Lines>
  <ap:Paragraphs>25</ap:Paragraphs>
  <ap:ScaleCrop>false</ap:ScaleCrop>
  <ap:LinksUpToDate>false</ap:LinksUpToDate>
  <ap:CharactersWithSpaces>12794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2026-03-24T12:21:00.0000000Z</dcterms:created>
  <dcterms:modified xsi:type="dcterms:W3CDTF">2026-03-24T12:21:00.0000000Z</dcterms:modified>
  <dc:description>------------------------</dc:description>
  <dc:subject/>
  <dc:title/>
  <keywords/>
  <version/>
  <category/>
</coreProperties>
</file>