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62A" w:rsidP="00EF062A" w:rsidRDefault="00EF062A" w14:paraId="45422F56" w14:textId="77777777">
      <w:pPr>
        <w:pStyle w:val="WitregelW1bodytekst"/>
      </w:pPr>
      <w:bookmarkStart w:name="_GoBack" w:id="0"/>
      <w:bookmarkEnd w:id="0"/>
    </w:p>
    <w:p w:rsidRPr="00515A1F" w:rsidR="00EF062A" w:rsidP="00EF062A" w:rsidRDefault="00EF062A" w14:paraId="104354D0" w14:textId="225F8370">
      <w:pPr>
        <w:pStyle w:val="WitregelW1bodytekst"/>
      </w:pPr>
      <w:r w:rsidRPr="00515A1F">
        <w:t xml:space="preserve">Geachte voorzitter, </w:t>
      </w:r>
    </w:p>
    <w:p w:rsidRPr="00515A1F" w:rsidR="00EF062A" w:rsidP="00EF062A" w:rsidRDefault="00EF062A" w14:paraId="02196464" w14:textId="77777777">
      <w:pPr>
        <w:pStyle w:val="WitregelW1bodytekst"/>
      </w:pPr>
    </w:p>
    <w:p w:rsidR="00EF062A" w:rsidP="00EF062A" w:rsidRDefault="00EF062A" w14:paraId="252EF33A" w14:textId="7C6E0681">
      <w:pPr>
        <w:pStyle w:val="WitregelW1bodytekst"/>
      </w:pPr>
      <w:r w:rsidRPr="00515A1F">
        <w:t xml:space="preserve">Hierbij ontvangt </w:t>
      </w:r>
      <w:r>
        <w:t>u</w:t>
      </w:r>
      <w:r w:rsidRPr="00515A1F">
        <w:t xml:space="preserve"> antwoorden op de vragen van </w:t>
      </w:r>
      <w:r>
        <w:t xml:space="preserve">6 maart </w:t>
      </w:r>
      <w:r w:rsidR="004618EF">
        <w:t>2026</w:t>
      </w:r>
      <w:r w:rsidRPr="00515A1F">
        <w:t xml:space="preserve"> van het</w:t>
      </w:r>
      <w:r>
        <w:t xml:space="preserve"> lid Heutink (Groep Markuszower) </w:t>
      </w:r>
      <w:r w:rsidRPr="00515A1F">
        <w:t xml:space="preserve">met kenmerk </w:t>
      </w:r>
      <w:r w:rsidRPr="00EF062A">
        <w:t>2026Z04547</w:t>
      </w:r>
      <w:r w:rsidR="00AD4977">
        <w:t xml:space="preserve"> </w:t>
      </w:r>
      <w:r w:rsidRPr="00515A1F">
        <w:t xml:space="preserve">over </w:t>
      </w:r>
      <w:r w:rsidRPr="00734012">
        <w:t>het bericht '</w:t>
      </w:r>
      <w:r>
        <w:t>NS boekt weer winst – voor het eerst sinds 2019’</w:t>
      </w:r>
      <w:r w:rsidR="004618EF">
        <w:t>.</w:t>
      </w:r>
      <w:r>
        <w:rPr>
          <w:rStyle w:val="FootnoteReference"/>
        </w:rPr>
        <w:footnoteReference w:id="1"/>
      </w:r>
    </w:p>
    <w:p w:rsidRPr="00515A1F" w:rsidR="00EF062A" w:rsidP="00EF062A" w:rsidRDefault="00EF062A" w14:paraId="114B23C3" w14:textId="77777777">
      <w:pPr>
        <w:pStyle w:val="Slotzin"/>
      </w:pPr>
      <w:r w:rsidRPr="00515A1F">
        <w:t>Hoogachtend,</w:t>
      </w:r>
    </w:p>
    <w:p w:rsidRPr="006E14BA" w:rsidR="00EF062A" w:rsidP="00EF062A" w:rsidRDefault="00EF062A" w14:paraId="0AA7B574" w14:textId="77777777">
      <w:pPr>
        <w:pStyle w:val="OndertekeningArea1"/>
      </w:pPr>
      <w:r w:rsidRPr="006E14BA">
        <w:t>DE STAATSSECRETARIS VAN INFRASTRUCTUUR EN WATERSTAAT,</w:t>
      </w:r>
    </w:p>
    <w:p w:rsidRPr="006E14BA" w:rsidR="00EF062A" w:rsidP="00EF062A" w:rsidRDefault="00EF062A" w14:paraId="5EE8CCCD" w14:textId="77777777"/>
    <w:p w:rsidRPr="006E14BA" w:rsidR="00EF062A" w:rsidP="00EF062A" w:rsidRDefault="00EF062A" w14:paraId="2405AE04" w14:textId="77777777"/>
    <w:p w:rsidRPr="006E14BA" w:rsidR="00EF062A" w:rsidP="00EF062A" w:rsidRDefault="00EF062A" w14:paraId="08F18541" w14:textId="77777777"/>
    <w:p w:rsidRPr="006E14BA" w:rsidR="00EF062A" w:rsidP="00EF062A" w:rsidRDefault="00EF062A" w14:paraId="3491D220" w14:textId="77777777"/>
    <w:p w:rsidR="00F21CEB" w:rsidP="00EF062A" w:rsidRDefault="00EF062A" w14:paraId="65410444" w14:textId="5936E25A">
      <w:r w:rsidRPr="006E14BA">
        <w:t>Annet Be</w:t>
      </w:r>
      <w:r>
        <w:t>r</w:t>
      </w:r>
      <w:r w:rsidRPr="006E14BA">
        <w:t>tram</w:t>
      </w:r>
    </w:p>
    <w:p w:rsidR="00EF062A" w:rsidRDefault="00EF062A" w14:paraId="46716C00" w14:textId="0849104C">
      <w:pPr>
        <w:spacing w:line="240" w:lineRule="auto"/>
      </w:pPr>
      <w:r>
        <w:br w:type="page"/>
      </w:r>
    </w:p>
    <w:p w:rsidRPr="002438E3" w:rsidR="00AD4977" w:rsidP="002438E3" w:rsidRDefault="00AD4977" w14:paraId="53BDEFC5" w14:textId="2B320823">
      <w:pPr>
        <w:rPr>
          <w:b/>
          <w:bCs/>
        </w:rPr>
      </w:pPr>
      <w:r w:rsidRPr="002438E3">
        <w:rPr>
          <w:b/>
          <w:bCs/>
        </w:rPr>
        <w:lastRenderedPageBreak/>
        <w:t>2026Z04547</w:t>
      </w:r>
    </w:p>
    <w:p w:rsidRPr="002438E3" w:rsidR="00AD4977" w:rsidP="002438E3" w:rsidRDefault="00AD4977" w14:paraId="5252D98A" w14:textId="77777777"/>
    <w:p w:rsidRPr="002438E3" w:rsidR="00AD4977" w:rsidP="002438E3" w:rsidRDefault="00AD4977" w14:paraId="0DB8B6C2" w14:textId="5C473535">
      <w:pPr>
        <w:rPr>
          <w:b/>
          <w:bCs/>
        </w:rPr>
      </w:pPr>
      <w:r w:rsidRPr="002438E3">
        <w:rPr>
          <w:b/>
          <w:bCs/>
        </w:rPr>
        <w:t>Vraag 1</w:t>
      </w:r>
    </w:p>
    <w:p w:rsidRPr="002438E3" w:rsidR="00AD4977" w:rsidP="002438E3" w:rsidRDefault="00AD4977" w14:paraId="1D2AD3F5" w14:textId="23FC864A">
      <w:r w:rsidRPr="002438E3">
        <w:t xml:space="preserve">Bent u bekend met het </w:t>
      </w:r>
      <w:bookmarkStart w:name="_Hlk223891059" w:id="1"/>
      <w:r w:rsidRPr="002438E3">
        <w:t>NRC-bericht ‘NS boekt weer winst – voor het eerst sinds 2019’</w:t>
      </w:r>
      <w:r w:rsidRPr="002438E3" w:rsidR="004618EF">
        <w:t>?</w:t>
      </w:r>
      <w:r w:rsidRPr="002438E3">
        <w:rPr>
          <w:rStyle w:val="FootnoteReference"/>
        </w:rPr>
        <w:footnoteReference w:id="2"/>
      </w:r>
      <w:bookmarkEnd w:id="1"/>
    </w:p>
    <w:p w:rsidRPr="002438E3" w:rsidR="00AD4977" w:rsidP="002438E3" w:rsidRDefault="00AD4977" w14:paraId="7423D640" w14:textId="77777777"/>
    <w:p w:rsidRPr="002438E3" w:rsidR="00AD4977" w:rsidP="002438E3" w:rsidRDefault="00AD4977" w14:paraId="1A6B45A6" w14:textId="17775168">
      <w:pPr>
        <w:rPr>
          <w:b/>
          <w:bCs/>
        </w:rPr>
      </w:pPr>
      <w:r w:rsidRPr="002438E3">
        <w:rPr>
          <w:b/>
          <w:bCs/>
        </w:rPr>
        <w:t>Antwoord 1</w:t>
      </w:r>
    </w:p>
    <w:p w:rsidRPr="002438E3" w:rsidR="00AD4977" w:rsidP="002438E3" w:rsidRDefault="00AD4977" w14:paraId="1BB9FC1D" w14:textId="3A70C5BD">
      <w:r w:rsidRPr="002438E3">
        <w:t>Ja.</w:t>
      </w:r>
    </w:p>
    <w:p w:rsidRPr="002438E3" w:rsidR="00AD4977" w:rsidP="002438E3" w:rsidRDefault="00AD4977" w14:paraId="33EF10CE" w14:textId="77777777"/>
    <w:p w:rsidRPr="002438E3" w:rsidR="00AD4977" w:rsidP="002438E3" w:rsidRDefault="00AD4977" w14:paraId="28FC7323" w14:textId="35EB1155">
      <w:pPr>
        <w:rPr>
          <w:b/>
          <w:bCs/>
        </w:rPr>
      </w:pPr>
      <w:r w:rsidRPr="002438E3">
        <w:rPr>
          <w:b/>
          <w:bCs/>
        </w:rPr>
        <w:t>Vraag 2</w:t>
      </w:r>
    </w:p>
    <w:p w:rsidRPr="002438E3" w:rsidR="00AD4977" w:rsidP="002438E3" w:rsidRDefault="00AD4977" w14:paraId="1D429F52" w14:textId="28638B43">
      <w:r w:rsidRPr="002438E3">
        <w:t>Onderschrijft u de conclusie dat de NS over 2025 11 miljoen euro operationele winst heeft gemaakt, zoals gesteld wordt in het NRC-artikel en in de jaarcijfers van NS</w:t>
      </w:r>
      <w:r w:rsidRPr="002438E3" w:rsidR="004618EF">
        <w:t>?</w:t>
      </w:r>
      <w:r w:rsidRPr="002438E3">
        <w:rPr>
          <w:rStyle w:val="FootnoteReference"/>
        </w:rPr>
        <w:footnoteReference w:id="3"/>
      </w:r>
    </w:p>
    <w:p w:rsidRPr="002438E3" w:rsidR="00AD4977" w:rsidP="002438E3" w:rsidRDefault="00AD4977" w14:paraId="58CA7D29" w14:textId="77777777"/>
    <w:p w:rsidRPr="002438E3" w:rsidR="00AD4977" w:rsidP="002438E3" w:rsidRDefault="00AD4977" w14:paraId="2E8CA1C8" w14:textId="601FD7E1">
      <w:pPr>
        <w:rPr>
          <w:b/>
          <w:bCs/>
        </w:rPr>
      </w:pPr>
      <w:r w:rsidRPr="002438E3">
        <w:rPr>
          <w:b/>
          <w:bCs/>
        </w:rPr>
        <w:t>Antwoord 2</w:t>
      </w:r>
    </w:p>
    <w:p w:rsidRPr="002438E3" w:rsidR="00AD4977" w:rsidP="002438E3" w:rsidRDefault="00AD4977" w14:paraId="494A0029" w14:textId="7CED674F">
      <w:r w:rsidRPr="002438E3">
        <w:t>Ja</w:t>
      </w:r>
      <w:r w:rsidRPr="002438E3" w:rsidR="00FE0801">
        <w:t>.</w:t>
      </w:r>
    </w:p>
    <w:p w:rsidRPr="002438E3" w:rsidR="00AD4977" w:rsidP="002438E3" w:rsidRDefault="00AD4977" w14:paraId="7809B417" w14:textId="77777777"/>
    <w:p w:rsidRPr="002438E3" w:rsidR="00AD4977" w:rsidP="002438E3" w:rsidRDefault="00AD4977" w14:paraId="0E489606" w14:textId="56678E8A">
      <w:pPr>
        <w:rPr>
          <w:b/>
          <w:bCs/>
        </w:rPr>
      </w:pPr>
      <w:r w:rsidRPr="002438E3">
        <w:rPr>
          <w:b/>
          <w:bCs/>
        </w:rPr>
        <w:t>Vraag 3</w:t>
      </w:r>
    </w:p>
    <w:p w:rsidRPr="002438E3" w:rsidR="00AD4977" w:rsidP="002438E3" w:rsidRDefault="00AD4977" w14:paraId="3BFAA93E" w14:textId="77777777">
      <w:r w:rsidRPr="002438E3">
        <w:t>Herinnert u zich dat NS voor de vorige hoofdrailnetconcessie (HRN-concessie) een vergoeding van 80 miljoen euro aan uw ministerie overmaakte en dat NS voor deze HRN-concessie een vergoeding van 13 miljoen euro ontvangt?</w:t>
      </w:r>
    </w:p>
    <w:p w:rsidRPr="002438E3" w:rsidR="00AD4977" w:rsidP="002438E3" w:rsidRDefault="00AD4977" w14:paraId="74B25F1F" w14:textId="77777777"/>
    <w:p w:rsidRPr="002438E3" w:rsidR="00AD4977" w:rsidP="002438E3" w:rsidRDefault="00AD4977" w14:paraId="3CD3B84E" w14:textId="089987E3">
      <w:pPr>
        <w:rPr>
          <w:b/>
          <w:bCs/>
        </w:rPr>
      </w:pPr>
      <w:r w:rsidRPr="002438E3">
        <w:rPr>
          <w:b/>
          <w:bCs/>
        </w:rPr>
        <w:t>Antwoord 3</w:t>
      </w:r>
    </w:p>
    <w:p w:rsidRPr="002438E3" w:rsidR="00810F74" w:rsidP="002438E3" w:rsidRDefault="00810F74" w14:paraId="798F2294" w14:textId="3DE92F21">
      <w:r w:rsidRPr="002438E3">
        <w:t>Ja.</w:t>
      </w:r>
    </w:p>
    <w:p w:rsidRPr="002438E3" w:rsidR="00810F74" w:rsidP="002438E3" w:rsidRDefault="00810F74" w14:paraId="671B98E1" w14:textId="77777777"/>
    <w:p w:rsidRPr="002438E3" w:rsidR="00810F74" w:rsidP="002438E3" w:rsidRDefault="00810F74" w14:paraId="22CBE98A" w14:textId="3649C5D1">
      <w:pPr>
        <w:rPr>
          <w:b/>
          <w:bCs/>
        </w:rPr>
      </w:pPr>
      <w:r w:rsidRPr="002438E3">
        <w:rPr>
          <w:b/>
          <w:bCs/>
        </w:rPr>
        <w:t>Vraag 4</w:t>
      </w:r>
    </w:p>
    <w:p w:rsidRPr="002438E3" w:rsidR="00810F74" w:rsidP="002438E3" w:rsidRDefault="00810F74" w14:paraId="75FD2E48" w14:textId="77777777">
      <w:r w:rsidRPr="002438E3">
        <w:t>Klopt het dat er geen wezenlijke veranderingen zijn in de omvang van het HRN-contract en daarmee de businesscase? Zo nee, welke grote wijzigingen praten het voordeel van 93 miljoen euro per jaar voor NS goed?</w:t>
      </w:r>
    </w:p>
    <w:p w:rsidRPr="002438E3" w:rsidR="00810F74" w:rsidP="002438E3" w:rsidRDefault="00810F74" w14:paraId="5C06F4C1" w14:textId="77777777"/>
    <w:p w:rsidRPr="002438E3" w:rsidR="00810F74" w:rsidP="002438E3" w:rsidRDefault="00810F74" w14:paraId="205FF756" w14:textId="1077DB3C">
      <w:pPr>
        <w:rPr>
          <w:b/>
          <w:bCs/>
        </w:rPr>
      </w:pPr>
      <w:r w:rsidRPr="002438E3">
        <w:rPr>
          <w:b/>
          <w:bCs/>
        </w:rPr>
        <w:t>Antwoord 4</w:t>
      </w:r>
    </w:p>
    <w:p w:rsidRPr="002438E3" w:rsidR="00AB0F79" w:rsidP="002438E3" w:rsidRDefault="00616F84" w14:paraId="7E214245" w14:textId="18B89290">
      <w:r w:rsidRPr="002438E3">
        <w:t xml:space="preserve">Dat klopt niet. Hoewel de omvang van </w:t>
      </w:r>
      <w:r w:rsidRPr="002438E3" w:rsidR="00703443">
        <w:t>het volume van de</w:t>
      </w:r>
      <w:r w:rsidRPr="002438E3">
        <w:t xml:space="preserve"> </w:t>
      </w:r>
      <w:r w:rsidRPr="002438E3" w:rsidR="00703443">
        <w:t>hoofrailnetc</w:t>
      </w:r>
      <w:r w:rsidRPr="002438E3">
        <w:t>oncessie</w:t>
      </w:r>
      <w:r w:rsidRPr="002438E3" w:rsidR="00703443">
        <w:t xml:space="preserve"> 2025-2033 (hierna: HRN-concessie)</w:t>
      </w:r>
      <w:r w:rsidRPr="002438E3">
        <w:t xml:space="preserve"> </w:t>
      </w:r>
      <w:r w:rsidRPr="002438E3" w:rsidR="005E008D">
        <w:t xml:space="preserve">enigszins </w:t>
      </w:r>
      <w:r w:rsidRPr="002438E3">
        <w:t>vergelijkbaar is met de vorige</w:t>
      </w:r>
      <w:r w:rsidRPr="002438E3" w:rsidR="00703443">
        <w:t xml:space="preserve"> concessie</w:t>
      </w:r>
      <w:r w:rsidRPr="002438E3" w:rsidR="007D2634">
        <w:t xml:space="preserve"> (2015-2024)</w:t>
      </w:r>
      <w:r w:rsidRPr="002438E3">
        <w:t xml:space="preserve">, zijn de omstandigheden waarbinnen de concessie wordt uitgevoerd sterk veranderd. Sinds de coronapandemie in 2020 ligt het reizigersaantal op een structureel lager niveau dan daarvoor. </w:t>
      </w:r>
      <w:r w:rsidRPr="002438E3" w:rsidR="00AA3CAE">
        <w:t xml:space="preserve">In de afgelopen jaren is </w:t>
      </w:r>
      <w:r w:rsidRPr="002438E3" w:rsidR="00135F43">
        <w:t>weer groei van het aantal reizigers zichtbaar, maar het niveau van voor de</w:t>
      </w:r>
      <w:r w:rsidRPr="002438E3" w:rsidR="00AA3CAE">
        <w:t xml:space="preserve"> coronapandemie is nog niet bereikt</w:t>
      </w:r>
      <w:r w:rsidRPr="002438E3" w:rsidR="00210658">
        <w:t xml:space="preserve">, mede als gevolg van veranderd reisgedrag. Zo wordt er gemiddeld per week minder naar werk en onderwijsinstellingen gereisd ten opzichte van voor de coronapandemie. </w:t>
      </w:r>
      <w:r w:rsidRPr="002438E3">
        <w:t xml:space="preserve">Een andere ontwikkeling is de forse inflatie sinds het uitbreken van de oorlog in Oekraïne, waardoor de kosten voor NS en andere vervoerders (denk bijvoorbeeld aan personeel, materieel en energie) </w:t>
      </w:r>
      <w:r w:rsidRPr="002438E3" w:rsidR="004618EF">
        <w:t xml:space="preserve">in de afgelopen jaren </w:t>
      </w:r>
      <w:r w:rsidRPr="002438E3" w:rsidR="0063048C">
        <w:t>sterk</w:t>
      </w:r>
      <w:r w:rsidRPr="002438E3">
        <w:t xml:space="preserve"> zijn toege</w:t>
      </w:r>
      <w:r w:rsidRPr="002438E3" w:rsidR="006A29C8">
        <w:t>n</w:t>
      </w:r>
      <w:r w:rsidRPr="002438E3">
        <w:t>omen.</w:t>
      </w:r>
      <w:r w:rsidRPr="002438E3" w:rsidR="0063048C">
        <w:t xml:space="preserve"> Deze ont</w:t>
      </w:r>
      <w:r w:rsidRPr="002438E3" w:rsidR="007C0E3C">
        <w:t>wikkelingen hebben grote invloed op de businesscase van de HRN-concessie</w:t>
      </w:r>
      <w:r w:rsidRPr="002438E3" w:rsidR="00E0202E">
        <w:t>.</w:t>
      </w:r>
    </w:p>
    <w:p w:rsidRPr="002438E3" w:rsidR="00AB0F79" w:rsidP="002438E3" w:rsidRDefault="00AB0F79" w14:paraId="39CBFE6C" w14:textId="77777777"/>
    <w:p w:rsidRPr="002438E3" w:rsidR="00810F74" w:rsidP="002438E3" w:rsidRDefault="00E0202E" w14:paraId="7853A2C2" w14:textId="27DC0701">
      <w:r w:rsidRPr="002438E3">
        <w:t xml:space="preserve">Tegen </w:t>
      </w:r>
      <w:r w:rsidRPr="002438E3" w:rsidR="00AB0F79">
        <w:t>de</w:t>
      </w:r>
      <w:r w:rsidRPr="002438E3" w:rsidR="00CD5BCF">
        <w:t xml:space="preserve">ze </w:t>
      </w:r>
      <w:r w:rsidRPr="002438E3">
        <w:t>achtergrond zijn in 2023 de financiële afspraken met betrekking tot de HRN-concessie gemaakt</w:t>
      </w:r>
      <w:r w:rsidRPr="002438E3" w:rsidR="00AB0F79">
        <w:t xml:space="preserve">. Alle betrokken partijen hebben daarbij een bijdrage geleverd. Met NS zijn afspraken gemaakt om aanvullende efficiencybesparingen door te voeren. De aandeelhouder heeft genoegen genomen met een lager rendement. </w:t>
      </w:r>
      <w:r w:rsidRPr="002438E3" w:rsidR="00CD5BCF">
        <w:t>H</w:t>
      </w:r>
      <w:r w:rsidRPr="002438E3" w:rsidR="00AB0F79">
        <w:t>et ministerie van I</w:t>
      </w:r>
      <w:r w:rsidR="00827A9B">
        <w:t>nfrastructuur en Waterstaat</w:t>
      </w:r>
      <w:r w:rsidRPr="002438E3" w:rsidR="00AB0F79">
        <w:t xml:space="preserve"> (IenW) heeft afgezien van het vragen van een concessievergoedin</w:t>
      </w:r>
      <w:r w:rsidRPr="002438E3" w:rsidR="00CD5BCF">
        <w:t xml:space="preserve">g en </w:t>
      </w:r>
      <w:r w:rsidRPr="002438E3" w:rsidR="00AB0F79">
        <w:t>biedt in plaats daarvan een (beperkte) concessiesubsidie. De Kamer is op 14 augustus 2023 nader over deze afspraken geïnformeerd</w:t>
      </w:r>
      <w:r w:rsidRPr="002438E3">
        <w:t>.</w:t>
      </w:r>
      <w:r w:rsidRPr="002438E3" w:rsidR="007D2634">
        <w:rPr>
          <w:rStyle w:val="FootnoteReference"/>
        </w:rPr>
        <w:footnoteReference w:id="4"/>
      </w:r>
    </w:p>
    <w:p w:rsidRPr="002438E3" w:rsidR="004618EF" w:rsidP="002438E3" w:rsidRDefault="004618EF" w14:paraId="6830ED82" w14:textId="77777777"/>
    <w:p w:rsidRPr="002438E3" w:rsidR="00AD4977" w:rsidP="002438E3" w:rsidRDefault="00E449B5" w14:paraId="6D42EFE9" w14:textId="0F81DFBD">
      <w:pPr>
        <w:rPr>
          <w:b/>
          <w:bCs/>
        </w:rPr>
      </w:pPr>
      <w:r w:rsidRPr="002438E3">
        <w:rPr>
          <w:b/>
          <w:bCs/>
        </w:rPr>
        <w:t>Vraag 5</w:t>
      </w:r>
    </w:p>
    <w:p w:rsidRPr="002438E3" w:rsidR="00E449B5" w:rsidP="002438E3" w:rsidRDefault="00E449B5" w14:paraId="1AA7253E" w14:textId="69F52FAD">
      <w:r w:rsidRPr="002438E3">
        <w:t>Herinnert u zich dat u schreef dat de 13 miljoen euro het bedrag is “</w:t>
      </w:r>
      <w:r w:rsidRPr="002438E3">
        <w:rPr>
          <w:i/>
          <w:iCs/>
        </w:rPr>
        <w:t>wat naast het financieel effect van overige maatregelen (volume, tarieven, risicoverdeling/normrendement, efficiencyverhoging) nodig is om op de concessie een redelijk rendement te behalen”</w:t>
      </w:r>
      <w:r w:rsidRPr="002438E3" w:rsidR="004618EF">
        <w:t>?</w:t>
      </w:r>
      <w:r w:rsidRPr="002438E3">
        <w:rPr>
          <w:rStyle w:val="FootnoteReference"/>
        </w:rPr>
        <w:footnoteReference w:id="5"/>
      </w:r>
      <w:r w:rsidRPr="002438E3">
        <w:t xml:space="preserve"> Deelt u de opvatting dat deze subsidie niet langer nodig is om een redelijk rendement te halen, nu NS een winst boekt die vrijwel gelijk staat aan de toegekende subsidie?</w:t>
      </w:r>
    </w:p>
    <w:p w:rsidRPr="002438E3" w:rsidR="00E449B5" w:rsidP="002438E3" w:rsidRDefault="00E449B5" w14:paraId="3A14288A" w14:textId="77777777"/>
    <w:p w:rsidRPr="002438E3" w:rsidR="00E449B5" w:rsidP="002438E3" w:rsidRDefault="00E449B5" w14:paraId="4289635B" w14:textId="7EA7F266">
      <w:pPr>
        <w:rPr>
          <w:b/>
          <w:bCs/>
        </w:rPr>
      </w:pPr>
      <w:r w:rsidRPr="002438E3">
        <w:rPr>
          <w:b/>
          <w:bCs/>
        </w:rPr>
        <w:t>Antwoord 5</w:t>
      </w:r>
    </w:p>
    <w:p w:rsidRPr="002438E3" w:rsidR="00A23DC5" w:rsidP="002438E3" w:rsidRDefault="002F2071" w14:paraId="08DEF8AD" w14:textId="3C89CBFD">
      <w:r w:rsidRPr="002438E3">
        <w:t>Het kabinet</w:t>
      </w:r>
      <w:r w:rsidRPr="002438E3" w:rsidR="00E449B5">
        <w:t xml:space="preserve"> deel</w:t>
      </w:r>
      <w:r w:rsidRPr="002438E3" w:rsidR="00D25511">
        <w:t>t</w:t>
      </w:r>
      <w:r w:rsidRPr="002438E3" w:rsidR="00E449B5">
        <w:t xml:space="preserve"> </w:t>
      </w:r>
      <w:r w:rsidRPr="002438E3" w:rsidR="00583BFF">
        <w:t>deze</w:t>
      </w:r>
      <w:r w:rsidRPr="002438E3" w:rsidR="00E449B5">
        <w:t xml:space="preserve"> opvatting niet.</w:t>
      </w:r>
      <w:r w:rsidRPr="002438E3" w:rsidR="00135F43">
        <w:t xml:space="preserve"> </w:t>
      </w:r>
      <w:r w:rsidRPr="002438E3" w:rsidR="0027414E">
        <w:t>Conform de PSO-</w:t>
      </w:r>
      <w:r w:rsidRPr="002438E3" w:rsidR="00F37E52">
        <w:t>V</w:t>
      </w:r>
      <w:r w:rsidRPr="002438E3" w:rsidR="0027414E">
        <w:t>erordening</w:t>
      </w:r>
      <w:r w:rsidRPr="002438E3" w:rsidR="0027414E">
        <w:rPr>
          <w:rStyle w:val="FootnoteReference"/>
        </w:rPr>
        <w:footnoteReference w:id="6"/>
      </w:r>
      <w:r w:rsidRPr="002438E3" w:rsidR="0027414E">
        <w:t xml:space="preserve"> </w:t>
      </w:r>
      <w:r w:rsidRPr="002438E3" w:rsidR="007C3477">
        <w:t xml:space="preserve">mogen vervoerders als NS </w:t>
      </w:r>
      <w:r w:rsidRPr="002438E3" w:rsidR="0027414E">
        <w:t xml:space="preserve">een </w:t>
      </w:r>
      <w:r w:rsidRPr="002438E3" w:rsidR="00583BFF">
        <w:t>redelijk</w:t>
      </w:r>
      <w:r w:rsidRPr="002438E3" w:rsidR="008F1663">
        <w:t xml:space="preserve">e winst </w:t>
      </w:r>
      <w:r w:rsidRPr="002438E3" w:rsidR="00583BFF">
        <w:t xml:space="preserve">behalen met het verzorgen van openbaar vervoer. Daarmee kan </w:t>
      </w:r>
      <w:r w:rsidRPr="002438E3" w:rsidR="007C3477">
        <w:t>NS</w:t>
      </w:r>
      <w:r w:rsidRPr="002438E3" w:rsidR="00583BFF">
        <w:t xml:space="preserve"> investeren in de </w:t>
      </w:r>
      <w:r w:rsidRPr="002438E3" w:rsidR="004618EF">
        <w:t xml:space="preserve">kwaliteit van de </w:t>
      </w:r>
      <w:r w:rsidRPr="002438E3" w:rsidR="00583BFF">
        <w:t xml:space="preserve">dienstverlening en financiële tegenvallers opvangen. </w:t>
      </w:r>
      <w:r w:rsidRPr="002438E3" w:rsidR="0027414E">
        <w:t>Bovendien stimuleert dit</w:t>
      </w:r>
      <w:r w:rsidRPr="002438E3" w:rsidR="007C3477">
        <w:t xml:space="preserve"> NS </w:t>
      </w:r>
      <w:r w:rsidRPr="002438E3" w:rsidR="0027414E">
        <w:t xml:space="preserve">om kostenefficiënt te werken en met een kwalitatief goed vervoersproduct voldoende reizigers te trekken. </w:t>
      </w:r>
      <w:r w:rsidRPr="002438E3" w:rsidR="00583BFF">
        <w:t xml:space="preserve">NS heeft in de afgelopen jaren grote negatieve financiële resultaten geboekt en de schuldenlast van NS is toegenomen. </w:t>
      </w:r>
      <w:r w:rsidRPr="002438E3" w:rsidR="00D87158">
        <w:t>Het is van belang dat NS de opwaartse trend doorzet en de financiële positie verstevigt</w:t>
      </w:r>
      <w:r w:rsidRPr="002438E3" w:rsidR="0036775B">
        <w:t xml:space="preserve">, bijvoorbeeld om </w:t>
      </w:r>
      <w:r w:rsidRPr="002438E3" w:rsidR="00A23DC5">
        <w:t>toekomstige investeringen</w:t>
      </w:r>
      <w:r w:rsidRPr="002438E3" w:rsidR="0036775B">
        <w:t xml:space="preserve"> </w:t>
      </w:r>
      <w:r w:rsidRPr="002438E3" w:rsidR="00A23DC5">
        <w:t>in nieuw materieel te kunnen financieren.</w:t>
      </w:r>
    </w:p>
    <w:p w:rsidRPr="002438E3" w:rsidR="00A23DC5" w:rsidP="002438E3" w:rsidRDefault="00A23DC5" w14:paraId="50B97D70" w14:textId="77777777"/>
    <w:p w:rsidRPr="002438E3" w:rsidR="004618EF" w:rsidP="002438E3" w:rsidRDefault="00D87158" w14:paraId="27604442" w14:textId="7C30221B">
      <w:r w:rsidRPr="002438E3">
        <w:t>Het is te kort door de bocht om te stellen dat de concessiesubsidie niet meer nodig zou zijn op basis van het financieel resultaat van één boekjaar.</w:t>
      </w:r>
      <w:r w:rsidRPr="002438E3" w:rsidR="00A75CA7">
        <w:t xml:space="preserve"> </w:t>
      </w:r>
      <w:r w:rsidRPr="002438E3" w:rsidR="008F1663">
        <w:t xml:space="preserve">Bovendien is het (beperkte) operationele resultaat van € 11 miljoen het resultaat op </w:t>
      </w:r>
      <w:r w:rsidRPr="002438E3" w:rsidR="00D8178F">
        <w:t>NS-</w:t>
      </w:r>
      <w:r w:rsidRPr="002438E3" w:rsidR="008F1663">
        <w:t>concernniveau</w:t>
      </w:r>
      <w:r w:rsidRPr="002438E3" w:rsidR="00D42466">
        <w:t>, en is dat geen weergave van het financieel resultaat van het vervoer op het hoofdrailnet.</w:t>
      </w:r>
      <w:r w:rsidRPr="002438E3" w:rsidR="003510E5">
        <w:rPr>
          <w:rStyle w:val="FootnoteReference"/>
        </w:rPr>
        <w:footnoteReference w:id="7"/>
      </w:r>
      <w:r w:rsidRPr="002438E3" w:rsidR="00D42466">
        <w:t xml:space="preserve"> </w:t>
      </w:r>
      <w:r w:rsidRPr="002438E3" w:rsidR="002F2071">
        <w:t xml:space="preserve">De afspraken over de hoogte van de concessiesubsidie zijn gemaakt over de hele concessieperiode (2025-2033). </w:t>
      </w:r>
      <w:r w:rsidRPr="002438E3">
        <w:t xml:space="preserve">Bij de midterm review van de concessie in 2029 wordt de financiële balans geëvalueerd, waarbij zal worden </w:t>
      </w:r>
      <w:r w:rsidRPr="002438E3" w:rsidR="002F2071">
        <w:t>be</w:t>
      </w:r>
      <w:r w:rsidRPr="002438E3">
        <w:t>keken of de gestelde eisen in de concessie in balans zijn met de onderliggende financiële afspraken. Daarbij wordt ook de hoogte van de concessiesubsidie betrokken.</w:t>
      </w:r>
    </w:p>
    <w:p w:rsidRPr="002438E3" w:rsidR="00583BFF" w:rsidP="002438E3" w:rsidRDefault="00583BFF" w14:paraId="7F10C873" w14:textId="77777777"/>
    <w:p w:rsidRPr="002438E3" w:rsidR="00583BFF" w:rsidP="002438E3" w:rsidRDefault="00583BFF" w14:paraId="517189C1" w14:textId="364531F7">
      <w:pPr>
        <w:rPr>
          <w:b/>
          <w:bCs/>
        </w:rPr>
      </w:pPr>
      <w:r w:rsidRPr="002438E3">
        <w:rPr>
          <w:b/>
          <w:bCs/>
        </w:rPr>
        <w:t>Vraag 6</w:t>
      </w:r>
    </w:p>
    <w:p w:rsidRPr="002438E3" w:rsidR="00583BFF" w:rsidP="002438E3" w:rsidRDefault="00583BFF" w14:paraId="051C1492" w14:textId="77777777">
      <w:r w:rsidRPr="002438E3">
        <w:t>Kunt u gedetailleerd uitleggen of het uitkeren van subsidie wel toegestaan is nu er sprake is van een winstgevende concessie? Zo nee, hoe zit het dan precies en hoe verhoudt dat zich tot het principe van verboden staatssteun en de eisen uit het Vierde Spoorwegpakket?</w:t>
      </w:r>
    </w:p>
    <w:p w:rsidRPr="002438E3" w:rsidR="00583BFF" w:rsidP="002438E3" w:rsidRDefault="00583BFF" w14:paraId="414A3F34" w14:textId="77777777"/>
    <w:p w:rsidRPr="002438E3" w:rsidR="00583BFF" w:rsidP="002438E3" w:rsidRDefault="00583BFF" w14:paraId="1858B0E4" w14:textId="06048276">
      <w:pPr>
        <w:rPr>
          <w:b/>
          <w:bCs/>
        </w:rPr>
      </w:pPr>
      <w:r w:rsidRPr="002438E3">
        <w:rPr>
          <w:b/>
          <w:bCs/>
        </w:rPr>
        <w:t>Antwoord</w:t>
      </w:r>
      <w:r w:rsidRPr="002438E3" w:rsidR="005266F0">
        <w:rPr>
          <w:b/>
          <w:bCs/>
        </w:rPr>
        <w:t xml:space="preserve"> 6</w:t>
      </w:r>
    </w:p>
    <w:p w:rsidRPr="002438E3" w:rsidR="00D25511" w:rsidP="002438E3" w:rsidRDefault="002F2071" w14:paraId="7DBE3357" w14:textId="689EF9B3">
      <w:pPr>
        <w:rPr>
          <w:strike/>
        </w:rPr>
      </w:pPr>
      <w:r w:rsidRPr="002438E3">
        <w:t xml:space="preserve">Een </w:t>
      </w:r>
      <w:r w:rsidRPr="002438E3" w:rsidR="00D42466">
        <w:t>concessie</w:t>
      </w:r>
      <w:r w:rsidRPr="002438E3">
        <w:t xml:space="preserve">subsidie </w:t>
      </w:r>
      <w:r w:rsidRPr="002438E3" w:rsidR="00151FA4">
        <w:t xml:space="preserve">is bedoeld om het verschil af te dekken tussen de opbrengsten van </w:t>
      </w:r>
      <w:r w:rsidRPr="002438E3">
        <w:t>een</w:t>
      </w:r>
      <w:r w:rsidRPr="002438E3" w:rsidR="00151FA4">
        <w:t xml:space="preserve"> vervoerder aan de ene kant en de kosten </w:t>
      </w:r>
      <w:r w:rsidRPr="002438E3" w:rsidR="00B22D67">
        <w:t>aangevuld met</w:t>
      </w:r>
      <w:r w:rsidRPr="002438E3" w:rsidR="00151FA4">
        <w:t xml:space="preserve"> een redelijk</w:t>
      </w:r>
      <w:r w:rsidRPr="002438E3">
        <w:t xml:space="preserve">e winst </w:t>
      </w:r>
      <w:r w:rsidRPr="002438E3" w:rsidR="00151FA4">
        <w:t xml:space="preserve">aan de andere kant. </w:t>
      </w:r>
      <w:r w:rsidRPr="002438E3">
        <w:t xml:space="preserve">Het bieden van een </w:t>
      </w:r>
      <w:r w:rsidRPr="002438E3" w:rsidR="00EB1F0E">
        <w:t>concessie</w:t>
      </w:r>
      <w:r w:rsidRPr="002438E3">
        <w:t>subsidie</w:t>
      </w:r>
      <w:r w:rsidRPr="002438E3" w:rsidR="00454C6F">
        <w:t xml:space="preserve"> is </w:t>
      </w:r>
      <w:r w:rsidRPr="002438E3" w:rsidR="00AB437E">
        <w:t xml:space="preserve">verenigbaar met de </w:t>
      </w:r>
      <w:r w:rsidRPr="002438E3" w:rsidR="007F6689">
        <w:t xml:space="preserve">toepasselijke </w:t>
      </w:r>
      <w:r w:rsidRPr="002438E3" w:rsidR="00454C6F">
        <w:t>Europese wet- en regelgeving</w:t>
      </w:r>
      <w:r w:rsidRPr="002438E3" w:rsidR="00AB437E">
        <w:t xml:space="preserve">, </w:t>
      </w:r>
      <w:r w:rsidRPr="002438E3">
        <w:t>m</w:t>
      </w:r>
      <w:r w:rsidRPr="002438E3" w:rsidR="00713A88">
        <w:t xml:space="preserve">its </w:t>
      </w:r>
      <w:r w:rsidRPr="002438E3" w:rsidR="007F6689">
        <w:t>de subsidie</w:t>
      </w:r>
      <w:r w:rsidRPr="002438E3" w:rsidR="00713A88">
        <w:t xml:space="preserve"> niet tot overcompensatie leidt.</w:t>
      </w:r>
      <w:r w:rsidRPr="002438E3" w:rsidR="00AB5171">
        <w:t xml:space="preserve"> </w:t>
      </w:r>
      <w:r w:rsidRPr="002438E3" w:rsidR="00D25511">
        <w:t>IenW</w:t>
      </w:r>
      <w:r w:rsidRPr="002438E3" w:rsidR="00454C6F">
        <w:t xml:space="preserve"> borgt dit op twee manieren.</w:t>
      </w:r>
      <w:r w:rsidRPr="002438E3" w:rsidR="00AB5171">
        <w:t xml:space="preserve"> Voorafgaand aan de gunning van de HRN-concessie in 2023 heeft IenW door een extern bureau laten onderzoeken of de gemaakte afspraken tussen IenW en NS in lijn zijn met de Europese staatssteunregels uit het Verdrag betreffende de werking van de Europese Unie, en meer specifiek zoals opgenomen in de PSO-Verordening.</w:t>
      </w:r>
      <w:r w:rsidRPr="002438E3" w:rsidR="0034275F">
        <w:t xml:space="preserve"> De conclusie </w:t>
      </w:r>
      <w:r w:rsidRPr="002438E3" w:rsidR="00D8178F">
        <w:t>van dat onderzoek</w:t>
      </w:r>
      <w:r w:rsidRPr="002438E3" w:rsidR="0034275F">
        <w:t xml:space="preserve"> was dat dat het geval was.</w:t>
      </w:r>
      <w:r w:rsidRPr="002438E3" w:rsidR="0034275F">
        <w:rPr>
          <w:rStyle w:val="FootnoteReference"/>
        </w:rPr>
        <w:footnoteReference w:id="8"/>
      </w:r>
      <w:r w:rsidRPr="002438E3" w:rsidR="0034275F">
        <w:t xml:space="preserve"> </w:t>
      </w:r>
      <w:r w:rsidRPr="002438E3" w:rsidR="001B43EC">
        <w:t>Daarnaast</w:t>
      </w:r>
      <w:r w:rsidRPr="002438E3" w:rsidR="0034275F">
        <w:t xml:space="preserve"> </w:t>
      </w:r>
      <w:r w:rsidRPr="002438E3" w:rsidR="00030C08">
        <w:t>borgt</w:t>
      </w:r>
      <w:r w:rsidRPr="002438E3" w:rsidR="0034275F">
        <w:t xml:space="preserve"> IenW </w:t>
      </w:r>
      <w:r w:rsidRPr="002438E3" w:rsidR="00030C08">
        <w:t xml:space="preserve">dat NS met het vervoer op het hoofdrailnet geen overwinst maakt. </w:t>
      </w:r>
      <w:r w:rsidRPr="002438E3" w:rsidR="0034275F">
        <w:t>Afspraken hierover zijn vastgelegd in artikel 75A van de HRN-concessie.</w:t>
      </w:r>
      <w:r w:rsidRPr="002438E3" w:rsidR="0034275F">
        <w:rPr>
          <w:rStyle w:val="FootnoteReference"/>
        </w:rPr>
        <w:footnoteReference w:id="9"/>
      </w:r>
    </w:p>
    <w:p w:rsidRPr="002438E3" w:rsidR="0034275F" w:rsidP="002438E3" w:rsidRDefault="0034275F" w14:paraId="088369C4" w14:textId="77777777"/>
    <w:p w:rsidRPr="002438E3" w:rsidR="0034275F" w:rsidP="002438E3" w:rsidRDefault="0034275F" w14:paraId="421BA7E7" w14:textId="15A277FC">
      <w:pPr>
        <w:rPr>
          <w:b/>
          <w:bCs/>
        </w:rPr>
      </w:pPr>
      <w:r w:rsidRPr="002438E3">
        <w:rPr>
          <w:b/>
          <w:bCs/>
        </w:rPr>
        <w:t>Vraag 7</w:t>
      </w:r>
    </w:p>
    <w:p w:rsidRPr="002438E3" w:rsidR="0034275F" w:rsidP="002438E3" w:rsidRDefault="0034275F" w14:paraId="21E37CE1" w14:textId="27575E4E">
      <w:r w:rsidRPr="002438E3">
        <w:t>Deelt u de mening dat het pas per 2029 aanpassen van de afspraken (conform artikel 58 lid 1 van de huidige HRN-concessie waarin staat dat bij de midterm review in 2029 gekeken zal worden naar de concessiesubsidie(s) en de businesscase die aan de huidige concessie ten grondslag lagen</w:t>
      </w:r>
      <w:r w:rsidRPr="002438E3">
        <w:rPr>
          <w:rStyle w:val="FootnoteReference"/>
        </w:rPr>
        <w:footnoteReference w:id="10"/>
      </w:r>
      <w:r w:rsidRPr="002438E3">
        <w:t> veel te laat is omdat nu blijkt dat de businesscase veel te negatief is geweest en NS in het eerste concessiejaar al winst in plaats van verlies blijkt te maken, en er daarom eerder actie nodig is?</w:t>
      </w:r>
    </w:p>
    <w:p w:rsidRPr="002438E3" w:rsidR="0034275F" w:rsidP="002438E3" w:rsidRDefault="0034275F" w14:paraId="71D9A0B1" w14:textId="77777777"/>
    <w:p w:rsidRPr="002438E3" w:rsidR="0034275F" w:rsidP="002438E3" w:rsidRDefault="0034275F" w14:paraId="43BDA770" w14:textId="2D408419">
      <w:pPr>
        <w:rPr>
          <w:b/>
          <w:bCs/>
        </w:rPr>
      </w:pPr>
      <w:r w:rsidRPr="002438E3">
        <w:rPr>
          <w:b/>
          <w:bCs/>
        </w:rPr>
        <w:t>Antwoord 7</w:t>
      </w:r>
    </w:p>
    <w:p w:rsidRPr="002438E3" w:rsidR="00D25511" w:rsidP="002438E3" w:rsidRDefault="0034275F" w14:paraId="3BA7C49E" w14:textId="13C38354">
      <w:r w:rsidRPr="002438E3">
        <w:t xml:space="preserve">Het kabinet deelt deze mening niet. </w:t>
      </w:r>
      <w:r w:rsidRPr="002438E3" w:rsidR="00277FE0">
        <w:t xml:space="preserve">Het kabinet heeft nu geen reden om aan te nemen dat de businesscase van de HRN-concessie te negatief is. </w:t>
      </w:r>
      <w:r w:rsidRPr="002438E3" w:rsidR="00D8178F">
        <w:t>Z</w:t>
      </w:r>
      <w:r w:rsidRPr="002438E3">
        <w:t>oals in het antwoord op vraag 5 toegelicht</w:t>
      </w:r>
      <w:r w:rsidRPr="002438E3" w:rsidR="00D4731A">
        <w:t xml:space="preserve"> is het (beperkte) operationele resultaat van € 11 miljoen van het NS-concern geen weergave van het financieel resultaat van het vervoer op het hoofdrailnet. De afspraken over de concessiesubsidie </w:t>
      </w:r>
      <w:r w:rsidRPr="002438E3">
        <w:t xml:space="preserve">zijn </w:t>
      </w:r>
      <w:r w:rsidRPr="002438E3" w:rsidR="00D4731A">
        <w:t>v</w:t>
      </w:r>
      <w:r w:rsidRPr="002438E3">
        <w:t xml:space="preserve">oor de hele concessieperiode (2025-2033) gemaakt. </w:t>
      </w:r>
      <w:r w:rsidRPr="002438E3" w:rsidR="00AC3189">
        <w:t xml:space="preserve">Halverwege de concessieperiode in 2029 zal de financiële balans worden geëvalueerd. </w:t>
      </w:r>
      <w:r w:rsidRPr="002438E3">
        <w:t>Het kabinet hecht aan de</w:t>
      </w:r>
      <w:r w:rsidRPr="002438E3" w:rsidR="00AC3189">
        <w:t xml:space="preserve"> met NS</w:t>
      </w:r>
      <w:r w:rsidRPr="002438E3">
        <w:t xml:space="preserve"> gemaakte afspraken</w:t>
      </w:r>
      <w:r w:rsidRPr="002438E3" w:rsidR="0077709F">
        <w:t xml:space="preserve"> en wil de midterm review niet vervroegen</w:t>
      </w:r>
      <w:r w:rsidRPr="002438E3" w:rsidR="00AC3189">
        <w:t>.</w:t>
      </w:r>
    </w:p>
    <w:p w:rsidRPr="002438E3" w:rsidR="0034275F" w:rsidP="002438E3" w:rsidRDefault="0034275F" w14:paraId="4131E76A" w14:textId="77777777"/>
    <w:p w:rsidRPr="002438E3" w:rsidR="0077709F" w:rsidP="002438E3" w:rsidRDefault="0077709F" w14:paraId="4A302483" w14:textId="53C6075D">
      <w:pPr>
        <w:rPr>
          <w:b/>
          <w:bCs/>
        </w:rPr>
      </w:pPr>
      <w:r w:rsidRPr="002438E3">
        <w:rPr>
          <w:b/>
          <w:bCs/>
        </w:rPr>
        <w:t>Vraag 8</w:t>
      </w:r>
    </w:p>
    <w:p w:rsidRPr="002438E3" w:rsidR="0077709F" w:rsidP="002438E3" w:rsidRDefault="0077709F" w14:paraId="2657991B" w14:textId="55D5A42E">
      <w:r w:rsidRPr="002438E3">
        <w:t xml:space="preserve">Herinnert u zich dat u aan de Kamer schreef dat </w:t>
      </w:r>
      <w:r w:rsidRPr="002438E3">
        <w:rPr>
          <w:i/>
          <w:iCs/>
        </w:rPr>
        <w:t>“Uit de businesscase van de nieuwe HRN-concessie, die door NS is opgesteld en door een extern bureaus is gevalideerd, blijkt dat het niet mogelijk is een redelijk rendement te kunnen realiseren als NS een concessievergoeding zou moeten betalen en geen subsidie krijgt.”</w:t>
      </w:r>
      <w:r w:rsidRPr="002438E3">
        <w:t>?</w:t>
      </w:r>
      <w:r w:rsidRPr="002438E3">
        <w:rPr>
          <w:rStyle w:val="FootnoteReference"/>
        </w:rPr>
        <w:footnoteReference w:id="11"/>
      </w:r>
      <w:r w:rsidRPr="002438E3">
        <w:rPr>
          <w:i/>
          <w:iCs/>
        </w:rPr>
        <w:t xml:space="preserve"> </w:t>
      </w:r>
      <w:r w:rsidRPr="002438E3">
        <w:t>Waarom is hier uitgegaan van een door NS zelf opgestelde en voorgelegde businesscase? Deelt u de opvatting dat de businesscase die NS heeft voorgelegd, de zaken kennelijk veel te negatief heeft voorgesteld nu blijkt dat NS nog binnen het eerste concessiejaar winst in plaats van verlies maakt? Hoe kan het dat dit niet gebleken is bij de testen die gedaan zijn en hoe kon dus ook de hierboven gestelde conclusie worden getrokken?</w:t>
      </w:r>
    </w:p>
    <w:p w:rsidRPr="002438E3" w:rsidR="00463A2B" w:rsidP="002438E3" w:rsidRDefault="00463A2B" w14:paraId="0DEF4B24" w14:textId="65398A89">
      <w:pPr>
        <w:rPr>
          <w:b/>
          <w:bCs/>
        </w:rPr>
      </w:pPr>
    </w:p>
    <w:p w:rsidRPr="002438E3" w:rsidR="0077709F" w:rsidP="002438E3" w:rsidRDefault="0077709F" w14:paraId="5CB80159" w14:textId="5326AE08">
      <w:pPr>
        <w:rPr>
          <w:b/>
          <w:bCs/>
        </w:rPr>
      </w:pPr>
      <w:r w:rsidRPr="002438E3">
        <w:rPr>
          <w:b/>
          <w:bCs/>
        </w:rPr>
        <w:t>Antwoord 8</w:t>
      </w:r>
    </w:p>
    <w:p w:rsidRPr="002438E3" w:rsidR="000C75D4" w:rsidP="002438E3" w:rsidRDefault="0077709F" w14:paraId="7C422632" w14:textId="482AAAD7">
      <w:r w:rsidRPr="002438E3">
        <w:t xml:space="preserve">Het is bij concessies in het openbaar vervoer gebruikelijk dat </w:t>
      </w:r>
      <w:r w:rsidRPr="002438E3" w:rsidR="00534B83">
        <w:t>er een businesscase wordt opgesteld op basis van financiële informatie van de vervoerder</w:t>
      </w:r>
      <w:r w:rsidRPr="002438E3">
        <w:t xml:space="preserve">. </w:t>
      </w:r>
      <w:r w:rsidRPr="002438E3" w:rsidR="004A6813">
        <w:t xml:space="preserve">Om een zorgvuldig proces te borgen heeft IenW </w:t>
      </w:r>
      <w:r w:rsidRPr="002438E3" w:rsidR="00D8178F">
        <w:t>de</w:t>
      </w:r>
      <w:r w:rsidRPr="002438E3" w:rsidR="004A6813">
        <w:t xml:space="preserve"> businesscase </w:t>
      </w:r>
      <w:r w:rsidRPr="002438E3" w:rsidR="00D8178F">
        <w:t xml:space="preserve">van de HRN-concessie </w:t>
      </w:r>
      <w:r w:rsidRPr="002438E3" w:rsidR="004A6813">
        <w:t>v</w:t>
      </w:r>
      <w:r w:rsidRPr="002438E3">
        <w:t xml:space="preserve">oorafgaand </w:t>
      </w:r>
      <w:r w:rsidRPr="002438E3" w:rsidR="005266F0">
        <w:t xml:space="preserve">aan de gunning </w:t>
      </w:r>
      <w:r w:rsidRPr="002438E3" w:rsidR="004A6813">
        <w:t>exter</w:t>
      </w:r>
      <w:r w:rsidRPr="002438E3" w:rsidR="005266F0">
        <w:t>n laten valideren.</w:t>
      </w:r>
      <w:r w:rsidRPr="002438E3" w:rsidR="005266F0">
        <w:rPr>
          <w:rStyle w:val="FootnoteReference"/>
        </w:rPr>
        <w:footnoteReference w:id="12"/>
      </w:r>
      <w:r w:rsidRPr="002438E3" w:rsidR="005266F0">
        <w:t xml:space="preserve"> </w:t>
      </w:r>
      <w:r w:rsidRPr="002438E3" w:rsidR="00DC1592">
        <w:t xml:space="preserve">Uit het feit dat </w:t>
      </w:r>
      <w:r w:rsidRPr="002438E3" w:rsidR="00463A2B">
        <w:t xml:space="preserve">het </w:t>
      </w:r>
      <w:r w:rsidRPr="002438E3" w:rsidR="00DC1592">
        <w:t>NS</w:t>
      </w:r>
      <w:r w:rsidRPr="002438E3" w:rsidR="00463A2B">
        <w:t>-concern</w:t>
      </w:r>
      <w:r w:rsidRPr="002438E3" w:rsidR="00DC1592">
        <w:t xml:space="preserve"> in het afgelopen jaar een beperkte operationele winst </w:t>
      </w:r>
      <w:r w:rsidRPr="002438E3" w:rsidR="000C75D4">
        <w:t>heeft geboekt, kan niet geconcludeerd worden dat de businesscase van de HRN-concessie te negatief is</w:t>
      </w:r>
      <w:r w:rsidRPr="002438E3" w:rsidR="00463A2B">
        <w:t xml:space="preserve"> (zie ook het antwoord op vraag 5</w:t>
      </w:r>
      <w:r w:rsidRPr="002438E3" w:rsidR="00C66461">
        <w:t xml:space="preserve"> en 7</w:t>
      </w:r>
      <w:r w:rsidRPr="002438E3" w:rsidR="00463A2B">
        <w:t xml:space="preserve">). </w:t>
      </w:r>
      <w:r w:rsidRPr="002438E3" w:rsidR="000C75D4">
        <w:t>Het kabinet vindt het verstandig om het geheel aan afspraken integraal te evalueren bij de midterm review van de HRN-concessie in 2029.</w:t>
      </w:r>
    </w:p>
    <w:p w:rsidRPr="002438E3" w:rsidR="005266F0" w:rsidP="002438E3" w:rsidRDefault="005266F0" w14:paraId="491551CE" w14:textId="646FFDAF">
      <w:pPr>
        <w:rPr>
          <w:b/>
          <w:bCs/>
        </w:rPr>
      </w:pPr>
    </w:p>
    <w:p w:rsidRPr="002438E3" w:rsidR="005266F0" w:rsidP="002438E3" w:rsidRDefault="005266F0" w14:paraId="71AA9654" w14:textId="3B29AE6D">
      <w:pPr>
        <w:rPr>
          <w:b/>
          <w:bCs/>
        </w:rPr>
      </w:pPr>
      <w:r w:rsidRPr="002438E3">
        <w:rPr>
          <w:b/>
          <w:bCs/>
        </w:rPr>
        <w:t>Vraag 9</w:t>
      </w:r>
    </w:p>
    <w:p w:rsidRPr="002438E3" w:rsidR="005266F0" w:rsidP="002438E3" w:rsidRDefault="005266F0" w14:paraId="163A1EFF" w14:textId="77777777">
      <w:r w:rsidRPr="002438E3">
        <w:t>Bent u bereid om de subsidie voor de HRN-concessie in te trekken? Zo nee, kunt u dan aan Nederland uitleggen hoe het kan dat we naast de enorme prijsstijgingen van treintickets, nu ook nog de komende jaren meer dan 100 miljoen euro aan subsidie moeten betalen voor een bedrijf dat een winstgevend contract voor diezelfde staat moet uitvoeren?</w:t>
      </w:r>
    </w:p>
    <w:p w:rsidRPr="002438E3" w:rsidR="005266F0" w:rsidP="002438E3" w:rsidRDefault="005266F0" w14:paraId="557A1B3B" w14:textId="77777777"/>
    <w:p w:rsidRPr="002438E3" w:rsidR="005266F0" w:rsidP="002438E3" w:rsidRDefault="005266F0" w14:paraId="56BF471C" w14:textId="3CE0DCA3">
      <w:pPr>
        <w:rPr>
          <w:b/>
          <w:bCs/>
        </w:rPr>
      </w:pPr>
      <w:r w:rsidRPr="002438E3">
        <w:rPr>
          <w:b/>
          <w:bCs/>
        </w:rPr>
        <w:t>Antwoord 9</w:t>
      </w:r>
    </w:p>
    <w:p w:rsidRPr="002438E3" w:rsidR="00DF08AB" w:rsidP="002438E3" w:rsidRDefault="00FE0801" w14:paraId="03A494DA" w14:textId="7A567750">
      <w:r w:rsidRPr="002438E3">
        <w:t xml:space="preserve">Het kabinet is niet bereid om de subsidie voor de HRN-concessie op basis van de operationele resultaten van </w:t>
      </w:r>
      <w:r w:rsidRPr="002438E3" w:rsidR="00094429">
        <w:t xml:space="preserve">het </w:t>
      </w:r>
      <w:r w:rsidRPr="002438E3">
        <w:t>NS</w:t>
      </w:r>
      <w:r w:rsidRPr="002438E3" w:rsidR="00094429">
        <w:t>-concern</w:t>
      </w:r>
      <w:r w:rsidRPr="002438E3">
        <w:t xml:space="preserve"> van één boekjaar in te trekken. Als de situatie zich had voorgedaan dat de financiële resultaten van NS</w:t>
      </w:r>
      <w:r w:rsidRPr="002438E3" w:rsidR="00DF08AB">
        <w:t xml:space="preserve"> over 2025</w:t>
      </w:r>
      <w:r w:rsidRPr="002438E3">
        <w:t xml:space="preserve"> zouden tegenvallen ten opzichte van de verwachting, zou dat voor het kabinet </w:t>
      </w:r>
      <w:r w:rsidRPr="002438E3" w:rsidR="00DF08AB">
        <w:t>evenmin</w:t>
      </w:r>
      <w:r w:rsidRPr="002438E3">
        <w:t xml:space="preserve"> een reden zijn geweest om de subsidie te verhogen. Dat zou immers </w:t>
      </w:r>
      <w:r w:rsidRPr="002438E3" w:rsidR="00F36BCB">
        <w:t>de</w:t>
      </w:r>
      <w:r w:rsidRPr="002438E3">
        <w:t xml:space="preserve"> prikkel tot kostenefficiënt werken bij NS weghalen. IenW en NS hebben voorafgaand aan de gunning afspraken gemaakt voor de hele concessieperiode, met een evaluatie van deze afspraken bij de midterm review in 2029. </w:t>
      </w:r>
      <w:r w:rsidRPr="002438E3" w:rsidR="00DF08AB">
        <w:t>De hoogte van de concessiesubsidie is daar onderdeel van.</w:t>
      </w:r>
      <w:r w:rsidRPr="002438E3" w:rsidR="003114DE">
        <w:t xml:space="preserve"> </w:t>
      </w:r>
    </w:p>
    <w:sectPr w:rsidRPr="002438E3" w:rsidR="00DF08A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1C3F2" w14:textId="77777777" w:rsidR="00305DA5" w:rsidRDefault="00305DA5">
      <w:pPr>
        <w:spacing w:line="240" w:lineRule="auto"/>
      </w:pPr>
      <w:r>
        <w:separator/>
      </w:r>
    </w:p>
  </w:endnote>
  <w:endnote w:type="continuationSeparator" w:id="0">
    <w:p w14:paraId="7EC4B069" w14:textId="77777777" w:rsidR="00305DA5" w:rsidRDefault="00305D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MS Gothic"/>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F3FA8" w14:textId="77777777" w:rsidR="003412DB" w:rsidRDefault="00341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8835D" w14:textId="77777777" w:rsidR="003412DB" w:rsidRDefault="00341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1F252" w14:textId="77777777" w:rsidR="003412DB" w:rsidRDefault="00341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3227A" w14:textId="77777777" w:rsidR="00305DA5" w:rsidRDefault="00305DA5">
      <w:pPr>
        <w:spacing w:line="240" w:lineRule="auto"/>
      </w:pPr>
      <w:r>
        <w:separator/>
      </w:r>
    </w:p>
  </w:footnote>
  <w:footnote w:type="continuationSeparator" w:id="0">
    <w:p w14:paraId="2CBE4D49" w14:textId="77777777" w:rsidR="00305DA5" w:rsidRDefault="00305DA5">
      <w:pPr>
        <w:spacing w:line="240" w:lineRule="auto"/>
      </w:pPr>
      <w:r>
        <w:continuationSeparator/>
      </w:r>
    </w:p>
  </w:footnote>
  <w:footnote w:id="1">
    <w:p w14:paraId="14A179EE" w14:textId="7EE43020" w:rsidR="00EF062A" w:rsidRPr="00EF062A" w:rsidRDefault="00EF062A">
      <w:pPr>
        <w:pStyle w:val="FootnoteText"/>
        <w:rPr>
          <w:sz w:val="16"/>
          <w:szCs w:val="16"/>
        </w:rPr>
      </w:pPr>
      <w:r w:rsidRPr="00EF062A">
        <w:rPr>
          <w:rStyle w:val="FootnoteReference"/>
          <w:sz w:val="16"/>
          <w:szCs w:val="16"/>
        </w:rPr>
        <w:footnoteRef/>
      </w:r>
      <w:r w:rsidRPr="00EF062A">
        <w:rPr>
          <w:sz w:val="16"/>
          <w:szCs w:val="16"/>
        </w:rPr>
        <w:t xml:space="preserve"> NRC, 5 maart 2026: </w:t>
      </w:r>
      <w:hyperlink r:id="rId1" w:history="1">
        <w:r w:rsidRPr="00EF062A">
          <w:rPr>
            <w:rStyle w:val="Hyperlink"/>
            <w:sz w:val="16"/>
            <w:szCs w:val="16"/>
          </w:rPr>
          <w:t>NS boekt weer winst – voor het eerst sinds 2019 - NRC</w:t>
        </w:r>
      </w:hyperlink>
      <w:r w:rsidRPr="00EF062A">
        <w:rPr>
          <w:sz w:val="16"/>
          <w:szCs w:val="16"/>
        </w:rPr>
        <w:t>.</w:t>
      </w:r>
    </w:p>
  </w:footnote>
  <w:footnote w:id="2">
    <w:p w14:paraId="3155A114" w14:textId="79C196FC" w:rsidR="00AD4977" w:rsidRPr="004618EF" w:rsidRDefault="00AD4977">
      <w:pPr>
        <w:pStyle w:val="FootnoteText"/>
        <w:rPr>
          <w:sz w:val="16"/>
          <w:szCs w:val="16"/>
        </w:rPr>
      </w:pPr>
      <w:r w:rsidRPr="004618EF">
        <w:rPr>
          <w:rStyle w:val="FootnoteReference"/>
          <w:sz w:val="16"/>
          <w:szCs w:val="16"/>
        </w:rPr>
        <w:footnoteRef/>
      </w:r>
      <w:r w:rsidRPr="004618EF">
        <w:rPr>
          <w:sz w:val="16"/>
          <w:szCs w:val="16"/>
        </w:rPr>
        <w:t xml:space="preserve"> NRC, 5 maart 2026: </w:t>
      </w:r>
      <w:hyperlink r:id="rId2" w:history="1">
        <w:r w:rsidRPr="004618EF">
          <w:rPr>
            <w:rStyle w:val="Hyperlink"/>
            <w:sz w:val="16"/>
            <w:szCs w:val="16"/>
          </w:rPr>
          <w:t>NS boekt weer winst – voor het eerst sinds 2019 - NRC</w:t>
        </w:r>
      </w:hyperlink>
      <w:r w:rsidRPr="004618EF">
        <w:rPr>
          <w:sz w:val="16"/>
          <w:szCs w:val="16"/>
        </w:rPr>
        <w:t>.</w:t>
      </w:r>
    </w:p>
  </w:footnote>
  <w:footnote w:id="3">
    <w:p w14:paraId="539B05B3" w14:textId="37748650" w:rsidR="00AD4977" w:rsidRPr="007D2634" w:rsidRDefault="00AD4977">
      <w:pPr>
        <w:pStyle w:val="FootnoteText"/>
        <w:rPr>
          <w:sz w:val="16"/>
          <w:szCs w:val="16"/>
        </w:rPr>
      </w:pPr>
      <w:r w:rsidRPr="004618EF">
        <w:rPr>
          <w:rStyle w:val="FootnoteReference"/>
          <w:sz w:val="16"/>
          <w:szCs w:val="16"/>
        </w:rPr>
        <w:footnoteRef/>
      </w:r>
      <w:r w:rsidRPr="004618EF">
        <w:rPr>
          <w:sz w:val="16"/>
          <w:szCs w:val="16"/>
        </w:rPr>
        <w:t xml:space="preserve"> NS, 5</w:t>
      </w:r>
      <w:r w:rsidRPr="007D2634">
        <w:rPr>
          <w:sz w:val="16"/>
          <w:szCs w:val="16"/>
        </w:rPr>
        <w:t xml:space="preserve"> maart 2026: NS jaarcijfers 2025: reiziger vaker op tijd, financiën verbeterd.</w:t>
      </w:r>
    </w:p>
  </w:footnote>
  <w:footnote w:id="4">
    <w:p w14:paraId="440583A8" w14:textId="0FEAE9AC" w:rsidR="007D2634" w:rsidRPr="007D2634" w:rsidRDefault="007D2634">
      <w:pPr>
        <w:pStyle w:val="FootnoteText"/>
        <w:rPr>
          <w:sz w:val="16"/>
          <w:szCs w:val="16"/>
        </w:rPr>
      </w:pPr>
      <w:r w:rsidRPr="007D2634">
        <w:rPr>
          <w:rStyle w:val="FootnoteReference"/>
          <w:sz w:val="16"/>
          <w:szCs w:val="16"/>
        </w:rPr>
        <w:footnoteRef/>
      </w:r>
      <w:r w:rsidRPr="007D2634">
        <w:rPr>
          <w:sz w:val="16"/>
          <w:szCs w:val="16"/>
        </w:rPr>
        <w:t xml:space="preserve"> Kamerstuk 29 984, nr. 1126.</w:t>
      </w:r>
    </w:p>
  </w:footnote>
  <w:footnote w:id="5">
    <w:p w14:paraId="24FA93CA" w14:textId="100DE519" w:rsidR="00E449B5" w:rsidRPr="003510E5" w:rsidRDefault="00E449B5">
      <w:pPr>
        <w:pStyle w:val="FootnoteText"/>
        <w:rPr>
          <w:sz w:val="16"/>
          <w:szCs w:val="16"/>
        </w:rPr>
      </w:pPr>
      <w:r w:rsidRPr="003510E5">
        <w:rPr>
          <w:rStyle w:val="FootnoteReference"/>
          <w:sz w:val="16"/>
          <w:szCs w:val="16"/>
        </w:rPr>
        <w:footnoteRef/>
      </w:r>
      <w:r w:rsidRPr="003510E5">
        <w:rPr>
          <w:sz w:val="16"/>
          <w:szCs w:val="16"/>
        </w:rPr>
        <w:t xml:space="preserve"> Kamerstuk 29 984, nr. 1128, p. 5.</w:t>
      </w:r>
    </w:p>
  </w:footnote>
  <w:footnote w:id="6">
    <w:p w14:paraId="6D439DFD" w14:textId="376E8E8F" w:rsidR="0027414E" w:rsidRPr="003510E5" w:rsidRDefault="0027414E">
      <w:pPr>
        <w:pStyle w:val="FootnoteText"/>
        <w:rPr>
          <w:sz w:val="16"/>
          <w:szCs w:val="16"/>
        </w:rPr>
      </w:pPr>
      <w:r w:rsidRPr="003510E5">
        <w:rPr>
          <w:rStyle w:val="FootnoteReference"/>
          <w:sz w:val="16"/>
          <w:szCs w:val="16"/>
        </w:rPr>
        <w:footnoteRef/>
      </w:r>
      <w:r w:rsidRPr="003510E5">
        <w:rPr>
          <w:sz w:val="16"/>
          <w:szCs w:val="16"/>
        </w:rPr>
        <w:t xml:space="preserve"> </w:t>
      </w:r>
      <w:r w:rsidR="002F66AD" w:rsidRPr="003510E5">
        <w:rPr>
          <w:sz w:val="16"/>
          <w:szCs w:val="16"/>
        </w:rPr>
        <w:t>Verordening (EG) nr. 1370/2007 van het Europees Parlement en de Raad van 23 oktober 2007 betreffende het openbaar personenvervoer per spoor en over de weg en tot intrekking van Verordening (EEG) nr. 1191/69 van de Raad en Verordening (EEG) nr. 1107/70 van de Raad.</w:t>
      </w:r>
    </w:p>
  </w:footnote>
  <w:footnote w:id="7">
    <w:p w14:paraId="6CB64473" w14:textId="79F41A57" w:rsidR="003510E5" w:rsidRDefault="003510E5">
      <w:pPr>
        <w:pStyle w:val="FootnoteText"/>
      </w:pPr>
      <w:r w:rsidRPr="003510E5">
        <w:rPr>
          <w:rStyle w:val="FootnoteReference"/>
          <w:sz w:val="16"/>
          <w:szCs w:val="16"/>
        </w:rPr>
        <w:footnoteRef/>
      </w:r>
      <w:r w:rsidRPr="003510E5">
        <w:rPr>
          <w:sz w:val="16"/>
          <w:szCs w:val="16"/>
        </w:rPr>
        <w:t xml:space="preserve"> Op grond van de PSO-Verordening voert NS een gescheiden boekhouding tussen concessieactiviteiten en andere bedrijfsactiviteiten. De Kamer is hier op 13 februari 2025 nader over geïnformeerd (Kamerstuk 29 984, nr. 1231).</w:t>
      </w:r>
      <w:r w:rsidR="00B612C5">
        <w:rPr>
          <w:sz w:val="16"/>
          <w:szCs w:val="16"/>
        </w:rPr>
        <w:t xml:space="preserve"> Zie ook Kamerstuk 29 984, nr. 1267.</w:t>
      </w:r>
    </w:p>
  </w:footnote>
  <w:footnote w:id="8">
    <w:p w14:paraId="7E08E0A6" w14:textId="7874094F" w:rsidR="0034275F" w:rsidRPr="0077709F" w:rsidRDefault="0034275F">
      <w:pPr>
        <w:pStyle w:val="FootnoteText"/>
        <w:rPr>
          <w:b/>
          <w:bCs/>
          <w:sz w:val="16"/>
          <w:szCs w:val="16"/>
        </w:rPr>
      </w:pPr>
      <w:r w:rsidRPr="0027414E">
        <w:rPr>
          <w:rStyle w:val="FootnoteReference"/>
          <w:sz w:val="16"/>
          <w:szCs w:val="16"/>
        </w:rPr>
        <w:footnoteRef/>
      </w:r>
      <w:r w:rsidRPr="0027414E">
        <w:rPr>
          <w:sz w:val="16"/>
          <w:szCs w:val="16"/>
        </w:rPr>
        <w:t xml:space="preserve"> Zie Kamerstuk 29 984, nr. 1176 en de bijlage “Samenvattende rapportage financiële onderzoeken in 2023”.</w:t>
      </w:r>
    </w:p>
  </w:footnote>
  <w:footnote w:id="9">
    <w:p w14:paraId="54132EE5" w14:textId="69C40C97" w:rsidR="0034275F" w:rsidRDefault="0034275F">
      <w:pPr>
        <w:pStyle w:val="FootnoteText"/>
      </w:pPr>
      <w:r w:rsidRPr="0077709F">
        <w:rPr>
          <w:rStyle w:val="FootnoteReference"/>
          <w:sz w:val="16"/>
          <w:szCs w:val="16"/>
        </w:rPr>
        <w:footnoteRef/>
      </w:r>
      <w:r w:rsidRPr="0077709F">
        <w:rPr>
          <w:sz w:val="16"/>
          <w:szCs w:val="16"/>
        </w:rPr>
        <w:t xml:space="preserve"> Kamerstuk 29 984, nr. 1176, bijlage 'Concessie voor het Hoofdrailnet 2025-2033'.</w:t>
      </w:r>
    </w:p>
  </w:footnote>
  <w:footnote w:id="10">
    <w:p w14:paraId="148323A8" w14:textId="453585FD" w:rsidR="0034275F" w:rsidRPr="005266F0" w:rsidRDefault="0034275F">
      <w:pPr>
        <w:pStyle w:val="FootnoteText"/>
        <w:rPr>
          <w:sz w:val="16"/>
          <w:szCs w:val="16"/>
        </w:rPr>
      </w:pPr>
      <w:r w:rsidRPr="005266F0">
        <w:rPr>
          <w:rStyle w:val="FootnoteReference"/>
          <w:sz w:val="16"/>
          <w:szCs w:val="16"/>
        </w:rPr>
        <w:footnoteRef/>
      </w:r>
      <w:r w:rsidRPr="005266F0">
        <w:rPr>
          <w:sz w:val="16"/>
          <w:szCs w:val="16"/>
        </w:rPr>
        <w:t xml:space="preserve"> Kamerstuk 29 984, nr. 1176, bijlage 'Concessie voor het Hoofdrailnet 2025-2033'.</w:t>
      </w:r>
    </w:p>
  </w:footnote>
  <w:footnote w:id="11">
    <w:p w14:paraId="7AE06E3B" w14:textId="6B574E8C" w:rsidR="0077709F" w:rsidRPr="005266F0" w:rsidRDefault="0077709F">
      <w:pPr>
        <w:pStyle w:val="FootnoteText"/>
        <w:rPr>
          <w:sz w:val="16"/>
          <w:szCs w:val="16"/>
        </w:rPr>
      </w:pPr>
      <w:r w:rsidRPr="005266F0">
        <w:rPr>
          <w:rStyle w:val="FootnoteReference"/>
          <w:sz w:val="16"/>
          <w:szCs w:val="16"/>
        </w:rPr>
        <w:footnoteRef/>
      </w:r>
      <w:r w:rsidRPr="005266F0">
        <w:rPr>
          <w:sz w:val="16"/>
          <w:szCs w:val="16"/>
        </w:rPr>
        <w:t xml:space="preserve"> Kamerstuk 29 984, nr. 1128, p. 3.</w:t>
      </w:r>
    </w:p>
  </w:footnote>
  <w:footnote w:id="12">
    <w:p w14:paraId="5B0B8AF5" w14:textId="2D42B06E" w:rsidR="005266F0" w:rsidRDefault="005266F0">
      <w:pPr>
        <w:pStyle w:val="FootnoteText"/>
      </w:pPr>
      <w:r w:rsidRPr="005266F0">
        <w:rPr>
          <w:rStyle w:val="FootnoteReference"/>
          <w:sz w:val="16"/>
          <w:szCs w:val="16"/>
        </w:rPr>
        <w:footnoteRef/>
      </w:r>
      <w:r w:rsidRPr="005266F0">
        <w:rPr>
          <w:sz w:val="16"/>
          <w:szCs w:val="16"/>
        </w:rPr>
        <w:t xml:space="preserve"> Zie Kamerstuk 29 984, nr. 1176 en de bijlage “Samenvattende rapportage financiële onderzoeken in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7581D" w14:textId="77777777" w:rsidR="003412DB" w:rsidRDefault="00341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D4DB9" w14:textId="77777777" w:rsidR="00F21CEB" w:rsidRDefault="005F0262">
    <w:r>
      <w:rPr>
        <w:noProof/>
        <w:lang w:val="en-GB" w:eastAsia="en-GB"/>
      </w:rPr>
      <mc:AlternateContent>
        <mc:Choice Requires="wps">
          <w:drawing>
            <wp:anchor distT="0" distB="0" distL="0" distR="0" simplePos="0" relativeHeight="251651584" behindDoc="0" locked="1" layoutInCell="1" allowOverlap="1" wp14:anchorId="023387A8" wp14:editId="0DE7DD33">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59D30D9" w14:textId="77777777" w:rsidR="00F21CEB" w:rsidRDefault="005F0262">
                          <w:pPr>
                            <w:pStyle w:val="AfzendgegevensKop0"/>
                          </w:pPr>
                          <w:r>
                            <w:t>Ministerie van Infrastructuur en Waterstaat</w:t>
                          </w:r>
                        </w:p>
                        <w:p w14:paraId="6A67C740" w14:textId="77777777" w:rsidR="00F21CEB" w:rsidRDefault="00F21CEB">
                          <w:pPr>
                            <w:pStyle w:val="WitregelW2"/>
                          </w:pPr>
                        </w:p>
                        <w:p w14:paraId="2A53DAF6" w14:textId="77777777" w:rsidR="00F21CEB" w:rsidRDefault="005F0262">
                          <w:pPr>
                            <w:pStyle w:val="Referentiegegevenskop"/>
                          </w:pPr>
                          <w:r>
                            <w:t>Ons kenmerk</w:t>
                          </w:r>
                        </w:p>
                        <w:p w14:paraId="7B32DC5B" w14:textId="77777777" w:rsidR="003D28E7" w:rsidRDefault="003D28E7" w:rsidP="003D28E7">
                          <w:pPr>
                            <w:pStyle w:val="Referentiegegevens"/>
                          </w:pPr>
                          <w:r>
                            <w:t>IENW/BSK-2026/44372</w:t>
                          </w:r>
                        </w:p>
                        <w:p w14:paraId="6E03DABE" w14:textId="682F573E" w:rsidR="00F21CEB" w:rsidRDefault="00F21CEB" w:rsidP="003D28E7">
                          <w:pPr>
                            <w:pStyle w:val="Referentiegegevens"/>
                          </w:pPr>
                        </w:p>
                      </w:txbxContent>
                    </wps:txbx>
                    <wps:bodyPr vert="horz" wrap="square" lIns="0" tIns="0" rIns="0" bIns="0" anchor="t" anchorCtr="0"/>
                  </wps:wsp>
                </a:graphicData>
              </a:graphic>
            </wp:anchor>
          </w:drawing>
        </mc:Choice>
        <mc:Fallback>
          <w:pict>
            <v:shapetype w14:anchorId="023387A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59D30D9" w14:textId="77777777" w:rsidR="00F21CEB" w:rsidRDefault="005F0262">
                    <w:pPr>
                      <w:pStyle w:val="AfzendgegevensKop0"/>
                    </w:pPr>
                    <w:r>
                      <w:t>Ministerie van Infrastructuur en Waterstaat</w:t>
                    </w:r>
                  </w:p>
                  <w:p w14:paraId="6A67C740" w14:textId="77777777" w:rsidR="00F21CEB" w:rsidRDefault="00F21CEB">
                    <w:pPr>
                      <w:pStyle w:val="WitregelW2"/>
                    </w:pPr>
                  </w:p>
                  <w:p w14:paraId="2A53DAF6" w14:textId="77777777" w:rsidR="00F21CEB" w:rsidRDefault="005F0262">
                    <w:pPr>
                      <w:pStyle w:val="Referentiegegevenskop"/>
                    </w:pPr>
                    <w:r>
                      <w:t>Ons kenmerk</w:t>
                    </w:r>
                  </w:p>
                  <w:p w14:paraId="7B32DC5B" w14:textId="77777777" w:rsidR="003D28E7" w:rsidRDefault="003D28E7" w:rsidP="003D28E7">
                    <w:pPr>
                      <w:pStyle w:val="Referentiegegevens"/>
                    </w:pPr>
                    <w:r>
                      <w:t>IENW/BSK-2026/44372</w:t>
                    </w:r>
                  </w:p>
                  <w:p w14:paraId="6E03DABE" w14:textId="682F573E" w:rsidR="00F21CEB" w:rsidRDefault="00F21CEB" w:rsidP="003D28E7">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31DA49B" wp14:editId="734085D4">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87F3A9" w14:textId="77777777" w:rsidR="00F21CEB" w:rsidRDefault="005F0262">
                          <w:pPr>
                            <w:pStyle w:val="Referentiegegevens"/>
                          </w:pPr>
                          <w:r>
                            <w:t xml:space="preserve">Page </w:t>
                          </w:r>
                          <w:r>
                            <w:fldChar w:fldCharType="begin"/>
                          </w:r>
                          <w:r>
                            <w:instrText>PAGE</w:instrText>
                          </w:r>
                          <w:r>
                            <w:fldChar w:fldCharType="separate"/>
                          </w:r>
                          <w:r w:rsidR="00EF062A">
                            <w:rPr>
                              <w:noProof/>
                            </w:rPr>
                            <w:t>1</w:t>
                          </w:r>
                          <w:r>
                            <w:fldChar w:fldCharType="end"/>
                          </w:r>
                          <w:r>
                            <w:t xml:space="preserve"> of </w:t>
                          </w:r>
                          <w:r>
                            <w:fldChar w:fldCharType="begin"/>
                          </w:r>
                          <w:r>
                            <w:instrText>NUMPAGES</w:instrText>
                          </w:r>
                          <w:r>
                            <w:fldChar w:fldCharType="separate"/>
                          </w:r>
                          <w:r w:rsidR="00EF062A">
                            <w:rPr>
                              <w:noProof/>
                            </w:rPr>
                            <w:t>1</w:t>
                          </w:r>
                          <w:r>
                            <w:fldChar w:fldCharType="end"/>
                          </w:r>
                        </w:p>
                      </w:txbxContent>
                    </wps:txbx>
                    <wps:bodyPr vert="horz" wrap="square" lIns="0" tIns="0" rIns="0" bIns="0" anchor="t" anchorCtr="0"/>
                  </wps:wsp>
                </a:graphicData>
              </a:graphic>
            </wp:anchor>
          </w:drawing>
        </mc:Choice>
        <mc:Fallback>
          <w:pict>
            <v:shape w14:anchorId="131DA49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E87F3A9" w14:textId="77777777" w:rsidR="00F21CEB" w:rsidRDefault="005F0262">
                    <w:pPr>
                      <w:pStyle w:val="Referentiegegevens"/>
                    </w:pPr>
                    <w:r>
                      <w:t xml:space="preserve">Page </w:t>
                    </w:r>
                    <w:r>
                      <w:fldChar w:fldCharType="begin"/>
                    </w:r>
                    <w:r>
                      <w:instrText>PAGE</w:instrText>
                    </w:r>
                    <w:r>
                      <w:fldChar w:fldCharType="separate"/>
                    </w:r>
                    <w:r w:rsidR="00EF062A">
                      <w:rPr>
                        <w:noProof/>
                      </w:rPr>
                      <w:t>1</w:t>
                    </w:r>
                    <w:r>
                      <w:fldChar w:fldCharType="end"/>
                    </w:r>
                    <w:r>
                      <w:t xml:space="preserve"> of </w:t>
                    </w:r>
                    <w:r>
                      <w:fldChar w:fldCharType="begin"/>
                    </w:r>
                    <w:r>
                      <w:instrText>NUMPAGES</w:instrText>
                    </w:r>
                    <w:r>
                      <w:fldChar w:fldCharType="separate"/>
                    </w:r>
                    <w:r w:rsidR="00EF062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D5B06B6" wp14:editId="781D2EC8">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C7E11A5" w14:textId="77777777" w:rsidR="00B00BF3" w:rsidRDefault="00B00BF3"/>
                      </w:txbxContent>
                    </wps:txbx>
                    <wps:bodyPr vert="horz" wrap="square" lIns="0" tIns="0" rIns="0" bIns="0" anchor="t" anchorCtr="0"/>
                  </wps:wsp>
                </a:graphicData>
              </a:graphic>
            </wp:anchor>
          </w:drawing>
        </mc:Choice>
        <mc:Fallback>
          <w:pict>
            <v:shape w14:anchorId="0D5B06B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C7E11A5" w14:textId="77777777" w:rsidR="00B00BF3" w:rsidRDefault="00B00BF3"/>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298B77A" wp14:editId="07C390E0">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34D7FB" w14:textId="77777777" w:rsidR="00B00BF3" w:rsidRDefault="00B00BF3"/>
                      </w:txbxContent>
                    </wps:txbx>
                    <wps:bodyPr vert="horz" wrap="square" lIns="0" tIns="0" rIns="0" bIns="0" anchor="t" anchorCtr="0"/>
                  </wps:wsp>
                </a:graphicData>
              </a:graphic>
            </wp:anchor>
          </w:drawing>
        </mc:Choice>
        <mc:Fallback>
          <w:pict>
            <v:shape w14:anchorId="1298B77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834D7FB" w14:textId="77777777" w:rsidR="00B00BF3" w:rsidRDefault="00B00BF3"/>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55FBA" w14:textId="77777777" w:rsidR="00F21CEB" w:rsidRDefault="005F026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49994C6" wp14:editId="42ED60FF">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6C087CE" w14:textId="77777777" w:rsidR="00B00BF3" w:rsidRDefault="00B00BF3"/>
                      </w:txbxContent>
                    </wps:txbx>
                    <wps:bodyPr vert="horz" wrap="square" lIns="0" tIns="0" rIns="0" bIns="0" anchor="t" anchorCtr="0"/>
                  </wps:wsp>
                </a:graphicData>
              </a:graphic>
            </wp:anchor>
          </w:drawing>
        </mc:Choice>
        <mc:Fallback>
          <w:pict>
            <v:shapetype w14:anchorId="749994C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6C087CE" w14:textId="77777777" w:rsidR="00B00BF3" w:rsidRDefault="00B00BF3"/>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7AEF439" wp14:editId="7DDC0386">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065C65" w14:textId="7E2FAEB7" w:rsidR="00F21CEB" w:rsidRDefault="005F0262">
                          <w:pPr>
                            <w:pStyle w:val="Referentiegegevens"/>
                          </w:pPr>
                          <w:r>
                            <w:t xml:space="preserve">Page </w:t>
                          </w:r>
                          <w:r>
                            <w:fldChar w:fldCharType="begin"/>
                          </w:r>
                          <w:r>
                            <w:instrText>PAGE</w:instrText>
                          </w:r>
                          <w:r>
                            <w:fldChar w:fldCharType="separate"/>
                          </w:r>
                          <w:r w:rsidR="00C8782D">
                            <w:rPr>
                              <w:noProof/>
                            </w:rPr>
                            <w:t>1</w:t>
                          </w:r>
                          <w:r>
                            <w:fldChar w:fldCharType="end"/>
                          </w:r>
                          <w:r>
                            <w:t xml:space="preserve"> of </w:t>
                          </w:r>
                          <w:r>
                            <w:fldChar w:fldCharType="begin"/>
                          </w:r>
                          <w:r>
                            <w:instrText>NUMPAGES</w:instrText>
                          </w:r>
                          <w:r>
                            <w:fldChar w:fldCharType="separate"/>
                          </w:r>
                          <w:r w:rsidR="00C8782D">
                            <w:rPr>
                              <w:noProof/>
                            </w:rPr>
                            <w:t>1</w:t>
                          </w:r>
                          <w:r>
                            <w:fldChar w:fldCharType="end"/>
                          </w:r>
                        </w:p>
                      </w:txbxContent>
                    </wps:txbx>
                    <wps:bodyPr vert="horz" wrap="square" lIns="0" tIns="0" rIns="0" bIns="0" anchor="t" anchorCtr="0"/>
                  </wps:wsp>
                </a:graphicData>
              </a:graphic>
            </wp:anchor>
          </w:drawing>
        </mc:Choice>
        <mc:Fallback>
          <w:pict>
            <v:shape w14:anchorId="27AEF43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B065C65" w14:textId="7E2FAEB7" w:rsidR="00F21CEB" w:rsidRDefault="005F0262">
                    <w:pPr>
                      <w:pStyle w:val="Referentiegegevens"/>
                    </w:pPr>
                    <w:r>
                      <w:t xml:space="preserve">Page </w:t>
                    </w:r>
                    <w:r>
                      <w:fldChar w:fldCharType="begin"/>
                    </w:r>
                    <w:r>
                      <w:instrText>PAGE</w:instrText>
                    </w:r>
                    <w:r>
                      <w:fldChar w:fldCharType="separate"/>
                    </w:r>
                    <w:r w:rsidR="00C8782D">
                      <w:rPr>
                        <w:noProof/>
                      </w:rPr>
                      <w:t>1</w:t>
                    </w:r>
                    <w:r>
                      <w:fldChar w:fldCharType="end"/>
                    </w:r>
                    <w:r>
                      <w:t xml:space="preserve"> of </w:t>
                    </w:r>
                    <w:r>
                      <w:fldChar w:fldCharType="begin"/>
                    </w:r>
                    <w:r>
                      <w:instrText>NUMPAGES</w:instrText>
                    </w:r>
                    <w:r>
                      <w:fldChar w:fldCharType="separate"/>
                    </w:r>
                    <w:r w:rsidR="00C8782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C801D31" wp14:editId="59ECE832">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30986DD" w14:textId="77777777" w:rsidR="00F21CEB" w:rsidRDefault="005F0262">
                          <w:pPr>
                            <w:pStyle w:val="AfzendgegevensKop0"/>
                          </w:pPr>
                          <w:r>
                            <w:t>Ministerie van Infrastructuur en Waterstaat</w:t>
                          </w:r>
                        </w:p>
                        <w:p w14:paraId="3F87A3BA" w14:textId="77777777" w:rsidR="00F21CEB" w:rsidRDefault="00F21CEB">
                          <w:pPr>
                            <w:pStyle w:val="WitregelW1"/>
                          </w:pPr>
                        </w:p>
                        <w:p w14:paraId="51A0EF6F" w14:textId="77777777" w:rsidR="00F21CEB" w:rsidRDefault="005F0262">
                          <w:pPr>
                            <w:pStyle w:val="Afzendgegevens"/>
                          </w:pPr>
                          <w:r>
                            <w:t>Rijnstraat 8</w:t>
                          </w:r>
                        </w:p>
                        <w:p w14:paraId="260E5F80" w14:textId="77777777" w:rsidR="00F21CEB" w:rsidRPr="00EF062A" w:rsidRDefault="005F0262">
                          <w:pPr>
                            <w:pStyle w:val="Afzendgegevens"/>
                            <w:rPr>
                              <w:lang w:val="de-DE"/>
                            </w:rPr>
                          </w:pPr>
                          <w:r w:rsidRPr="00EF062A">
                            <w:rPr>
                              <w:lang w:val="de-DE"/>
                            </w:rPr>
                            <w:t>2515 XP  Den Haag</w:t>
                          </w:r>
                        </w:p>
                        <w:p w14:paraId="107273BD" w14:textId="77777777" w:rsidR="00F21CEB" w:rsidRPr="00EF062A" w:rsidRDefault="005F0262">
                          <w:pPr>
                            <w:pStyle w:val="Afzendgegevens"/>
                            <w:rPr>
                              <w:lang w:val="de-DE"/>
                            </w:rPr>
                          </w:pPr>
                          <w:r w:rsidRPr="00EF062A">
                            <w:rPr>
                              <w:lang w:val="de-DE"/>
                            </w:rPr>
                            <w:t>Postbus 20901</w:t>
                          </w:r>
                        </w:p>
                        <w:p w14:paraId="11CEE305" w14:textId="77777777" w:rsidR="00F21CEB" w:rsidRPr="00EF062A" w:rsidRDefault="005F0262">
                          <w:pPr>
                            <w:pStyle w:val="Afzendgegevens"/>
                            <w:rPr>
                              <w:lang w:val="de-DE"/>
                            </w:rPr>
                          </w:pPr>
                          <w:r w:rsidRPr="00EF062A">
                            <w:rPr>
                              <w:lang w:val="de-DE"/>
                            </w:rPr>
                            <w:t>2500 EX Den Haag</w:t>
                          </w:r>
                        </w:p>
                        <w:p w14:paraId="48E7E3A0" w14:textId="77777777" w:rsidR="00F21CEB" w:rsidRPr="00EF062A" w:rsidRDefault="00F21CEB">
                          <w:pPr>
                            <w:pStyle w:val="WitregelW1"/>
                            <w:rPr>
                              <w:lang w:val="de-DE"/>
                            </w:rPr>
                          </w:pPr>
                        </w:p>
                        <w:p w14:paraId="03143C6F" w14:textId="77777777" w:rsidR="00F21CEB" w:rsidRPr="00EF062A" w:rsidRDefault="005F0262">
                          <w:pPr>
                            <w:pStyle w:val="Afzendgegevens"/>
                            <w:rPr>
                              <w:lang w:val="de-DE"/>
                            </w:rPr>
                          </w:pPr>
                          <w:r w:rsidRPr="00EF062A">
                            <w:rPr>
                              <w:lang w:val="de-DE"/>
                            </w:rPr>
                            <w:t>T   070-456 0000</w:t>
                          </w:r>
                        </w:p>
                        <w:p w14:paraId="3A5F107E" w14:textId="77777777" w:rsidR="00F21CEB" w:rsidRDefault="005F0262">
                          <w:pPr>
                            <w:pStyle w:val="Afzendgegevens"/>
                          </w:pPr>
                          <w:r>
                            <w:t>F   070-456 1111</w:t>
                          </w:r>
                        </w:p>
                        <w:p w14:paraId="6C088505" w14:textId="77777777" w:rsidR="00F21CEB" w:rsidRPr="004E4F6E" w:rsidRDefault="00F21CEB" w:rsidP="004E4F6E">
                          <w:pPr>
                            <w:pStyle w:val="WitregelW2"/>
                            <w:spacing w:line="276" w:lineRule="auto"/>
                            <w:rPr>
                              <w:sz w:val="13"/>
                              <w:szCs w:val="13"/>
                            </w:rPr>
                          </w:pPr>
                        </w:p>
                        <w:p w14:paraId="1DE3FA18" w14:textId="77777777" w:rsidR="00F21CEB" w:rsidRPr="004E4F6E" w:rsidRDefault="005F0262" w:rsidP="004E4F6E">
                          <w:pPr>
                            <w:pStyle w:val="Referentiegegevenskop"/>
                            <w:spacing w:line="276" w:lineRule="auto"/>
                          </w:pPr>
                          <w:r w:rsidRPr="004E4F6E">
                            <w:t>Ons kenmerk</w:t>
                          </w:r>
                        </w:p>
                        <w:p w14:paraId="4DFE2623" w14:textId="57598ED8" w:rsidR="00F21CEB" w:rsidRPr="004E4F6E" w:rsidRDefault="003D28E7" w:rsidP="004E4F6E">
                          <w:pPr>
                            <w:pStyle w:val="Referentiegegevens"/>
                            <w:spacing w:line="276" w:lineRule="auto"/>
                          </w:pPr>
                          <w:r w:rsidRPr="004E4F6E">
                            <w:t>IENW/BSK-2026/44372</w:t>
                          </w:r>
                        </w:p>
                        <w:p w14:paraId="2DE352B2" w14:textId="77777777" w:rsidR="00FA7DDE" w:rsidRPr="004E4F6E" w:rsidRDefault="00FA7DDE" w:rsidP="004E4F6E">
                          <w:pPr>
                            <w:spacing w:line="276" w:lineRule="auto"/>
                            <w:rPr>
                              <w:sz w:val="13"/>
                              <w:szCs w:val="13"/>
                            </w:rPr>
                          </w:pPr>
                        </w:p>
                        <w:p w14:paraId="5AEA4A23" w14:textId="105C7B69" w:rsidR="00FA7DDE" w:rsidRPr="004E4F6E" w:rsidRDefault="00FA7DDE" w:rsidP="004E4F6E">
                          <w:pPr>
                            <w:spacing w:line="276" w:lineRule="auto"/>
                            <w:rPr>
                              <w:b/>
                              <w:bCs/>
                              <w:sz w:val="13"/>
                              <w:szCs w:val="13"/>
                            </w:rPr>
                          </w:pPr>
                          <w:r w:rsidRPr="004E4F6E">
                            <w:rPr>
                              <w:b/>
                              <w:bCs/>
                              <w:sz w:val="13"/>
                              <w:szCs w:val="13"/>
                            </w:rPr>
                            <w:t>Uw kenmerk</w:t>
                          </w:r>
                        </w:p>
                        <w:p w14:paraId="0FB7FE73" w14:textId="2640742C" w:rsidR="00FA7DDE" w:rsidRPr="004E4F6E" w:rsidRDefault="00FA7DDE" w:rsidP="004E4F6E">
                          <w:pPr>
                            <w:spacing w:line="276" w:lineRule="auto"/>
                            <w:rPr>
                              <w:sz w:val="13"/>
                              <w:szCs w:val="13"/>
                            </w:rPr>
                          </w:pPr>
                          <w:r w:rsidRPr="004E4F6E">
                            <w:rPr>
                              <w:sz w:val="13"/>
                              <w:szCs w:val="13"/>
                            </w:rPr>
                            <w:t>2026Z04547</w:t>
                          </w:r>
                        </w:p>
                        <w:p w14:paraId="2A09E821" w14:textId="77777777" w:rsidR="00F21CEB" w:rsidRPr="004E4F6E" w:rsidRDefault="00F21CEB" w:rsidP="004E4F6E">
                          <w:pPr>
                            <w:pStyle w:val="WitregelW1"/>
                            <w:spacing w:line="276" w:lineRule="auto"/>
                            <w:rPr>
                              <w:sz w:val="13"/>
                              <w:szCs w:val="13"/>
                            </w:rPr>
                          </w:pPr>
                        </w:p>
                        <w:p w14:paraId="591B048A" w14:textId="77777777" w:rsidR="00F21CEB" w:rsidRPr="004E4F6E" w:rsidRDefault="005F0262" w:rsidP="004E4F6E">
                          <w:pPr>
                            <w:pStyle w:val="Referentiegegevenskop"/>
                            <w:spacing w:line="276" w:lineRule="auto"/>
                          </w:pPr>
                          <w:r w:rsidRPr="004E4F6E">
                            <w:t>Bijlage(n)</w:t>
                          </w:r>
                        </w:p>
                        <w:p w14:paraId="7C8A1811" w14:textId="77777777" w:rsidR="00F21CEB" w:rsidRPr="004E4F6E" w:rsidRDefault="005F0262" w:rsidP="004E4F6E">
                          <w:pPr>
                            <w:pStyle w:val="Referentiegegevens"/>
                            <w:spacing w:line="276" w:lineRule="auto"/>
                          </w:pPr>
                          <w:r w:rsidRPr="004E4F6E">
                            <w:t>1</w:t>
                          </w:r>
                        </w:p>
                      </w:txbxContent>
                    </wps:txbx>
                    <wps:bodyPr vert="horz" wrap="square" lIns="0" tIns="0" rIns="0" bIns="0" anchor="t" anchorCtr="0"/>
                  </wps:wsp>
                </a:graphicData>
              </a:graphic>
            </wp:anchor>
          </w:drawing>
        </mc:Choice>
        <mc:Fallback>
          <w:pict>
            <v:shape w14:anchorId="7C801D3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30986DD" w14:textId="77777777" w:rsidR="00F21CEB" w:rsidRDefault="005F0262">
                    <w:pPr>
                      <w:pStyle w:val="AfzendgegevensKop0"/>
                    </w:pPr>
                    <w:r>
                      <w:t>Ministerie van Infrastructuur en Waterstaat</w:t>
                    </w:r>
                  </w:p>
                  <w:p w14:paraId="3F87A3BA" w14:textId="77777777" w:rsidR="00F21CEB" w:rsidRDefault="00F21CEB">
                    <w:pPr>
                      <w:pStyle w:val="WitregelW1"/>
                    </w:pPr>
                  </w:p>
                  <w:p w14:paraId="51A0EF6F" w14:textId="77777777" w:rsidR="00F21CEB" w:rsidRDefault="005F0262">
                    <w:pPr>
                      <w:pStyle w:val="Afzendgegevens"/>
                    </w:pPr>
                    <w:r>
                      <w:t>Rijnstraat 8</w:t>
                    </w:r>
                  </w:p>
                  <w:p w14:paraId="260E5F80" w14:textId="77777777" w:rsidR="00F21CEB" w:rsidRPr="00EF062A" w:rsidRDefault="005F0262">
                    <w:pPr>
                      <w:pStyle w:val="Afzendgegevens"/>
                      <w:rPr>
                        <w:lang w:val="de-DE"/>
                      </w:rPr>
                    </w:pPr>
                    <w:r w:rsidRPr="00EF062A">
                      <w:rPr>
                        <w:lang w:val="de-DE"/>
                      </w:rPr>
                      <w:t>2515 XP  Den Haag</w:t>
                    </w:r>
                  </w:p>
                  <w:p w14:paraId="107273BD" w14:textId="77777777" w:rsidR="00F21CEB" w:rsidRPr="00EF062A" w:rsidRDefault="005F0262">
                    <w:pPr>
                      <w:pStyle w:val="Afzendgegevens"/>
                      <w:rPr>
                        <w:lang w:val="de-DE"/>
                      </w:rPr>
                    </w:pPr>
                    <w:r w:rsidRPr="00EF062A">
                      <w:rPr>
                        <w:lang w:val="de-DE"/>
                      </w:rPr>
                      <w:t>Postbus 20901</w:t>
                    </w:r>
                  </w:p>
                  <w:p w14:paraId="11CEE305" w14:textId="77777777" w:rsidR="00F21CEB" w:rsidRPr="00EF062A" w:rsidRDefault="005F0262">
                    <w:pPr>
                      <w:pStyle w:val="Afzendgegevens"/>
                      <w:rPr>
                        <w:lang w:val="de-DE"/>
                      </w:rPr>
                    </w:pPr>
                    <w:r w:rsidRPr="00EF062A">
                      <w:rPr>
                        <w:lang w:val="de-DE"/>
                      </w:rPr>
                      <w:t>2500 EX Den Haag</w:t>
                    </w:r>
                  </w:p>
                  <w:p w14:paraId="48E7E3A0" w14:textId="77777777" w:rsidR="00F21CEB" w:rsidRPr="00EF062A" w:rsidRDefault="00F21CEB">
                    <w:pPr>
                      <w:pStyle w:val="WitregelW1"/>
                      <w:rPr>
                        <w:lang w:val="de-DE"/>
                      </w:rPr>
                    </w:pPr>
                  </w:p>
                  <w:p w14:paraId="03143C6F" w14:textId="77777777" w:rsidR="00F21CEB" w:rsidRPr="00EF062A" w:rsidRDefault="005F0262">
                    <w:pPr>
                      <w:pStyle w:val="Afzendgegevens"/>
                      <w:rPr>
                        <w:lang w:val="de-DE"/>
                      </w:rPr>
                    </w:pPr>
                    <w:r w:rsidRPr="00EF062A">
                      <w:rPr>
                        <w:lang w:val="de-DE"/>
                      </w:rPr>
                      <w:t>T   070-456 0000</w:t>
                    </w:r>
                  </w:p>
                  <w:p w14:paraId="3A5F107E" w14:textId="77777777" w:rsidR="00F21CEB" w:rsidRDefault="005F0262">
                    <w:pPr>
                      <w:pStyle w:val="Afzendgegevens"/>
                    </w:pPr>
                    <w:r>
                      <w:t>F   070-456 1111</w:t>
                    </w:r>
                  </w:p>
                  <w:p w14:paraId="6C088505" w14:textId="77777777" w:rsidR="00F21CEB" w:rsidRPr="004E4F6E" w:rsidRDefault="00F21CEB" w:rsidP="004E4F6E">
                    <w:pPr>
                      <w:pStyle w:val="WitregelW2"/>
                      <w:spacing w:line="276" w:lineRule="auto"/>
                      <w:rPr>
                        <w:sz w:val="13"/>
                        <w:szCs w:val="13"/>
                      </w:rPr>
                    </w:pPr>
                  </w:p>
                  <w:p w14:paraId="1DE3FA18" w14:textId="77777777" w:rsidR="00F21CEB" w:rsidRPr="004E4F6E" w:rsidRDefault="005F0262" w:rsidP="004E4F6E">
                    <w:pPr>
                      <w:pStyle w:val="Referentiegegevenskop"/>
                      <w:spacing w:line="276" w:lineRule="auto"/>
                    </w:pPr>
                    <w:r w:rsidRPr="004E4F6E">
                      <w:t>Ons kenmerk</w:t>
                    </w:r>
                  </w:p>
                  <w:p w14:paraId="4DFE2623" w14:textId="57598ED8" w:rsidR="00F21CEB" w:rsidRPr="004E4F6E" w:rsidRDefault="003D28E7" w:rsidP="004E4F6E">
                    <w:pPr>
                      <w:pStyle w:val="Referentiegegevens"/>
                      <w:spacing w:line="276" w:lineRule="auto"/>
                    </w:pPr>
                    <w:r w:rsidRPr="004E4F6E">
                      <w:t>IENW/BSK-2026/44372</w:t>
                    </w:r>
                  </w:p>
                  <w:p w14:paraId="2DE352B2" w14:textId="77777777" w:rsidR="00FA7DDE" w:rsidRPr="004E4F6E" w:rsidRDefault="00FA7DDE" w:rsidP="004E4F6E">
                    <w:pPr>
                      <w:spacing w:line="276" w:lineRule="auto"/>
                      <w:rPr>
                        <w:sz w:val="13"/>
                        <w:szCs w:val="13"/>
                      </w:rPr>
                    </w:pPr>
                  </w:p>
                  <w:p w14:paraId="5AEA4A23" w14:textId="105C7B69" w:rsidR="00FA7DDE" w:rsidRPr="004E4F6E" w:rsidRDefault="00FA7DDE" w:rsidP="004E4F6E">
                    <w:pPr>
                      <w:spacing w:line="276" w:lineRule="auto"/>
                      <w:rPr>
                        <w:b/>
                        <w:bCs/>
                        <w:sz w:val="13"/>
                        <w:szCs w:val="13"/>
                      </w:rPr>
                    </w:pPr>
                    <w:r w:rsidRPr="004E4F6E">
                      <w:rPr>
                        <w:b/>
                        <w:bCs/>
                        <w:sz w:val="13"/>
                        <w:szCs w:val="13"/>
                      </w:rPr>
                      <w:t>Uw kenmerk</w:t>
                    </w:r>
                  </w:p>
                  <w:p w14:paraId="0FB7FE73" w14:textId="2640742C" w:rsidR="00FA7DDE" w:rsidRPr="004E4F6E" w:rsidRDefault="00FA7DDE" w:rsidP="004E4F6E">
                    <w:pPr>
                      <w:spacing w:line="276" w:lineRule="auto"/>
                      <w:rPr>
                        <w:sz w:val="13"/>
                        <w:szCs w:val="13"/>
                      </w:rPr>
                    </w:pPr>
                    <w:r w:rsidRPr="004E4F6E">
                      <w:rPr>
                        <w:sz w:val="13"/>
                        <w:szCs w:val="13"/>
                      </w:rPr>
                      <w:t>2026Z04547</w:t>
                    </w:r>
                  </w:p>
                  <w:p w14:paraId="2A09E821" w14:textId="77777777" w:rsidR="00F21CEB" w:rsidRPr="004E4F6E" w:rsidRDefault="00F21CEB" w:rsidP="004E4F6E">
                    <w:pPr>
                      <w:pStyle w:val="WitregelW1"/>
                      <w:spacing w:line="276" w:lineRule="auto"/>
                      <w:rPr>
                        <w:sz w:val="13"/>
                        <w:szCs w:val="13"/>
                      </w:rPr>
                    </w:pPr>
                  </w:p>
                  <w:p w14:paraId="591B048A" w14:textId="77777777" w:rsidR="00F21CEB" w:rsidRPr="004E4F6E" w:rsidRDefault="005F0262" w:rsidP="004E4F6E">
                    <w:pPr>
                      <w:pStyle w:val="Referentiegegevenskop"/>
                      <w:spacing w:line="276" w:lineRule="auto"/>
                    </w:pPr>
                    <w:r w:rsidRPr="004E4F6E">
                      <w:t>Bijlage(n)</w:t>
                    </w:r>
                  </w:p>
                  <w:p w14:paraId="7C8A1811" w14:textId="77777777" w:rsidR="00F21CEB" w:rsidRPr="004E4F6E" w:rsidRDefault="005F0262" w:rsidP="004E4F6E">
                    <w:pPr>
                      <w:pStyle w:val="Referentiegegevens"/>
                      <w:spacing w:line="276" w:lineRule="auto"/>
                    </w:pPr>
                    <w:r w:rsidRPr="004E4F6E">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094A8B1" wp14:editId="1218890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21E5573" w14:textId="77777777" w:rsidR="00F21CEB" w:rsidRDefault="005F0262">
                          <w:pPr>
                            <w:spacing w:line="240" w:lineRule="auto"/>
                          </w:pPr>
                          <w:r>
                            <w:rPr>
                              <w:noProof/>
                              <w:lang w:val="en-GB" w:eastAsia="en-GB"/>
                            </w:rPr>
                            <w:drawing>
                              <wp:inline distT="0" distB="0" distL="0" distR="0" wp14:anchorId="1E550B56" wp14:editId="3FA0967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94A8B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21E5573" w14:textId="77777777" w:rsidR="00F21CEB" w:rsidRDefault="005F0262">
                    <w:pPr>
                      <w:spacing w:line="240" w:lineRule="auto"/>
                    </w:pPr>
                    <w:r>
                      <w:rPr>
                        <w:noProof/>
                        <w:lang w:val="en-GB" w:eastAsia="en-GB"/>
                      </w:rPr>
                      <w:drawing>
                        <wp:inline distT="0" distB="0" distL="0" distR="0" wp14:anchorId="1E550B56" wp14:editId="3FA0967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24DE620" wp14:editId="11823AE3">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DE193F" w14:textId="77777777" w:rsidR="00F21CEB" w:rsidRDefault="005F0262">
                          <w:pPr>
                            <w:spacing w:line="240" w:lineRule="auto"/>
                          </w:pPr>
                          <w:r>
                            <w:rPr>
                              <w:noProof/>
                              <w:lang w:val="en-GB" w:eastAsia="en-GB"/>
                            </w:rPr>
                            <w:drawing>
                              <wp:inline distT="0" distB="0" distL="0" distR="0" wp14:anchorId="0EB9443A" wp14:editId="747B153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4DE62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8DE193F" w14:textId="77777777" w:rsidR="00F21CEB" w:rsidRDefault="005F0262">
                    <w:pPr>
                      <w:spacing w:line="240" w:lineRule="auto"/>
                    </w:pPr>
                    <w:r>
                      <w:rPr>
                        <w:noProof/>
                        <w:lang w:val="en-GB" w:eastAsia="en-GB"/>
                      </w:rPr>
                      <w:drawing>
                        <wp:inline distT="0" distB="0" distL="0" distR="0" wp14:anchorId="0EB9443A" wp14:editId="747B153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C19C119" wp14:editId="1311C37C">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86A44DB" w14:textId="77777777" w:rsidR="00F21CEB" w:rsidRDefault="005F026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C19C11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86A44DB" w14:textId="77777777" w:rsidR="00F21CEB" w:rsidRDefault="005F0262">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B853900" wp14:editId="30E87D6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926B25D" w14:textId="77777777" w:rsidR="00F21CEB" w:rsidRDefault="005F026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B85390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926B25D" w14:textId="77777777" w:rsidR="00F21CEB" w:rsidRDefault="005F0262">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21EDDE9" wp14:editId="5391FB38">
              <wp:simplePos x="0" y="0"/>
              <wp:positionH relativeFrom="page">
                <wp:posOffset>1004570</wp:posOffset>
              </wp:positionH>
              <wp:positionV relativeFrom="paragraph">
                <wp:posOffset>3639185</wp:posOffset>
              </wp:positionV>
              <wp:extent cx="4105275" cy="83248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3248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21CEB" w14:paraId="68E5AF62" w14:textId="77777777">
                            <w:trPr>
                              <w:trHeight w:val="200"/>
                            </w:trPr>
                            <w:tc>
                              <w:tcPr>
                                <w:tcW w:w="1140" w:type="dxa"/>
                              </w:tcPr>
                              <w:p w14:paraId="0AD54612" w14:textId="77777777" w:rsidR="00F21CEB" w:rsidRDefault="00F21CEB"/>
                            </w:tc>
                            <w:tc>
                              <w:tcPr>
                                <w:tcW w:w="5400" w:type="dxa"/>
                              </w:tcPr>
                              <w:p w14:paraId="32EDD3DE" w14:textId="77777777" w:rsidR="00F21CEB" w:rsidRDefault="00F21CEB"/>
                            </w:tc>
                          </w:tr>
                          <w:tr w:rsidR="00F21CEB" w14:paraId="3A0A533A" w14:textId="77777777">
                            <w:trPr>
                              <w:trHeight w:val="240"/>
                            </w:trPr>
                            <w:tc>
                              <w:tcPr>
                                <w:tcW w:w="1140" w:type="dxa"/>
                              </w:tcPr>
                              <w:p w14:paraId="4E86243C" w14:textId="77777777" w:rsidR="00F21CEB" w:rsidRDefault="005F0262">
                                <w:r>
                                  <w:t>Datum</w:t>
                                </w:r>
                              </w:p>
                            </w:tc>
                            <w:tc>
                              <w:tcPr>
                                <w:tcW w:w="5400" w:type="dxa"/>
                              </w:tcPr>
                              <w:p w14:paraId="0B28DF47" w14:textId="2C0E1A4F" w:rsidR="00F21CEB" w:rsidRDefault="004E4F6E">
                                <w:r>
                                  <w:t>24 maart 2026</w:t>
                                </w:r>
                              </w:p>
                            </w:tc>
                          </w:tr>
                          <w:tr w:rsidR="00F21CEB" w14:paraId="7BC073E2" w14:textId="77777777">
                            <w:trPr>
                              <w:trHeight w:val="240"/>
                            </w:trPr>
                            <w:tc>
                              <w:tcPr>
                                <w:tcW w:w="1140" w:type="dxa"/>
                              </w:tcPr>
                              <w:p w14:paraId="3927A6E5" w14:textId="77777777" w:rsidR="00F21CEB" w:rsidRDefault="005F0262">
                                <w:r>
                                  <w:t>Betreft</w:t>
                                </w:r>
                              </w:p>
                            </w:tc>
                            <w:tc>
                              <w:tcPr>
                                <w:tcW w:w="5400" w:type="dxa"/>
                              </w:tcPr>
                              <w:p w14:paraId="413A7C54" w14:textId="33C7E52F" w:rsidR="00F21CEB" w:rsidRDefault="005F0262">
                                <w:r>
                                  <w:t xml:space="preserve">Beantwoording </w:t>
                                </w:r>
                                <w:r w:rsidR="004E4F6E">
                                  <w:t xml:space="preserve">Kamervragen </w:t>
                                </w:r>
                                <w:r>
                                  <w:t>over het bericht ‘NS boekt weer winst – voor het eerst sinds 2019’</w:t>
                                </w:r>
                              </w:p>
                            </w:tc>
                          </w:tr>
                          <w:tr w:rsidR="00F21CEB" w14:paraId="706B3A55" w14:textId="77777777">
                            <w:trPr>
                              <w:trHeight w:val="200"/>
                            </w:trPr>
                            <w:tc>
                              <w:tcPr>
                                <w:tcW w:w="1140" w:type="dxa"/>
                              </w:tcPr>
                              <w:p w14:paraId="212AAF59" w14:textId="77777777" w:rsidR="00F21CEB" w:rsidRDefault="00F21CEB"/>
                            </w:tc>
                            <w:tc>
                              <w:tcPr>
                                <w:tcW w:w="5400" w:type="dxa"/>
                              </w:tcPr>
                              <w:p w14:paraId="7D95A1C0" w14:textId="77777777" w:rsidR="00F21CEB" w:rsidRDefault="00F21CEB"/>
                            </w:tc>
                          </w:tr>
                        </w:tbl>
                        <w:p w14:paraId="5CA9CB2F" w14:textId="77777777" w:rsidR="00B00BF3" w:rsidRDefault="00B00BF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21EDDE9" id="7266255e-823c-11ee-8554-0242ac120003" o:spid="_x0000_s1037" type="#_x0000_t202" style="position:absolute;margin-left:79.1pt;margin-top:286.55pt;width:323.25pt;height:65.55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F21CEB" w14:paraId="68E5AF62" w14:textId="77777777">
                      <w:trPr>
                        <w:trHeight w:val="200"/>
                      </w:trPr>
                      <w:tc>
                        <w:tcPr>
                          <w:tcW w:w="1140" w:type="dxa"/>
                        </w:tcPr>
                        <w:p w14:paraId="0AD54612" w14:textId="77777777" w:rsidR="00F21CEB" w:rsidRDefault="00F21CEB"/>
                      </w:tc>
                      <w:tc>
                        <w:tcPr>
                          <w:tcW w:w="5400" w:type="dxa"/>
                        </w:tcPr>
                        <w:p w14:paraId="32EDD3DE" w14:textId="77777777" w:rsidR="00F21CEB" w:rsidRDefault="00F21CEB"/>
                      </w:tc>
                    </w:tr>
                    <w:tr w:rsidR="00F21CEB" w14:paraId="3A0A533A" w14:textId="77777777">
                      <w:trPr>
                        <w:trHeight w:val="240"/>
                      </w:trPr>
                      <w:tc>
                        <w:tcPr>
                          <w:tcW w:w="1140" w:type="dxa"/>
                        </w:tcPr>
                        <w:p w14:paraId="4E86243C" w14:textId="77777777" w:rsidR="00F21CEB" w:rsidRDefault="005F0262">
                          <w:r>
                            <w:t>Datum</w:t>
                          </w:r>
                        </w:p>
                      </w:tc>
                      <w:tc>
                        <w:tcPr>
                          <w:tcW w:w="5400" w:type="dxa"/>
                        </w:tcPr>
                        <w:p w14:paraId="0B28DF47" w14:textId="2C0E1A4F" w:rsidR="00F21CEB" w:rsidRDefault="004E4F6E">
                          <w:r>
                            <w:t>24 maart 2026</w:t>
                          </w:r>
                        </w:p>
                      </w:tc>
                    </w:tr>
                    <w:tr w:rsidR="00F21CEB" w14:paraId="7BC073E2" w14:textId="77777777">
                      <w:trPr>
                        <w:trHeight w:val="240"/>
                      </w:trPr>
                      <w:tc>
                        <w:tcPr>
                          <w:tcW w:w="1140" w:type="dxa"/>
                        </w:tcPr>
                        <w:p w14:paraId="3927A6E5" w14:textId="77777777" w:rsidR="00F21CEB" w:rsidRDefault="005F0262">
                          <w:r>
                            <w:t>Betreft</w:t>
                          </w:r>
                        </w:p>
                      </w:tc>
                      <w:tc>
                        <w:tcPr>
                          <w:tcW w:w="5400" w:type="dxa"/>
                        </w:tcPr>
                        <w:p w14:paraId="413A7C54" w14:textId="33C7E52F" w:rsidR="00F21CEB" w:rsidRDefault="005F0262">
                          <w:r>
                            <w:t xml:space="preserve">Beantwoording </w:t>
                          </w:r>
                          <w:r w:rsidR="004E4F6E">
                            <w:t xml:space="preserve">Kamervragen </w:t>
                          </w:r>
                          <w:r>
                            <w:t>over het bericht ‘NS boekt weer winst – voor het eerst sinds 2019’</w:t>
                          </w:r>
                        </w:p>
                      </w:tc>
                    </w:tr>
                    <w:tr w:rsidR="00F21CEB" w14:paraId="706B3A55" w14:textId="77777777">
                      <w:trPr>
                        <w:trHeight w:val="200"/>
                      </w:trPr>
                      <w:tc>
                        <w:tcPr>
                          <w:tcW w:w="1140" w:type="dxa"/>
                        </w:tcPr>
                        <w:p w14:paraId="212AAF59" w14:textId="77777777" w:rsidR="00F21CEB" w:rsidRDefault="00F21CEB"/>
                      </w:tc>
                      <w:tc>
                        <w:tcPr>
                          <w:tcW w:w="5400" w:type="dxa"/>
                        </w:tcPr>
                        <w:p w14:paraId="7D95A1C0" w14:textId="77777777" w:rsidR="00F21CEB" w:rsidRDefault="00F21CEB"/>
                      </w:tc>
                    </w:tr>
                  </w:tbl>
                  <w:p w14:paraId="5CA9CB2F" w14:textId="77777777" w:rsidR="00B00BF3" w:rsidRDefault="00B00BF3"/>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90FFE8E" wp14:editId="05A56841">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86B02EA" w14:textId="77777777" w:rsidR="00B00BF3" w:rsidRDefault="00B00BF3"/>
                      </w:txbxContent>
                    </wps:txbx>
                    <wps:bodyPr vert="horz" wrap="square" lIns="0" tIns="0" rIns="0" bIns="0" anchor="t" anchorCtr="0"/>
                  </wps:wsp>
                </a:graphicData>
              </a:graphic>
            </wp:anchor>
          </w:drawing>
        </mc:Choice>
        <mc:Fallback>
          <w:pict>
            <v:shape w14:anchorId="490FFE8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86B02EA" w14:textId="77777777" w:rsidR="00B00BF3" w:rsidRDefault="00B00BF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31BDF9"/>
    <w:multiLevelType w:val="multilevel"/>
    <w:tmpl w:val="FCE2B46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ED819F"/>
    <w:multiLevelType w:val="multilevel"/>
    <w:tmpl w:val="0BA5FB7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8D6396"/>
    <w:multiLevelType w:val="multilevel"/>
    <w:tmpl w:val="DB0F4ED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BE120A"/>
    <w:multiLevelType w:val="multilevel"/>
    <w:tmpl w:val="66DF0DD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A9BE8FC2"/>
    <w:multiLevelType w:val="multilevel"/>
    <w:tmpl w:val="692BF0E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E6E0D7C"/>
    <w:multiLevelType w:val="multilevel"/>
    <w:tmpl w:val="10F3296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EDA1F43"/>
    <w:multiLevelType w:val="multilevel"/>
    <w:tmpl w:val="E4BFFF1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6DAF42A"/>
    <w:multiLevelType w:val="multilevel"/>
    <w:tmpl w:val="95E3F4C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7A46796"/>
    <w:multiLevelType w:val="multilevel"/>
    <w:tmpl w:val="DD6A07B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B4C00E7"/>
    <w:multiLevelType w:val="multilevel"/>
    <w:tmpl w:val="E4D7BF6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B63D5C"/>
    <w:multiLevelType w:val="multilevel"/>
    <w:tmpl w:val="42BD076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C4C6E3"/>
    <w:multiLevelType w:val="multilevel"/>
    <w:tmpl w:val="48FE22E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651491"/>
    <w:multiLevelType w:val="multilevel"/>
    <w:tmpl w:val="5BB363B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E5FAA8"/>
    <w:multiLevelType w:val="multilevel"/>
    <w:tmpl w:val="40A2D7A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A66E1E"/>
    <w:multiLevelType w:val="multilevel"/>
    <w:tmpl w:val="26BF78E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5CA33A"/>
    <w:multiLevelType w:val="multilevel"/>
    <w:tmpl w:val="AE80BEF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9FB726"/>
    <w:multiLevelType w:val="multilevel"/>
    <w:tmpl w:val="18230BA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C94634"/>
    <w:multiLevelType w:val="multilevel"/>
    <w:tmpl w:val="CA356A2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3C32D7"/>
    <w:multiLevelType w:val="multilevel"/>
    <w:tmpl w:val="7B0396E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4C4C45F1"/>
    <w:multiLevelType w:val="multilevel"/>
    <w:tmpl w:val="DD0CCB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8DAE2B8"/>
    <w:multiLevelType w:val="multilevel"/>
    <w:tmpl w:val="1C4A4BD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E8A8A6"/>
    <w:multiLevelType w:val="multilevel"/>
    <w:tmpl w:val="757A9B5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3D4C74"/>
    <w:multiLevelType w:val="multilevel"/>
    <w:tmpl w:val="BDECEEF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E6E9E6"/>
    <w:multiLevelType w:val="multilevel"/>
    <w:tmpl w:val="56081BE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7"/>
  </w:num>
  <w:num w:numId="3">
    <w:abstractNumId w:val="6"/>
  </w:num>
  <w:num w:numId="4">
    <w:abstractNumId w:val="20"/>
  </w:num>
  <w:num w:numId="5">
    <w:abstractNumId w:val="3"/>
  </w:num>
  <w:num w:numId="6">
    <w:abstractNumId w:val="22"/>
  </w:num>
  <w:num w:numId="7">
    <w:abstractNumId w:val="8"/>
  </w:num>
  <w:num w:numId="8">
    <w:abstractNumId w:val="2"/>
  </w:num>
  <w:num w:numId="9">
    <w:abstractNumId w:val="12"/>
  </w:num>
  <w:num w:numId="10">
    <w:abstractNumId w:val="7"/>
  </w:num>
  <w:num w:numId="11">
    <w:abstractNumId w:val="16"/>
  </w:num>
  <w:num w:numId="12">
    <w:abstractNumId w:val="18"/>
  </w:num>
  <w:num w:numId="13">
    <w:abstractNumId w:val="23"/>
  </w:num>
  <w:num w:numId="14">
    <w:abstractNumId w:val="5"/>
  </w:num>
  <w:num w:numId="15">
    <w:abstractNumId w:val="4"/>
  </w:num>
  <w:num w:numId="16">
    <w:abstractNumId w:val="9"/>
  </w:num>
  <w:num w:numId="17">
    <w:abstractNumId w:val="10"/>
  </w:num>
  <w:num w:numId="18">
    <w:abstractNumId w:val="0"/>
  </w:num>
  <w:num w:numId="19">
    <w:abstractNumId w:val="14"/>
  </w:num>
  <w:num w:numId="20">
    <w:abstractNumId w:val="21"/>
  </w:num>
  <w:num w:numId="21">
    <w:abstractNumId w:val="1"/>
  </w:num>
  <w:num w:numId="22">
    <w:abstractNumId w:val="11"/>
  </w:num>
  <w:num w:numId="23">
    <w:abstractNumId w:val="15"/>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2A"/>
    <w:rsid w:val="00030C08"/>
    <w:rsid w:val="0005345E"/>
    <w:rsid w:val="000661FF"/>
    <w:rsid w:val="00094429"/>
    <w:rsid w:val="000C75D4"/>
    <w:rsid w:val="000F42BC"/>
    <w:rsid w:val="00135F43"/>
    <w:rsid w:val="00143965"/>
    <w:rsid w:val="00151FA4"/>
    <w:rsid w:val="00153DDB"/>
    <w:rsid w:val="00173D6B"/>
    <w:rsid w:val="001B43EC"/>
    <w:rsid w:val="001D7834"/>
    <w:rsid w:val="001F6DC1"/>
    <w:rsid w:val="00207C33"/>
    <w:rsid w:val="00210658"/>
    <w:rsid w:val="002235C0"/>
    <w:rsid w:val="002438E3"/>
    <w:rsid w:val="00247C68"/>
    <w:rsid w:val="00250F63"/>
    <w:rsid w:val="002621A5"/>
    <w:rsid w:val="0027414E"/>
    <w:rsid w:val="00276A10"/>
    <w:rsid w:val="00277FE0"/>
    <w:rsid w:val="00292BD9"/>
    <w:rsid w:val="002C670E"/>
    <w:rsid w:val="002F2071"/>
    <w:rsid w:val="002F66AD"/>
    <w:rsid w:val="00302252"/>
    <w:rsid w:val="00305DA5"/>
    <w:rsid w:val="003114DE"/>
    <w:rsid w:val="003120D3"/>
    <w:rsid w:val="003316EB"/>
    <w:rsid w:val="003412DB"/>
    <w:rsid w:val="0034275F"/>
    <w:rsid w:val="003510E5"/>
    <w:rsid w:val="0036182E"/>
    <w:rsid w:val="0036775B"/>
    <w:rsid w:val="00390AB9"/>
    <w:rsid w:val="003A2577"/>
    <w:rsid w:val="003B7239"/>
    <w:rsid w:val="003C2D8C"/>
    <w:rsid w:val="003D28E7"/>
    <w:rsid w:val="003D4869"/>
    <w:rsid w:val="003F5930"/>
    <w:rsid w:val="00454C6F"/>
    <w:rsid w:val="004618EF"/>
    <w:rsid w:val="00463A2B"/>
    <w:rsid w:val="00471556"/>
    <w:rsid w:val="004946D4"/>
    <w:rsid w:val="004A6813"/>
    <w:rsid w:val="004D0923"/>
    <w:rsid w:val="004E4F6E"/>
    <w:rsid w:val="00521357"/>
    <w:rsid w:val="005266F0"/>
    <w:rsid w:val="00534B83"/>
    <w:rsid w:val="00542672"/>
    <w:rsid w:val="00583BFF"/>
    <w:rsid w:val="005E008D"/>
    <w:rsid w:val="005F0262"/>
    <w:rsid w:val="005F22CF"/>
    <w:rsid w:val="005F7C03"/>
    <w:rsid w:val="00616F84"/>
    <w:rsid w:val="0063048C"/>
    <w:rsid w:val="0066447C"/>
    <w:rsid w:val="0068254B"/>
    <w:rsid w:val="006A29C8"/>
    <w:rsid w:val="00703443"/>
    <w:rsid w:val="00706415"/>
    <w:rsid w:val="00707D61"/>
    <w:rsid w:val="00713A88"/>
    <w:rsid w:val="00720661"/>
    <w:rsid w:val="007336CE"/>
    <w:rsid w:val="007721B2"/>
    <w:rsid w:val="00772652"/>
    <w:rsid w:val="0077709F"/>
    <w:rsid w:val="007C0E3C"/>
    <w:rsid w:val="007C3477"/>
    <w:rsid w:val="007D2634"/>
    <w:rsid w:val="007F6689"/>
    <w:rsid w:val="00806969"/>
    <w:rsid w:val="00810F74"/>
    <w:rsid w:val="008230B0"/>
    <w:rsid w:val="00827A9B"/>
    <w:rsid w:val="00864C98"/>
    <w:rsid w:val="008677D7"/>
    <w:rsid w:val="008A58FC"/>
    <w:rsid w:val="008E09F0"/>
    <w:rsid w:val="008F1663"/>
    <w:rsid w:val="00903278"/>
    <w:rsid w:val="0091391A"/>
    <w:rsid w:val="00924480"/>
    <w:rsid w:val="00925488"/>
    <w:rsid w:val="009E1B83"/>
    <w:rsid w:val="00A23DC5"/>
    <w:rsid w:val="00A31312"/>
    <w:rsid w:val="00A31448"/>
    <w:rsid w:val="00A405CF"/>
    <w:rsid w:val="00A50E24"/>
    <w:rsid w:val="00A75CA7"/>
    <w:rsid w:val="00AA12F8"/>
    <w:rsid w:val="00AA3CAE"/>
    <w:rsid w:val="00AB0F79"/>
    <w:rsid w:val="00AB437E"/>
    <w:rsid w:val="00AB5171"/>
    <w:rsid w:val="00AC3189"/>
    <w:rsid w:val="00AD4977"/>
    <w:rsid w:val="00AD6AC5"/>
    <w:rsid w:val="00B00BF3"/>
    <w:rsid w:val="00B22D67"/>
    <w:rsid w:val="00B612C5"/>
    <w:rsid w:val="00B74642"/>
    <w:rsid w:val="00BB1DB7"/>
    <w:rsid w:val="00C37DEF"/>
    <w:rsid w:val="00C441FC"/>
    <w:rsid w:val="00C66461"/>
    <w:rsid w:val="00C812F0"/>
    <w:rsid w:val="00C8782D"/>
    <w:rsid w:val="00CB4950"/>
    <w:rsid w:val="00CC0CC6"/>
    <w:rsid w:val="00CD5BCF"/>
    <w:rsid w:val="00CF75DA"/>
    <w:rsid w:val="00D2322F"/>
    <w:rsid w:val="00D25511"/>
    <w:rsid w:val="00D37D1D"/>
    <w:rsid w:val="00D42466"/>
    <w:rsid w:val="00D4731A"/>
    <w:rsid w:val="00D8178F"/>
    <w:rsid w:val="00D87158"/>
    <w:rsid w:val="00DB2873"/>
    <w:rsid w:val="00DC1592"/>
    <w:rsid w:val="00DD15BC"/>
    <w:rsid w:val="00DF08AB"/>
    <w:rsid w:val="00E0202E"/>
    <w:rsid w:val="00E260A3"/>
    <w:rsid w:val="00E35C1F"/>
    <w:rsid w:val="00E449B5"/>
    <w:rsid w:val="00E87AD8"/>
    <w:rsid w:val="00EB1F0E"/>
    <w:rsid w:val="00EC083B"/>
    <w:rsid w:val="00EC5E1A"/>
    <w:rsid w:val="00ED571E"/>
    <w:rsid w:val="00EF062A"/>
    <w:rsid w:val="00EF59F2"/>
    <w:rsid w:val="00F1358C"/>
    <w:rsid w:val="00F21CEB"/>
    <w:rsid w:val="00F36BCB"/>
    <w:rsid w:val="00F37E52"/>
    <w:rsid w:val="00F95ECE"/>
    <w:rsid w:val="00FA7DDE"/>
    <w:rsid w:val="00FE08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E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062A"/>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34275F"/>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F062A"/>
    <w:pPr>
      <w:tabs>
        <w:tab w:val="center" w:pos="4536"/>
        <w:tab w:val="right" w:pos="9072"/>
      </w:tabs>
      <w:spacing w:line="240" w:lineRule="auto"/>
    </w:pPr>
  </w:style>
  <w:style w:type="character" w:customStyle="1" w:styleId="HeaderChar">
    <w:name w:val="Header Char"/>
    <w:basedOn w:val="DefaultParagraphFont"/>
    <w:link w:val="Header"/>
    <w:uiPriority w:val="99"/>
    <w:rsid w:val="00EF062A"/>
    <w:rPr>
      <w:rFonts w:ascii="Verdana" w:hAnsi="Verdana"/>
      <w:color w:val="000000"/>
      <w:sz w:val="18"/>
      <w:szCs w:val="18"/>
    </w:rPr>
  </w:style>
  <w:style w:type="paragraph" w:styleId="Footer">
    <w:name w:val="footer"/>
    <w:basedOn w:val="Normal"/>
    <w:link w:val="FooterChar"/>
    <w:uiPriority w:val="99"/>
    <w:unhideWhenUsed/>
    <w:rsid w:val="00EF062A"/>
    <w:pPr>
      <w:tabs>
        <w:tab w:val="center" w:pos="4536"/>
        <w:tab w:val="right" w:pos="9072"/>
      </w:tabs>
      <w:spacing w:line="240" w:lineRule="auto"/>
    </w:pPr>
  </w:style>
  <w:style w:type="character" w:customStyle="1" w:styleId="FooterChar">
    <w:name w:val="Footer Char"/>
    <w:basedOn w:val="DefaultParagraphFont"/>
    <w:link w:val="Footer"/>
    <w:uiPriority w:val="99"/>
    <w:rsid w:val="00EF062A"/>
    <w:rPr>
      <w:rFonts w:ascii="Verdana" w:hAnsi="Verdana"/>
      <w:color w:val="000000"/>
      <w:sz w:val="18"/>
      <w:szCs w:val="18"/>
    </w:rPr>
  </w:style>
  <w:style w:type="paragraph" w:styleId="FootnoteText">
    <w:name w:val="footnote text"/>
    <w:basedOn w:val="Normal"/>
    <w:link w:val="FootnoteTextChar"/>
    <w:uiPriority w:val="99"/>
    <w:semiHidden/>
    <w:unhideWhenUsed/>
    <w:rsid w:val="00EF062A"/>
    <w:pPr>
      <w:spacing w:line="240" w:lineRule="auto"/>
    </w:pPr>
    <w:rPr>
      <w:sz w:val="20"/>
      <w:szCs w:val="20"/>
    </w:rPr>
  </w:style>
  <w:style w:type="character" w:customStyle="1" w:styleId="FootnoteTextChar">
    <w:name w:val="Footnote Text Char"/>
    <w:basedOn w:val="DefaultParagraphFont"/>
    <w:link w:val="FootnoteText"/>
    <w:uiPriority w:val="99"/>
    <w:semiHidden/>
    <w:rsid w:val="00EF062A"/>
    <w:rPr>
      <w:rFonts w:ascii="Verdana" w:hAnsi="Verdana"/>
      <w:color w:val="000000"/>
    </w:rPr>
  </w:style>
  <w:style w:type="character" w:styleId="FootnoteReference">
    <w:name w:val="footnote reference"/>
    <w:basedOn w:val="DefaultParagraphFont"/>
    <w:uiPriority w:val="99"/>
    <w:semiHidden/>
    <w:unhideWhenUsed/>
    <w:rsid w:val="00EF062A"/>
    <w:rPr>
      <w:vertAlign w:val="superscript"/>
    </w:rPr>
  </w:style>
  <w:style w:type="character" w:customStyle="1" w:styleId="UnresolvedMention">
    <w:name w:val="Unresolved Mention"/>
    <w:basedOn w:val="DefaultParagraphFont"/>
    <w:uiPriority w:val="99"/>
    <w:semiHidden/>
    <w:unhideWhenUsed/>
    <w:rsid w:val="00EF062A"/>
    <w:rPr>
      <w:color w:val="605E5C"/>
      <w:shd w:val="clear" w:color="auto" w:fill="E1DFDD"/>
    </w:rPr>
  </w:style>
  <w:style w:type="character" w:customStyle="1" w:styleId="Heading1Char">
    <w:name w:val="Heading 1 Char"/>
    <w:basedOn w:val="DefaultParagraphFont"/>
    <w:link w:val="Heading1"/>
    <w:uiPriority w:val="99"/>
    <w:semiHidden/>
    <w:rsid w:val="0034275F"/>
    <w:rPr>
      <w:rFonts w:asciiTheme="majorHAnsi" w:eastAsiaTheme="majorEastAsia" w:hAnsiTheme="majorHAnsi" w:cstheme="majorBidi"/>
      <w:color w:val="0F4761" w:themeColor="accent1" w:themeShade="BF"/>
      <w:sz w:val="32"/>
      <w:szCs w:val="32"/>
    </w:rPr>
  </w:style>
  <w:style w:type="paragraph" w:styleId="Revision">
    <w:name w:val="Revision"/>
    <w:hidden/>
    <w:uiPriority w:val="99"/>
    <w:semiHidden/>
    <w:rsid w:val="005E008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E008D"/>
    <w:rPr>
      <w:sz w:val="16"/>
      <w:szCs w:val="16"/>
    </w:rPr>
  </w:style>
  <w:style w:type="paragraph" w:styleId="CommentText">
    <w:name w:val="annotation text"/>
    <w:basedOn w:val="Normal"/>
    <w:link w:val="CommentTextChar"/>
    <w:uiPriority w:val="99"/>
    <w:unhideWhenUsed/>
    <w:rsid w:val="005E008D"/>
    <w:pPr>
      <w:spacing w:line="240" w:lineRule="auto"/>
    </w:pPr>
    <w:rPr>
      <w:sz w:val="20"/>
      <w:szCs w:val="20"/>
    </w:rPr>
  </w:style>
  <w:style w:type="character" w:customStyle="1" w:styleId="CommentTextChar">
    <w:name w:val="Comment Text Char"/>
    <w:basedOn w:val="DefaultParagraphFont"/>
    <w:link w:val="CommentText"/>
    <w:uiPriority w:val="99"/>
    <w:rsid w:val="005E008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E008D"/>
    <w:rPr>
      <w:b/>
      <w:bCs/>
    </w:rPr>
  </w:style>
  <w:style w:type="character" w:customStyle="1" w:styleId="CommentSubjectChar">
    <w:name w:val="Comment Subject Char"/>
    <w:basedOn w:val="CommentTextChar"/>
    <w:link w:val="CommentSubject"/>
    <w:uiPriority w:val="99"/>
    <w:semiHidden/>
    <w:rsid w:val="005E008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5546">
      <w:bodyDiv w:val="1"/>
      <w:marLeft w:val="0"/>
      <w:marRight w:val="0"/>
      <w:marTop w:val="0"/>
      <w:marBottom w:val="0"/>
      <w:divBdr>
        <w:top w:val="none" w:sz="0" w:space="0" w:color="auto"/>
        <w:left w:val="none" w:sz="0" w:space="0" w:color="auto"/>
        <w:bottom w:val="none" w:sz="0" w:space="0" w:color="auto"/>
        <w:right w:val="none" w:sz="0" w:space="0" w:color="auto"/>
      </w:divBdr>
    </w:div>
    <w:div w:id="173156017">
      <w:bodyDiv w:val="1"/>
      <w:marLeft w:val="0"/>
      <w:marRight w:val="0"/>
      <w:marTop w:val="0"/>
      <w:marBottom w:val="0"/>
      <w:divBdr>
        <w:top w:val="none" w:sz="0" w:space="0" w:color="auto"/>
        <w:left w:val="none" w:sz="0" w:space="0" w:color="auto"/>
        <w:bottom w:val="none" w:sz="0" w:space="0" w:color="auto"/>
        <w:right w:val="none" w:sz="0" w:space="0" w:color="auto"/>
      </w:divBdr>
    </w:div>
    <w:div w:id="239872177">
      <w:bodyDiv w:val="1"/>
      <w:marLeft w:val="0"/>
      <w:marRight w:val="0"/>
      <w:marTop w:val="0"/>
      <w:marBottom w:val="0"/>
      <w:divBdr>
        <w:top w:val="none" w:sz="0" w:space="0" w:color="auto"/>
        <w:left w:val="none" w:sz="0" w:space="0" w:color="auto"/>
        <w:bottom w:val="none" w:sz="0" w:space="0" w:color="auto"/>
        <w:right w:val="none" w:sz="0" w:space="0" w:color="auto"/>
      </w:divBdr>
      <w:divsChild>
        <w:div w:id="1869103589">
          <w:marLeft w:val="0"/>
          <w:marRight w:val="0"/>
          <w:marTop w:val="0"/>
          <w:marBottom w:val="75"/>
          <w:divBdr>
            <w:top w:val="none" w:sz="0" w:space="0" w:color="auto"/>
            <w:left w:val="none" w:sz="0" w:space="0" w:color="auto"/>
            <w:bottom w:val="none" w:sz="0" w:space="0" w:color="auto"/>
            <w:right w:val="none" w:sz="0" w:space="0" w:color="auto"/>
          </w:divBdr>
        </w:div>
      </w:divsChild>
    </w:div>
    <w:div w:id="699355519">
      <w:bodyDiv w:val="1"/>
      <w:marLeft w:val="0"/>
      <w:marRight w:val="0"/>
      <w:marTop w:val="0"/>
      <w:marBottom w:val="0"/>
      <w:divBdr>
        <w:top w:val="none" w:sz="0" w:space="0" w:color="auto"/>
        <w:left w:val="none" w:sz="0" w:space="0" w:color="auto"/>
        <w:bottom w:val="none" w:sz="0" w:space="0" w:color="auto"/>
        <w:right w:val="none" w:sz="0" w:space="0" w:color="auto"/>
      </w:divBdr>
      <w:divsChild>
        <w:div w:id="324170371">
          <w:marLeft w:val="0"/>
          <w:marRight w:val="0"/>
          <w:marTop w:val="0"/>
          <w:marBottom w:val="75"/>
          <w:divBdr>
            <w:top w:val="none" w:sz="0" w:space="0" w:color="auto"/>
            <w:left w:val="none" w:sz="0" w:space="0" w:color="auto"/>
            <w:bottom w:val="none" w:sz="0" w:space="0" w:color="auto"/>
            <w:right w:val="none" w:sz="0" w:space="0" w:color="auto"/>
          </w:divBdr>
        </w:div>
      </w:divsChild>
    </w:div>
    <w:div w:id="1808859321">
      <w:bodyDiv w:val="1"/>
      <w:marLeft w:val="0"/>
      <w:marRight w:val="0"/>
      <w:marTop w:val="0"/>
      <w:marBottom w:val="0"/>
      <w:divBdr>
        <w:top w:val="none" w:sz="0" w:space="0" w:color="auto"/>
        <w:left w:val="none" w:sz="0" w:space="0" w:color="auto"/>
        <w:bottom w:val="none" w:sz="0" w:space="0" w:color="auto"/>
        <w:right w:val="none" w:sz="0" w:space="0" w:color="auto"/>
      </w:divBdr>
    </w:div>
    <w:div w:id="1991515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nrc.nl/nieuws/2026/03/05/ns-boekt-weer-winst-voor-het-eerst-sinds-2019-a4922248?utm_source=whatsapp&amp;utm_medium=social&amp;utm_campaign=share&amp;utm_term=share-modal" TargetMode="External"/><Relationship Id="rId1" Type="http://schemas.openxmlformats.org/officeDocument/2006/relationships/hyperlink" Target="https://www.nrc.nl/nieuws/2026/03/05/ns-boekt-weer-winst-voor-het-eerst-sinds-2019-a4922248?utm_source=whatsapp&amp;utm_medium=social&amp;utm_campaign=share&amp;utm_term=share-moda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1382</ap:Words>
  <ap:Characters>7882</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Brief aan Parlement - Beantwoording van vragen van het lid Heutink (Groep Markuszower) over het bericht ‘NS boekt weer winst – voor het eerst sinds 2019’</vt:lpstr>
    </vt:vector>
  </ap:TitlesOfParts>
  <ap:LinksUpToDate>false</ap:LinksUpToDate>
  <ap:CharactersWithSpaces>9246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2026-03-24T12:48:00.0000000Z</dcterms:created>
  <dcterms:modified xsi:type="dcterms:W3CDTF">2026-03-24T12:48:00.0000000Z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van vragen van het lid Heutink (Groep Markuszower) over het bericht ‘NS boekt weer winst – voor het eerst sinds 2019’</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Bergwerff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