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2026Z06053</w:t>
        <w:br/>
      </w:r>
      <w:proofErr w:type="spellEnd"/>
    </w:p>
    <w:p>
      <w:pPr>
        <w:pStyle w:val="Normal"/>
        <w:rPr>
          <w:b w:val="1"/>
          <w:bCs w:val="1"/>
        </w:rPr>
      </w:pPr>
      <w:r w:rsidR="250AE766">
        <w:rPr>
          <w:b w:val="0"/>
          <w:bCs w:val="0"/>
        </w:rPr>
        <w:t>(ingezonden 25 maart 2026)</w:t>
        <w:br/>
      </w:r>
    </w:p>
    <w:p>
      <w:r>
        <w:t xml:space="preserve">
          Vragen van de leden Van Oosterhout en Zalinyan (beiden GroenLinks-PvdA) aan de minister van Klimaat en Groene Groei en de staatssecretaris van Infrastructuur en Waterstaat over de Joint Letter of Intent met Tata Steel en het vervolg van de maatwerkafspraak
          <w:br/>
        </w:t>
      </w:r>
      <w:r>
        <w:br/>
      </w:r>
    </w:p>
    <w:p>
      <w:pPr>
        <w:pStyle w:val="ListParagraph"/>
        <w:numPr>
          <w:ilvl w:val="0"/>
          <w:numId w:val="100501670"/>
        </w:numPr>
        <w:ind w:left="360"/>
      </w:pPr>
      <w:r>
        <w:t xml:space="preserve">Kunt u toelichten welke rol u voor de Expertgroep Gezondheid IJmond ziet in de verdere uitwerking van de maatwerkafspraak met Tata Steel en de opvolging van de afspraken?</w:t>
      </w:r>
      <w:r>
        <w:br/>
      </w:r>
    </w:p>
    <w:p>
      <w:pPr>
        <w:pStyle w:val="ListParagraph"/>
        <w:numPr>
          <w:ilvl w:val="0"/>
          <w:numId w:val="100501670"/>
        </w:numPr>
        <w:ind w:left="360"/>
      </w:pPr>
      <w:r>
        <w:t xml:space="preserve">Kunt u toelichten hoe u de adviezen van de Expertgroep Gezondheid IJmond heeft meegewogen – en waarom bepaalde adviezen wel of niet zijn overgenomen – bij het opstellen van de Joint Letter of Internt (JLoI) met Tata Steel?</w:t>
      </w:r>
      <w:r>
        <w:br/>
      </w:r>
    </w:p>
    <w:p>
      <w:pPr>
        <w:pStyle w:val="ListParagraph"/>
        <w:numPr>
          <w:ilvl w:val="0"/>
          <w:numId w:val="100501670"/>
        </w:numPr>
        <w:ind w:left="360"/>
      </w:pPr>
      <w:r>
        <w:t xml:space="preserve">Bent u van plan om in lijn met de motie-Tijssen c.s. (Kamerstuk 28089, nr. 307) de adviezen van de Expertgroep Gezondheid IJmond, ook voor zover deze niet in de JLoI zijn opgenomen, als harde voorwaarde mee te nemen in de onderhandelingen en uitwerking van de uiteindelijke maatwerkafspraak?</w:t>
      </w:r>
      <w:r>
        <w:br/>
      </w:r>
    </w:p>
    <w:p>
      <w:pPr>
        <w:pStyle w:val="ListParagraph"/>
        <w:numPr>
          <w:ilvl w:val="0"/>
          <w:numId w:val="100501670"/>
        </w:numPr>
        <w:ind w:left="360"/>
      </w:pPr>
      <w:r>
        <w:t xml:space="preserve">Kunt u een toelichting geven op het proces, inclusief de tijdlijn, om te komen tot een MER en een GER, en op de rol die beide instrumenten hebben bij vergunningverlening en het al dan niet verstrekken van subsidie?</w:t>
      </w:r>
      <w:r>
        <w:br/>
      </w:r>
    </w:p>
    <w:p>
      <w:pPr>
        <w:pStyle w:val="ListParagraph"/>
        <w:numPr>
          <w:ilvl w:val="0"/>
          <w:numId w:val="100501670"/>
        </w:numPr>
        <w:ind w:left="360"/>
      </w:pPr>
      <w:r>
        <w:t xml:space="preserve">Indien de maatwerkafspraak in september wordt ondertekend, heeft u, en daarmee de Kamer, dan voldoende inzicht in de gezondheidseffecten van de afspraken, afrekenbare garanties op vermindering van schadelijke effecten, vergunningverlening en de mogelijk te verstrekken subsidie?</w:t>
      </w:r>
      <w:r>
        <w:br/>
      </w:r>
    </w:p>
    <w:p>
      <w:pPr>
        <w:pStyle w:val="ListParagraph"/>
        <w:numPr>
          <w:ilvl w:val="0"/>
          <w:numId w:val="100501670"/>
        </w:numPr>
        <w:ind w:left="360"/>
      </w:pPr>
      <w:r>
        <w:t xml:space="preserve">Wordt de GER, naast een informatief instrument, ook een sturend instrument?</w:t>
      </w:r>
      <w:r>
        <w:br/>
      </w:r>
    </w:p>
    <w:p>
      <w:pPr>
        <w:pStyle w:val="ListParagraph"/>
        <w:numPr>
          <w:ilvl w:val="0"/>
          <w:numId w:val="100501670"/>
        </w:numPr>
        <w:ind w:left="360"/>
      </w:pPr>
      <w:r>
        <w:t xml:space="preserve">Zullen, zoals geadviseerd door de Expertgroep Gezondheid IJmond, naast de MER ook de resultaten van de GER voorwaardelijk worden gemaakt voor vergunningverlening?</w:t>
      </w:r>
      <w:r>
        <w:br/>
      </w:r>
    </w:p>
    <w:p>
      <w:pPr>
        <w:pStyle w:val="ListParagraph"/>
        <w:numPr>
          <w:ilvl w:val="0"/>
          <w:numId w:val="100501670"/>
        </w:numPr>
        <w:ind w:left="360"/>
      </w:pPr>
      <w:r>
        <w:t xml:space="preserve">Hoe gaat u de kennis- en meetlacunes ten aanzien van gezondheidseffecten, bijvoorbeeld van zeer zorgwekkende stoffen (ZZS) en ultrafijnstof, adresseren?</w:t>
      </w:r>
      <w:r>
        <w:br/>
      </w:r>
    </w:p>
    <w:p>
      <w:pPr>
        <w:pStyle w:val="ListParagraph"/>
        <w:numPr>
          <w:ilvl w:val="0"/>
          <w:numId w:val="100501670"/>
        </w:numPr>
        <w:ind w:left="360"/>
      </w:pPr>
      <w:r>
        <w:t xml:space="preserve">Hoe gaat u de noodzakelijke omvang van het meetnetwerk, nieuwe meetmethoden en de resultaten daarvan een integraal en afdwingbaar onderdeel maken van de maatwerkafspraken?</w:t>
      </w:r>
      <w:r>
        <w:br/>
      </w:r>
    </w:p>
    <w:p>
      <w:pPr>
        <w:pStyle w:val="ListParagraph"/>
        <w:numPr>
          <w:ilvl w:val="0"/>
          <w:numId w:val="100501670"/>
        </w:numPr>
        <w:ind w:left="360"/>
      </w:pPr>
      <w:r>
        <w:t xml:space="preserve">Bent u van plan om, in lijn met het advies van de Expertgroep Gezondheid IJmond, afdwingbare gezondheidsdoelen op te nemen in de uiteindelijke maatwerkafspraak, en hoe worden deze doelen vastgesteld (bijvoorbeeld op basis van waarden voor een gemiddelde stad of WHO-richtlijnen)?</w:t>
      </w:r>
      <w:r>
        <w:br/>
      </w:r>
    </w:p>
    <w:p>
      <w:pPr>
        <w:pStyle w:val="ListParagraph"/>
        <w:numPr>
          <w:ilvl w:val="0"/>
          <w:numId w:val="100501670"/>
        </w:numPr>
        <w:ind w:left="360"/>
      </w:pPr>
      <w:r>
        <w:t xml:space="preserve">Gaat u naast emissiedoelen ook immissiedoelen opnemen in de maatwerkafspraak?</w:t>
      </w:r>
      <w:r>
        <w:br/>
      </w:r>
    </w:p>
    <w:p>
      <w:pPr>
        <w:pStyle w:val="ListParagraph"/>
        <w:numPr>
          <w:ilvl w:val="0"/>
          <w:numId w:val="100501670"/>
        </w:numPr>
        <w:ind w:left="360"/>
      </w:pPr>
      <w:r>
        <w:t xml:space="preserve">Hoe bent u voornemens op dergelijke doelen te handhaven, en welke consequenties – zoals ontbindende voorwaarden, boetes of terugvorderingen – worden verbonden aan het niet behalen van de gezondheidsdoelen?</w:t>
      </w:r>
      <w:r>
        <w:br/>
      </w:r>
    </w:p>
    <w:p>
      <w:pPr>
        <w:pStyle w:val="ListParagraph"/>
        <w:numPr>
          <w:ilvl w:val="0"/>
          <w:numId w:val="100501670"/>
        </w:numPr>
        <w:ind w:left="360"/>
      </w:pPr>
      <w:r>
        <w:t xml:space="preserve">Bent u voornemens om periodieke evaluatiemomenten (bijvoorbeeld elke twee jaar) vast te leggen, waarin wordt beoordeeld of aanvullende maatregelen noodzakelijk zijn?</w:t>
      </w:r>
      <w:r>
        <w:br/>
      </w:r>
    </w:p>
    <w:p>
      <w:pPr>
        <w:pStyle w:val="ListParagraph"/>
        <w:numPr>
          <w:ilvl w:val="0"/>
          <w:numId w:val="100501670"/>
        </w:numPr>
        <w:ind w:left="360"/>
      </w:pPr>
      <w:r>
        <w:t xml:space="preserve">Bent u van plan om in lijn met het advies van de Expertgroep Gezondheid IJmond naast gezondheidsafspraken en -doelen voor nieuwe installaties ook afspraken over bestaande installaties op te nemen in de maatwerkafspraak?</w:t>
      </w:r>
      <w:r>
        <w:br/>
      </w:r>
    </w:p>
    <w:p>
      <w:pPr>
        <w:pStyle w:val="ListParagraph"/>
        <w:numPr>
          <w:ilvl w:val="0"/>
          <w:numId w:val="100501670"/>
        </w:numPr>
        <w:ind w:left="360"/>
      </w:pPr>
      <w:r>
        <w:t xml:space="preserve">Hoe gaat u de weging en toetsing van het kosteneffectiviteitsbeginsel specifiek voor investeringen in Best Beschikbare Technieken (BBT) voor ZZS, versterken en verbreden met maatschappelijke waarden zoals gezondheid?</w:t>
      </w:r>
      <w:r>
        <w:br/>
      </w:r>
    </w:p>
    <w:p>
      <w:pPr>
        <w:pStyle w:val="ListParagraph"/>
        <w:numPr>
          <w:ilvl w:val="0"/>
          <w:numId w:val="100501670"/>
        </w:numPr>
        <w:ind w:left="360"/>
      </w:pPr>
      <w:r>
        <w:t xml:space="preserve">Heeft u Tata Steel verzocht om in de MER-alternatieven op te nemen die bijvoorbeeld de gezondheidswinst of de CO₂-reductie maximaliseren, zodat een betere afweging kan worden gemaakt?</w:t>
      </w:r>
      <w:r>
        <w:br/>
      </w:r>
    </w:p>
    <w:p>
      <w:pPr>
        <w:pStyle w:val="ListParagraph"/>
        <w:numPr>
          <w:ilvl w:val="0"/>
          <w:numId w:val="100501670"/>
        </w:numPr>
        <w:ind w:left="360"/>
      </w:pPr>
      <w:r>
        <w:t xml:space="preserve">Waarom hanteert Tata Steel in de MER een andere productiecapaciteit – en daarmee mogelijk een andere uitstoot – dan in de JLoI, en wat zijn daarvan de consequenties?</w:t>
      </w:r>
      <w:r>
        <w:br/>
      </w:r>
    </w:p>
    <w:p>
      <w:pPr>
        <w:pStyle w:val="ListParagraph"/>
        <w:numPr>
          <w:ilvl w:val="0"/>
          <w:numId w:val="100501670"/>
        </w:numPr>
        <w:ind w:left="360"/>
      </w:pPr>
      <w:r>
        <w:t xml:space="preserve">Hoe (juridisch) zeker zijn de vergunningen voor emissies van Tata als de gezondheid en dus het belang van omwonenden onvoldoende is meegewogen? Kunt u bij het beantwoorden van deze vraag de jurisprudentie van de RBV-zaak van omwonenden tegen Schiphol meewegen, waarbij de rechter oordeelde met verwijzing naar het Europees Verdrag tot bescherming van de rechten van de mens en de fundamentele vrijheden?  </w:t>
      </w:r>
      <w:r>
        <w:br/>
      </w:r>
    </w:p>
    <w:p>
      <w:pPr>
        <w:pStyle w:val="ListParagraph"/>
        <w:numPr>
          <w:ilvl w:val="0"/>
          <w:numId w:val="100501670"/>
        </w:numPr>
        <w:ind w:left="360"/>
      </w:pPr>
      <w:r>
        <w:t xml:space="preserve">Hoe houdbaar zijn de maatwerkafspraken als deze vergunningen vereisen die niet vergunbaar zijn of door de rechter worden vernietigd? Wat zijn de gevolgen van een vernietigde vergunning voor de maatwerkafspraken en de subsidies of andere incentives? </w:t>
      </w:r>
      <w:r>
        <w:br/>
      </w:r>
    </w:p>
    <w:p>
      <w:pPr>
        <w:pStyle w:val="ListParagraph"/>
        <w:numPr>
          <w:ilvl w:val="0"/>
          <w:numId w:val="100501670"/>
        </w:numPr>
        <w:ind w:left="360"/>
      </w:pPr>
      <w:r>
        <w:t xml:space="preserve">Kunt u toelichten hoe de economische en maatschappelijke baten van Tata Steel voor Nederland zich verhouden tot de NOx-emissie en welke maatschappelijke baten gegenereerd kunnen worden door deze emissie te verminderen of anders ‘te besteden'?</w:t>
      </w:r>
      <w:r>
        <w:br/>
      </w:r>
    </w:p>
    <w:p>
      <w:pPr>
        <w:pStyle w:val="ListParagraph"/>
        <w:numPr>
          <w:ilvl w:val="0"/>
          <w:numId w:val="100501670"/>
        </w:numPr>
        <w:ind w:left="360"/>
      </w:pPr>
      <w:r>
        <w:t xml:space="preserve">Kunt u toelichten op welke wijze de voorgenomen maatwerkafspraak met Tata Steel leidt tot additionele CO₂-reductie ten opzichte van de geldende Nederlandse en Europese klimaatdoelstellingen?</w:t>
      </w:r>
      <w:r>
        <w:br/>
      </w:r>
    </w:p>
    <w:p>
      <w:pPr>
        <w:pStyle w:val="ListParagraph"/>
        <w:numPr>
          <w:ilvl w:val="0"/>
          <w:numId w:val="100501670"/>
        </w:numPr>
        <w:ind w:left="360"/>
      </w:pPr>
      <w:r>
        <w:t xml:space="preserve">Onderschrijft u dat binnen het EU ETS productbenchmarks worden toegepast om de hoeveelheid gratis emissierechten voor individuele installaties te bepalen en niet bepalend zijn voor de hoeveelheid emissierechten binnen het EU ETS?</w:t>
      </w:r>
      <w:r>
        <w:br/>
      </w:r>
    </w:p>
    <w:p>
      <w:pPr>
        <w:pStyle w:val="ListParagraph"/>
        <w:numPr>
          <w:ilvl w:val="0"/>
          <w:numId w:val="100501670"/>
        </w:numPr>
        <w:ind w:left="360"/>
      </w:pPr>
      <w:r>
        <w:t xml:space="preserve">Onderschrijft u dat ETS-benchmarks primair gebaseerd zijn op de prestaties van bestaande installaties en daarmee een afspiegeling vormen van de huidige stand van de techniek, niet het reductiepotentieel of de beschikbare transitie- of mitigatieopties?</w:t>
      </w:r>
      <w:r>
        <w:br/>
      </w:r>
    </w:p>
    <w:p>
      <w:pPr>
        <w:pStyle w:val="ListParagraph"/>
        <w:numPr>
          <w:ilvl w:val="0"/>
          <w:numId w:val="100501670"/>
        </w:numPr>
        <w:ind w:left="360"/>
      </w:pPr>
      <w:r>
        <w:t xml:space="preserve">Kunt u toelichten welke rol ETS-benchmarks spelen in de beoordeling of de voorgenomen CO₂-reductie door Tata Steel additioneel is ten opzichte van wat reeds door het EU ETS wordt afgedwongen, en heeft een aanpassing van de benchmarks – zoals aangekondigd door de Europese Commissie – hier invloed op?</w:t>
      </w:r>
      <w:r>
        <w:br/>
      </w:r>
    </w:p>
    <w:p>
      <w:pPr>
        <w:pStyle w:val="ListParagraph"/>
        <w:numPr>
          <w:ilvl w:val="0"/>
          <w:numId w:val="100501670"/>
        </w:numPr>
        <w:ind w:left="360"/>
      </w:pPr>
      <w:r>
        <w:t xml:space="preserve">Welke criteria hanteert u om te bepalen of sprake is van “versnelde” CO₂-reductie in het geval van Tata Steel, en hoe verhouden deze criteria zich tot het reductietempo dat reeds volgt uit het EU ETS?</w:t>
      </w:r>
      <w:r>
        <w:br/>
      </w:r>
    </w:p>
    <w:p>
      <w:pPr>
        <w:pStyle w:val="ListParagraph"/>
        <w:numPr>
          <w:ilvl w:val="0"/>
          <w:numId w:val="100501670"/>
        </w:numPr>
        <w:ind w:left="360"/>
      </w:pPr>
      <w:r>
        <w:t xml:space="preserve">Kunt u toelichten welke rol deze criteria, en specifiek de ETS-benchmarks, spelen in de beoordeling of Tata Steel in aanmerking komt voor staatsteun?</w:t>
      </w:r>
      <w:r>
        <w:br/>
      </w:r>
    </w:p>
    <w:p>
      <w:pPr>
        <w:pStyle w:val="ListParagraph"/>
        <w:numPr>
          <w:ilvl w:val="0"/>
          <w:numId w:val="100501670"/>
        </w:numPr>
        <w:ind w:left="360"/>
      </w:pPr>
      <w:r>
        <w:t xml:space="preserve">Hoe weegt u in dit kader de Europese CO2-grensheffing (CBAM) en de versnelde afbouw van gratis rechten en de prikkel die daarmee ontstaat, ongeacht mogelijke staatsteun, om te investeren in verduurzaming?</w:t>
      </w:r>
      <w:r>
        <w:br/>
      </w:r>
    </w:p>
    <w:p>
      <w:pPr>
        <w:pStyle w:val="ListParagraph"/>
        <w:numPr>
          <w:ilvl w:val="0"/>
          <w:numId w:val="100501670"/>
        </w:numPr>
        <w:ind w:left="360"/>
      </w:pPr>
      <w:r>
        <w:t xml:space="preserve">Is er nog steeds sprake van ‘versnelde’ CO2-reductie, en voldoende onderbouwing voor staatssteun, als Tata Steel slechts de overstap van kolen naar aardgas maakt in fase 1 – en niet overstapt op groen gas of –waterstof?</w:t>
      </w:r>
      <w:r>
        <w:br/>
      </w:r>
    </w:p>
    <w:p>
      <w:pPr>
        <w:pStyle w:val="ListParagraph"/>
        <w:numPr>
          <w:ilvl w:val="0"/>
          <w:numId w:val="100501670"/>
        </w:numPr>
        <w:ind w:left="360"/>
      </w:pPr>
      <w:r>
        <w:t xml:space="preserve">Worden er harde doelen en tijdlijnen opgenomen over CO2-reductie en investeringen in fase 2 – de tweede helft van de fabriek – of staat het Tata Steel vrij om die investeringen niet te doen of zelfs de tweede helft van de fabriek te sluiten?</w:t>
      </w:r>
      <w:r>
        <w:br/>
      </w:r>
    </w:p>
    <w:p>
      <w:pPr>
        <w:pStyle w:val="ListParagraph"/>
        <w:numPr>
          <w:ilvl w:val="0"/>
          <w:numId w:val="100501670"/>
        </w:numPr>
        <w:ind w:left="360"/>
      </w:pPr>
      <w:r>
        <w:t xml:space="preserve">Worden er met het oog op de strategische autonomie en importafhankelijkheid harde garanties opgenomen in de maatwerkafspraak dat Tata Steel ten laatste voor 2032 overstapt op hernieuwbare energie en dat nieuwe installaties niet nog vele jaren op aardgas draaien?</w:t>
      </w:r>
      <w:r>
        <w:br/>
      </w:r>
    </w:p>
    <w:p>
      <w:pPr>
        <w:pStyle w:val="ListParagraph"/>
        <w:numPr>
          <w:ilvl w:val="0"/>
          <w:numId w:val="100501670"/>
        </w:numPr>
        <w:ind w:left="360"/>
      </w:pPr>
      <w:r>
        <w:t xml:space="preserve">Hoe worden de ketenemissies van aardgas – zoals methaanlekkage en transportkosten – meegenomen in de afspraken? Zijn daar analyses van en worden ook daar doelen voor gesteld?</w:t>
      </w:r>
      <w:r>
        <w:br/>
      </w:r>
    </w:p>
    <w:p>
      <w:pPr>
        <w:pStyle w:val="ListParagraph"/>
        <w:numPr>
          <w:ilvl w:val="0"/>
          <w:numId w:val="100501670"/>
        </w:numPr>
        <w:ind w:left="360"/>
      </w:pPr>
      <w:r>
        <w:t xml:space="preserve">Kunt u bevestigen dat Tata Steel, afgaande op afspraken in de intentieverklaring, de 200 miljoen euro staatsteun kan gebruiken om, mogelijk zelfs buiten Nederland, certificaten voor groen gas te kopen en dus kan beslissen om fysiek door te draaien op aardgas?</w:t>
      </w:r>
      <w:r>
        <w:br/>
      </w:r>
    </w:p>
    <w:p>
      <w:pPr>
        <w:pStyle w:val="ListParagraph"/>
        <w:numPr>
          <w:ilvl w:val="0"/>
          <w:numId w:val="100501670"/>
        </w:numPr>
        <w:ind w:left="360"/>
      </w:pPr>
      <w:r>
        <w:t xml:space="preserve">Hoe wordt de businesscase van wind op zee meegewogen in de beslissing om te kiezen voor groen gas of groene waterstof?</w:t>
      </w:r>
      <w:r>
        <w:br/>
      </w:r>
    </w:p>
    <w:p>
      <w:pPr>
        <w:pStyle w:val="ListParagraph"/>
        <w:numPr>
          <w:ilvl w:val="0"/>
          <w:numId w:val="100501670"/>
        </w:numPr>
        <w:ind w:left="360"/>
      </w:pPr>
      <w:r>
        <w:t xml:space="preserve">Waarom wordt wat betreft groen gas of waterstof enkel gekozen voor optionele subsidiering, in plaats van, of in combinatie met afdwingbare afspraken – en wordt dit in de maatwerkafspraak aangepast?</w:t>
      </w:r>
      <w:r>
        <w:br/>
      </w:r>
    </w:p>
    <w:p>
      <w:pPr>
        <w:pStyle w:val="ListParagraph"/>
        <w:numPr>
          <w:ilvl w:val="0"/>
          <w:numId w:val="100501670"/>
        </w:numPr>
        <w:ind w:left="360"/>
      </w:pPr>
      <w:r>
        <w:t xml:space="preserve">Is er door u een vergelijking gemaakt tussen de (maatschappelijke) kosten van het huidige plannen en een scenario waarbij afspraken worden gemaakt met andere landen of producenten over de import van met hernieuwbare energie geproduceerde Hot Briquetted Iron (HBI), dat vervolgens door Tata Steel IJmuiden wordt verwerkt tot groen staal?</w:t>
      </w:r>
      <w:r>
        <w:br/>
      </w:r>
    </w:p>
    <w:p>
      <w:pPr>
        <w:pStyle w:val="ListParagraph"/>
        <w:numPr>
          <w:ilvl w:val="0"/>
          <w:numId w:val="100501670"/>
        </w:numPr>
        <w:ind w:left="360"/>
      </w:pPr>
      <w:r>
        <w:t xml:space="preserve">Hoe weegt u de maatschappelijke kosten, zoals werkgelegenheid, benodigde subsidie en investeringen met een scenario met (ten dele) HBI-import?</w:t>
      </w:r>
      <w:r>
        <w:br/>
      </w:r>
    </w:p>
    <w:p>
      <w:pPr>
        <w:pStyle w:val="ListParagraph"/>
        <w:numPr>
          <w:ilvl w:val="0"/>
          <w:numId w:val="100501670"/>
        </w:numPr>
        <w:ind w:left="360"/>
      </w:pPr>
      <w:r>
        <w:t xml:space="preserve">Hoe weegt u consequenties van de import van HBI tegenover de import van aardgas, kolen, groen gas, waterstof en ijzererts voor de Nederlandse en Europese strategische autonomie?</w:t>
      </w:r>
      <w:r>
        <w:br/>
      </w:r>
    </w:p>
    <w:p>
      <w:pPr>
        <w:pStyle w:val="ListParagraph"/>
        <w:numPr>
          <w:ilvl w:val="0"/>
          <w:numId w:val="100501670"/>
        </w:numPr>
        <w:ind w:left="360"/>
      </w:pPr>
      <w:r>
        <w:t xml:space="preserve">In hoeverre wordt de ambitie uit het coalitieakkoord om in 2050 een volledig circulaire economie te hebben meegenomen in de uitwerking van de intentieverklaring?</w:t>
      </w:r>
      <w:r>
        <w:br/>
      </w:r>
    </w:p>
    <w:p>
      <w:pPr>
        <w:pStyle w:val="ListParagraph"/>
        <w:numPr>
          <w:ilvl w:val="0"/>
          <w:numId w:val="100501670"/>
        </w:numPr>
        <w:ind w:left="360"/>
      </w:pPr>
      <w:r>
        <w:t xml:space="preserve">Worden er circulaire (tussen)doelen opgenomen in de afspraken – zowel in fase 1 als 2 - en die afrekenbaar gemaakt?</w:t>
      </w:r>
      <w:r>
        <w:br/>
      </w:r>
    </w:p>
    <w:p>
      <w:pPr>
        <w:pStyle w:val="ListParagraph"/>
        <w:numPr>
          <w:ilvl w:val="0"/>
          <w:numId w:val="100501670"/>
        </w:numPr>
        <w:ind w:left="360"/>
      </w:pPr>
      <w:r>
        <w:t xml:space="preserve">Hoe betrekt u de rest van de keten – denk aan afspraken over het oplopend gebruik van schroot, maar ook vraagcreatie voor circulair- en groen staal – bij de uitwerking van de intentieverklaring?</w:t>
      </w:r>
      <w:r>
        <w:br/>
      </w:r>
    </w:p>
    <w:p>
      <w:pPr>
        <w:pStyle w:val="ListParagraph"/>
        <w:numPr>
          <w:ilvl w:val="0"/>
          <w:numId w:val="100501670"/>
        </w:numPr>
        <w:ind w:left="360"/>
      </w:pPr>
      <w:r>
        <w:t xml:space="preserve">Ziet u het borgen van de financiële verantwoordelijkheid en aansprakelijkheid van Tata Steel Ltd. als een belangrijk onderdeel van de maatwerkafspraak?</w:t>
      </w:r>
      <w:r>
        <w:br/>
      </w:r>
    </w:p>
    <w:p>
      <w:pPr>
        <w:pStyle w:val="ListParagraph"/>
        <w:numPr>
          <w:ilvl w:val="0"/>
          <w:numId w:val="100501670"/>
        </w:numPr>
        <w:ind w:left="360"/>
      </w:pPr>
      <w:r>
        <w:t xml:space="preserve">In hoeverre zal Tata Steel Ltd. financieel bijdragen aan de investeringen aan de kant van Tata Steel en op welke manier?</w:t>
      </w:r>
      <w:r>
        <w:br/>
      </w:r>
    </w:p>
    <w:p>
      <w:pPr>
        <w:pStyle w:val="ListParagraph"/>
        <w:numPr>
          <w:ilvl w:val="0"/>
          <w:numId w:val="100501670"/>
        </w:numPr>
        <w:ind w:left="360"/>
      </w:pPr>
      <w:r>
        <w:t xml:space="preserve">Wat zijn de financiële consequenties voor de staat als de vergunningverlening vertraging oploopt en daarmee afspraken zoals nu uitgewerkt niet meer haalbaar blijken?</w:t>
      </w:r>
      <w:r>
        <w:br/>
      </w:r>
    </w:p>
    <w:p>
      <w:pPr>
        <w:pStyle w:val="ListParagraph"/>
        <w:numPr>
          <w:ilvl w:val="0"/>
          <w:numId w:val="100501670"/>
        </w:numPr>
        <w:ind w:left="360"/>
      </w:pPr>
      <w:r>
        <w:t xml:space="preserve">Maakt u zich in de onderhandelingen hard voor een financiële garantstelling – een zogenaamde 403-verklaring – van Tata Steel Ltd voor zaken als schulden, schoonmaakkosten of een sociaal plan?</w:t>
      </w:r>
      <w:r>
        <w:br/>
      </w:r>
    </w:p>
    <w:p>
      <w:pPr>
        <w:pStyle w:val="ListParagraph"/>
        <w:numPr>
          <w:ilvl w:val="0"/>
          <w:numId w:val="100501670"/>
        </w:numPr>
        <w:ind w:left="360"/>
      </w:pPr>
      <w:r>
        <w:t xml:space="preserve">Hoe wordt het Sociaal Contract Groen Staal – bedoeld om de werknemers zekerheid te verschaffen over hun toekomst - betrokken in de uitwerking van de intentieverklaring?</w:t>
      </w:r>
      <w:r>
        <w:br/>
      </w:r>
    </w:p>
    <w:p>
      <w:pPr>
        <w:pStyle w:val="ListParagraph"/>
        <w:numPr>
          <w:ilvl w:val="0"/>
          <w:numId w:val="100501670"/>
        </w:numPr>
        <w:ind w:left="360"/>
      </w:pPr>
      <w:r>
        <w:t xml:space="preserve">Gaat u een koppeling maken tussen de ondertekening van de maatwerkafspraak en de activering van het Sociaal Contract Groen Staal?</w:t>
      </w:r>
      <w:r>
        <w:br/>
      </w:r>
    </w:p>
    <w:p>
      <w:pPr>
        <w:pStyle w:val="ListParagraph"/>
        <w:numPr>
          <w:ilvl w:val="0"/>
          <w:numId w:val="100501670"/>
        </w:numPr>
        <w:ind w:left="360"/>
      </w:pPr>
      <w:r>
        <w:t xml:space="preserve">Kunt u deze vragen beantwoorden voor het plenaire debat over de intentieverklaring met Tata Steel?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