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2026Z06060</w:t>
        <w:br/>
      </w:r>
      <w:proofErr w:type="spellEnd"/>
    </w:p>
    <w:p>
      <w:pPr>
        <w:pStyle w:val="Normal"/>
        <w:rPr>
          <w:b w:val="1"/>
          <w:bCs w:val="1"/>
        </w:rPr>
      </w:pPr>
      <w:r w:rsidR="250AE766">
        <w:rPr>
          <w:b w:val="0"/>
          <w:bCs w:val="0"/>
        </w:rPr>
        <w:t>(ingezonden 25 maart 2026)</w:t>
        <w:br/>
      </w:r>
    </w:p>
    <w:p>
      <w:r>
        <w:t xml:space="preserve">Vragen van het lid Van der Plas (BBB) aan de ministers van Justitie en Veiligheid en van Volksgezondheid, Welzijn en Sport over het artikel 'Dominique werd mishandeld en deed aangifte, maar hoort niets van de politie. Herkenbaar'</w:t>
      </w:r>
      <w:r>
        <w:br/>
      </w:r>
    </w:p>
    <w:p>
      <w:r>
        <w:t xml:space="preserve"> </w:t>
      </w:r>
      <w:r>
        <w:br/>
      </w:r>
    </w:p>
    <w:p>
      <w:pPr>
        <w:pStyle w:val="ListParagraph"/>
        <w:numPr>
          <w:ilvl w:val="0"/>
          <w:numId w:val="100501700"/>
        </w:numPr>
        <w:ind w:left="360"/>
      </w:pPr>
      <w:r>
        <w:t xml:space="preserve">Bent u bekend met het artikel 'Dominique werd mishandeld en deed aangifte, maar hoort niets van de politie. Herkenbaar'? 1)</w:t>
      </w:r>
      <w:r>
        <w:br/>
      </w:r>
    </w:p>
    <w:p>
      <w:pPr>
        <w:pStyle w:val="ListParagraph"/>
        <w:numPr>
          <w:ilvl w:val="0"/>
          <w:numId w:val="100501700"/>
        </w:numPr>
        <w:ind w:left="360"/>
      </w:pPr>
      <w:r>
        <w:t xml:space="preserve">Hoe kan het dat een zorgmedewerkster na aangifte van mishandeling niets verneemt van politie of Openbaar Ministerie (OM), terwijl geweld tegen mensen met een publieke taak volgens u prioriteit heeft?</w:t>
      </w:r>
      <w:r>
        <w:br/>
      </w:r>
    </w:p>
    <w:p>
      <w:pPr>
        <w:pStyle w:val="ListParagraph"/>
        <w:numPr>
          <w:ilvl w:val="0"/>
          <w:numId w:val="100501700"/>
        </w:numPr>
        <w:ind w:left="360"/>
      </w:pPr>
      <w:r>
        <w:t xml:space="preserve">Welke onderdelen van de eenduidige landelijke afspraken (ELA), waarin staat dat meldingen directe opvolging krijgen en slachtoffers worden geïnformeerd, zijn in deze casus niet nageleefd, en wie is daarvoor verantwoordelijk?</w:t>
      </w:r>
      <w:r>
        <w:br/>
      </w:r>
    </w:p>
    <w:p>
      <w:pPr>
        <w:pStyle w:val="ListParagraph"/>
        <w:numPr>
          <w:ilvl w:val="0"/>
          <w:numId w:val="100501700"/>
        </w:numPr>
        <w:ind w:left="360"/>
      </w:pPr>
      <w:r>
        <w:t xml:space="preserve">Hoe vaak komt het voor dat slachtoffers van geweld tegen functionarissen met een publieke taak na aangifte geen enkele terugkoppeling ontvangen van politie of OM?</w:t>
      </w:r>
      <w:r>
        <w:br/>
      </w:r>
    </w:p>
    <w:p>
      <w:pPr>
        <w:pStyle w:val="ListParagraph"/>
        <w:numPr>
          <w:ilvl w:val="0"/>
          <w:numId w:val="100501700"/>
        </w:numPr>
        <w:ind w:left="360"/>
      </w:pPr>
      <w:r>
        <w:t xml:space="preserve">Herinnert u zich uw uitspraak tijdens het commissiedebat boa-stelsel, waarin u stelde dat bij circa 85% van de aangiftes van geweld tegen mensen met een publieke taak sprake is van een strafvorderlijke reactie, en dat dit “hoopvolle cijfers” zijn?</w:t>
      </w:r>
      <w:r>
        <w:br/>
      </w:r>
    </w:p>
    <w:p>
      <w:pPr>
        <w:pStyle w:val="ListParagraph"/>
        <w:numPr>
          <w:ilvl w:val="0"/>
          <w:numId w:val="100501700"/>
        </w:numPr>
        <w:ind w:left="360"/>
      </w:pPr>
      <w:r>
        <w:t xml:space="preserve">Hoe rijmt u deze “hoopvolle cijfers” met concrete gevallen waarin slachtoffers, zoals deze zorgmedewerkster in kwestie, überhaupt niets vernemen of te horen krijgen, en het lijkt alsof hun zaak stilvalt?</w:t>
      </w:r>
      <w:r>
        <w:br/>
      </w:r>
    </w:p>
    <w:p>
      <w:pPr>
        <w:pStyle w:val="ListParagraph"/>
        <w:numPr>
          <w:ilvl w:val="0"/>
          <w:numId w:val="100501700"/>
        </w:numPr>
        <w:ind w:left="360"/>
      </w:pPr>
      <w:r>
        <w:t xml:space="preserve">Deelt u de mening dat het onacceptabel is dat mensen met een publieke taak niets meer horen en dat dat nooit zou mogen gebeuren, en dat we als overheid een vuist moeten maken van harde aanpak van (vermeend) geweld tegen mensen met een publieke taak?</w:t>
      </w:r>
      <w:r>
        <w:br/>
      </w:r>
    </w:p>
    <w:p>
      <w:pPr>
        <w:pStyle w:val="ListParagraph"/>
        <w:numPr>
          <w:ilvl w:val="0"/>
          <w:numId w:val="100501700"/>
        </w:numPr>
        <w:ind w:left="360"/>
      </w:pPr>
      <w:r>
        <w:t xml:space="preserve">Kunt u exact specificeren wat onder een “strafvorderlijke reactie” valt, en hoeveel van deze gevallen bestaan uit seponeringen of afdoeningen zonder actieve terugkoppeling richting het slachtoffer?</w:t>
      </w:r>
      <w:r>
        <w:br/>
      </w:r>
    </w:p>
    <w:p>
      <w:pPr>
        <w:pStyle w:val="ListParagraph"/>
        <w:numPr>
          <w:ilvl w:val="0"/>
          <w:numId w:val="100501700"/>
        </w:numPr>
        <w:ind w:left="360"/>
      </w:pPr>
      <w:r>
        <w:t xml:space="preserve">Deelt u de conclusie dat geweld tegen functionarissen met een publieke taak volgens de ELA geen bagatelzaken zijn en altijd opvolging moeten krijgen, en hoe verklaart u dat dit in de praktijk toch misgaat?</w:t>
      </w:r>
      <w:r>
        <w:br/>
      </w:r>
    </w:p>
    <w:p>
      <w:pPr>
        <w:pStyle w:val="ListParagraph"/>
        <w:numPr>
          <w:ilvl w:val="0"/>
          <w:numId w:val="100501700"/>
        </w:numPr>
        <w:ind w:left="360"/>
      </w:pPr>
      <w:r>
        <w:t xml:space="preserve">Deelt u de conclusie van het Wetenschappelijk Onderzoek- en Datacentrum (WODC) dat de effectiviteit van deze afspraken groter kan zijn en dat eerdere evaluaties onvoldoende zijn opgevolgd? 2)</w:t>
      </w:r>
      <w:r>
        <w:br/>
      </w:r>
    </w:p>
    <w:p>
      <w:pPr>
        <w:pStyle w:val="ListParagraph"/>
        <w:numPr>
          <w:ilvl w:val="0"/>
          <w:numId w:val="100501700"/>
        </w:numPr>
        <w:ind w:left="360"/>
      </w:pPr>
      <w:r>
        <w:t xml:space="preserve">Hoe beoordeelt u de constatering van het WODC dat geen uitgebreide nieuwe evaluatie nodig zou zijn, omdat met eerdere evaluaties weinig is gedaan?</w:t>
      </w:r>
      <w:r>
        <w:br/>
      </w:r>
    </w:p>
    <w:p>
      <w:pPr>
        <w:pStyle w:val="ListParagraph"/>
        <w:numPr>
          <w:ilvl w:val="0"/>
          <w:numId w:val="100501700"/>
        </w:numPr>
        <w:ind w:left="360"/>
      </w:pPr>
      <w:r>
        <w:t xml:space="preserve">Herkent u signalen dat politie terughoudend is met het opnemen van aangiftes of het doorzetten van zaken wanneer de verdachte een ggz-patiënt betreft? Zo ja, waardoor komt dit?</w:t>
      </w:r>
      <w:r>
        <w:br/>
      </w:r>
    </w:p>
    <w:p>
      <w:pPr>
        <w:pStyle w:val="ListParagraph"/>
        <w:numPr>
          <w:ilvl w:val="0"/>
          <w:numId w:val="100501700"/>
        </w:numPr>
        <w:ind w:left="360"/>
      </w:pPr>
      <w:r>
        <w:t xml:space="preserve">Hoe luidt het huidige beleid van de politie bij incidenten waarbij sprake is van verdachten met onbegrepen gedrag, in het bijzonder binnen de ggz?</w:t>
      </w:r>
      <w:r>
        <w:br/>
      </w:r>
    </w:p>
    <w:p>
      <w:pPr>
        <w:pStyle w:val="ListParagraph"/>
        <w:numPr>
          <w:ilvl w:val="0"/>
          <w:numId w:val="100501700"/>
        </w:numPr>
        <w:ind w:left="360"/>
      </w:pPr>
      <w:r>
        <w:t xml:space="preserve">In hoeverre zijn politieagenten voldoende toegerust en getraind om om te gaan met verdachten met onbegrepen gedrag, zonder dat dit leidt tot het bagatelliseren van strafbare feiten?</w:t>
      </w:r>
      <w:r>
        <w:br/>
      </w:r>
    </w:p>
    <w:p>
      <w:pPr>
        <w:pStyle w:val="ListParagraph"/>
        <w:numPr>
          <w:ilvl w:val="0"/>
          <w:numId w:val="100501700"/>
        </w:numPr>
        <w:ind w:left="360"/>
      </w:pPr>
      <w:r>
        <w:t xml:space="preserve">Hoe vaak worden verdachten met onbegrepen gedrag na een geweldsincident niet aangehouden en/of vervolgd, maar direct teruggestuurd naar de zorginstelling? Op basis van welke criteria gebeurt dit?</w:t>
      </w:r>
      <w:r>
        <w:br/>
      </w:r>
    </w:p>
    <w:p>
      <w:pPr>
        <w:pStyle w:val="ListParagraph"/>
        <w:numPr>
          <w:ilvl w:val="0"/>
          <w:numId w:val="100501700"/>
        </w:numPr>
        <w:ind w:left="360"/>
      </w:pPr>
      <w:r>
        <w:t xml:space="preserve">Acht u de huidige eenduidige landelijke afspraken te vrijblijvend? Zo nee, hoe verklaart u dan dat ze in de praktijk niet consequent worden nageleefd?</w:t>
      </w:r>
      <w:r>
        <w:br/>
      </w:r>
    </w:p>
    <w:p>
      <w:pPr>
        <w:pStyle w:val="ListParagraph"/>
        <w:numPr>
          <w:ilvl w:val="0"/>
          <w:numId w:val="100501700"/>
        </w:numPr>
        <w:ind w:left="360"/>
      </w:pPr>
      <w:r>
        <w:t xml:space="preserve">Bent u bereid onderdelen van de eenduidige landelijke afspraken wettelijk te verankeren, zodat naleving afdwingbaar wordt? Zo ja, aan welke onderdelen denkt u concreet? Zo nee, waarom niet?</w:t>
      </w:r>
      <w:r>
        <w:br/>
      </w:r>
    </w:p>
    <w:p>
      <w:pPr>
        <w:pStyle w:val="ListParagraph"/>
        <w:numPr>
          <w:ilvl w:val="0"/>
          <w:numId w:val="100501700"/>
        </w:numPr>
        <w:ind w:left="360"/>
      </w:pPr>
      <w:r>
        <w:t xml:space="preserve">Kunt u bevestigen dat u heeft toegezegd de Kamer vóór de zomer te informeren over de herziening van de eenduidige landelijke afspraken?</w:t>
      </w:r>
      <w:r>
        <w:br/>
      </w:r>
    </w:p>
    <w:p>
      <w:pPr>
        <w:pStyle w:val="ListParagraph"/>
        <w:numPr>
          <w:ilvl w:val="0"/>
          <w:numId w:val="100501700"/>
        </w:numPr>
        <w:ind w:left="360"/>
      </w:pPr>
      <w:r>
        <w:t xml:space="preserve">Wordt in deze herziening expliciet aandacht besteed aan communicatie richting slachtoffers, doorlooptijden, en het daadwerkelijk eisen van de stafverzwaring van 200%?</w:t>
      </w:r>
      <w:r>
        <w:br/>
      </w:r>
    </w:p>
    <w:p>
      <w:pPr>
        <w:pStyle w:val="ListParagraph"/>
        <w:numPr>
          <w:ilvl w:val="0"/>
          <w:numId w:val="100501700"/>
        </w:numPr>
        <w:ind w:left="360"/>
      </w:pPr>
      <w:r>
        <w:t xml:space="preserve">Wat vindt u ervan dat na navraag bij de zorgmedewerkster in kwestie nog altijd geen reactie is ontvangen vanuit het OM?</w:t>
      </w:r>
      <w:r>
        <w:br/>
      </w:r>
    </w:p>
    <w:p>
      <w:pPr>
        <w:pStyle w:val="ListParagraph"/>
        <w:numPr>
          <w:ilvl w:val="0"/>
          <w:numId w:val="100501700"/>
        </w:numPr>
        <w:ind w:left="360"/>
      </w:pPr>
      <w:r>
        <w:t xml:space="preserve">Acht u dit in lijn met de afspraak om slachtoffers “optimaal te informeren” zoals opgenomen in de landelijke afspraken?</w:t>
      </w:r>
      <w:r>
        <w:br/>
      </w:r>
    </w:p>
    <w:p>
      <w:pPr>
        <w:pStyle w:val="ListParagraph"/>
        <w:numPr>
          <w:ilvl w:val="0"/>
          <w:numId w:val="100501700"/>
        </w:numPr>
        <w:ind w:left="360"/>
      </w:pPr>
      <w:r>
        <w:t xml:space="preserve">Wat denkt u dat dit soort ervaringen doet met de bereidheid van mensen om in de zorg, en specifiek in de ggz, te blijven werken?</w:t>
      </w:r>
      <w:r>
        <w:br/>
      </w:r>
    </w:p>
    <w:p>
      <w:pPr>
        <w:pStyle w:val="ListParagraph"/>
        <w:numPr>
          <w:ilvl w:val="0"/>
          <w:numId w:val="100501700"/>
        </w:numPr>
        <w:ind w:left="360"/>
      </w:pPr>
      <w:r>
        <w:t xml:space="preserve">Deelt u de zorg dat het uitblijven van zichtbare rechtshandhaving bij geweld tegen zorgpersoneel bijdraagt aan personeelstekorten?</w:t>
      </w:r>
      <w:r>
        <w:br/>
      </w:r>
    </w:p>
    <w:p>
      <w:pPr>
        <w:pStyle w:val="ListParagraph"/>
        <w:numPr>
          <w:ilvl w:val="0"/>
          <w:numId w:val="100501700"/>
        </w:numPr>
        <w:ind w:left="360"/>
      </w:pPr>
      <w:r>
        <w:t xml:space="preserve">In hoeverre speelt het feit dat slachtoffers met naam en toenaam in het dossier worden opgenomen een rol in de terughoudendheid van het willen doen van aangifte? Draagt dit ook bij aan personeelstekorten?</w:t>
      </w:r>
      <w:r>
        <w:br/>
      </w:r>
    </w:p>
    <w:p>
      <w:pPr>
        <w:pStyle w:val="ListParagraph"/>
        <w:numPr>
          <w:ilvl w:val="0"/>
          <w:numId w:val="100501700"/>
        </w:numPr>
        <w:ind w:left="360"/>
      </w:pPr>
      <w:r>
        <w:t xml:space="preserve">Welke mogelijkheden bestaan er momenteel voor zorgmedewerkers om geheel afgeschermd aangifte te doen?</w:t>
      </w:r>
      <w:r>
        <w:br/>
      </w:r>
    </w:p>
    <w:p>
      <w:pPr>
        <w:pStyle w:val="ListParagraph"/>
        <w:numPr>
          <w:ilvl w:val="0"/>
          <w:numId w:val="100501700"/>
        </w:numPr>
        <w:ind w:left="360"/>
      </w:pPr>
      <w:r>
        <w:t xml:space="preserve">In hoeverre wordt er in de praktijk gebruikgemaakt van deze mogelijkheden, en is de politie hier voldoende bekend mee?</w:t>
      </w:r>
      <w:r>
        <w:br/>
      </w:r>
    </w:p>
    <w:p>
      <w:pPr>
        <w:pStyle w:val="ListParagraph"/>
        <w:numPr>
          <w:ilvl w:val="0"/>
          <w:numId w:val="100501700"/>
        </w:numPr>
        <w:ind w:left="360"/>
      </w:pPr>
      <w:r>
        <w:t xml:space="preserve">Bent u bereid te onderzoeken of zorgmedewerkers standaard onder een vorm van geheel afgeschermde identiteit in het strafdossier kunnen worden opgenomen?</w:t>
      </w:r>
      <w:r>
        <w:br/>
      </w:r>
    </w:p>
    <w:p>
      <w:pPr>
        <w:pStyle w:val="ListParagraph"/>
        <w:numPr>
          <w:ilvl w:val="0"/>
          <w:numId w:val="100501700"/>
        </w:numPr>
        <w:ind w:left="360"/>
      </w:pPr>
      <w:r>
        <w:t xml:space="preserve">Worden bovenstaande aspecten meegenomen in het arbeidsmarktbeleid voor de zorg en in de aanpak van personeelstekorten?</w:t>
      </w:r>
      <w:r>
        <w:br/>
      </w:r>
    </w:p>
    <w:p>
      <w:pPr>
        <w:pStyle w:val="ListParagraph"/>
        <w:numPr>
          <w:ilvl w:val="0"/>
          <w:numId w:val="100501700"/>
        </w:numPr>
        <w:ind w:left="360"/>
      </w:pPr>
      <w:r>
        <w:t xml:space="preserve">Welke concrete maatregelen neemt u om ervoor te zorgen dat zorgmedewerkers zich veilig voelen om hun werk te blijven doen?</w:t>
      </w:r>
      <w:r>
        <w:br/>
      </w:r>
    </w:p>
    <w:p>
      <w:pPr>
        <w:pStyle w:val="ListParagraph"/>
        <w:numPr>
          <w:ilvl w:val="0"/>
          <w:numId w:val="100501700"/>
        </w:numPr>
        <w:ind w:left="360"/>
      </w:pPr>
      <w:r>
        <w:t xml:space="preserve">Bent u bereid om in aanvulling op vraag 27 te onderzoeken of alle mensen met een publieke taak, zoals brandweermensen, standaard onder een vorm van geheel afgeschermde identiteit in het strafdossier kunnen worden opgenomen?</w:t>
      </w:r>
      <w:r>
        <w:br/>
      </w:r>
    </w:p>
    <w:p>
      <w:pPr>
        <w:pStyle w:val="ListParagraph"/>
        <w:numPr>
          <w:ilvl w:val="0"/>
          <w:numId w:val="100501700"/>
        </w:numPr>
        <w:ind w:left="360"/>
      </w:pPr>
      <w:r>
        <w:t xml:space="preserve">Bent u bereid aanvullende maatregelen te treffen om te garanderen dat geweld tegen mensen met een publieke</w:t>
      </w:r>
      <w:r>
        <w:rPr>
          <w:b w:val="1"/>
          <w:bCs w:val="1"/>
        </w:rPr>
        <w:t xml:space="preserve"> </w:t>
      </w:r>
      <w:r>
        <w:rPr/>
        <w:t xml:space="preserve">taak altijd zichtbaar, snel en serieus wordt opgepakt, en dat slachtoffers structureel worden geïnformeerd over hun zaak?</w:t>
      </w:r>
      <w:r>
        <w:br/>
      </w:r>
    </w:p>
    <w:p>
      <w:r>
        <w:t xml:space="preserve"> </w:t>
      </w:r>
      <w:r>
        <w:br/>
      </w:r>
    </w:p>
    <w:p>
      <w:r>
        <w:t xml:space="preserve">1) Pointer, 4 november 2025, Dominique werd mishandeld en deed aangifte, maar hoort niets van de politie. Herkenbaar? (pointer.kro-ncrv.nl/dominique-mishandeld-deed-aangifte-maar-hoort-niets-van-politie-herkenbaar).</w:t>
      </w:r>
      <w:r>
        <w:br/>
      </w:r>
    </w:p>
    <w:p>
      <w:r>
        <w:t xml:space="preserve">2) WODC, 15 april 2025, Effect afspraken tegen agressie en geweld in publieke sector kan groter (www.wodc.nl/actueel/nieuws/2025/04/15/effect-afspraken-tegen-agressie-en-geweld-in-publieke-sector-kan-groter).</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