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926F8" w:rsidTr="00D9561B" w14:paraId="15A34020" w14:textId="77777777">
        <w:trPr>
          <w:trHeight w:val="1514"/>
        </w:trPr>
        <w:tc>
          <w:tcPr>
            <w:tcW w:w="7522" w:type="dxa"/>
            <w:tcBorders>
              <w:top w:val="nil"/>
              <w:left w:val="nil"/>
              <w:bottom w:val="nil"/>
              <w:right w:val="nil"/>
            </w:tcBorders>
            <w:tcMar>
              <w:left w:w="0" w:type="dxa"/>
              <w:right w:w="0" w:type="dxa"/>
            </w:tcMar>
          </w:tcPr>
          <w:p w:rsidR="00374412" w:rsidP="00D9561B" w:rsidRDefault="00040E65" w14:paraId="30CEE050" w14:textId="77777777">
            <w:r>
              <w:t>De v</w:t>
            </w:r>
            <w:r w:rsidR="008E3932">
              <w:t>oorzitter van de Tweede Kamer der Staten-Generaal</w:t>
            </w:r>
          </w:p>
          <w:p w:rsidR="00374412" w:rsidP="00D9561B" w:rsidRDefault="00040E65" w14:paraId="0B801F01" w14:textId="77777777">
            <w:r>
              <w:t>Postbus 20018</w:t>
            </w:r>
          </w:p>
          <w:p w:rsidR="008E3932" w:rsidP="00D9561B" w:rsidRDefault="00040E65" w14:paraId="4D3216D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926F8" w:rsidTr="00FF66F9" w14:paraId="6BF50DB4" w14:textId="77777777">
        <w:trPr>
          <w:trHeight w:val="289" w:hRule="exact"/>
        </w:trPr>
        <w:tc>
          <w:tcPr>
            <w:tcW w:w="929" w:type="dxa"/>
          </w:tcPr>
          <w:p w:rsidRPr="00434042" w:rsidR="0005404B" w:rsidP="00FF66F9" w:rsidRDefault="00040E65" w14:paraId="32DFD56E" w14:textId="77777777">
            <w:pPr>
              <w:rPr>
                <w:lang w:eastAsia="en-US"/>
              </w:rPr>
            </w:pPr>
            <w:r>
              <w:rPr>
                <w:lang w:eastAsia="en-US"/>
              </w:rPr>
              <w:t>Datum</w:t>
            </w:r>
          </w:p>
        </w:tc>
        <w:tc>
          <w:tcPr>
            <w:tcW w:w="6581" w:type="dxa"/>
          </w:tcPr>
          <w:p w:rsidRPr="00434042" w:rsidR="0005404B" w:rsidP="00FF66F9" w:rsidRDefault="00801D97" w14:paraId="500BB394" w14:textId="5B080BBA">
            <w:pPr>
              <w:rPr>
                <w:lang w:eastAsia="en-US"/>
              </w:rPr>
            </w:pPr>
            <w:r>
              <w:rPr>
                <w:lang w:eastAsia="en-US"/>
              </w:rPr>
              <w:t>25 maart 2026</w:t>
            </w:r>
          </w:p>
        </w:tc>
      </w:tr>
      <w:tr w:rsidR="00B926F8" w:rsidTr="00FF66F9" w14:paraId="0B9299F0" w14:textId="77777777">
        <w:trPr>
          <w:trHeight w:val="368"/>
        </w:trPr>
        <w:tc>
          <w:tcPr>
            <w:tcW w:w="929" w:type="dxa"/>
          </w:tcPr>
          <w:p w:rsidR="0005404B" w:rsidP="00FF66F9" w:rsidRDefault="00040E65" w14:paraId="331BA389" w14:textId="77777777">
            <w:pPr>
              <w:rPr>
                <w:lang w:eastAsia="en-US"/>
              </w:rPr>
            </w:pPr>
            <w:r>
              <w:rPr>
                <w:lang w:eastAsia="en-US"/>
              </w:rPr>
              <w:t>Betreft</w:t>
            </w:r>
          </w:p>
        </w:tc>
        <w:tc>
          <w:tcPr>
            <w:tcW w:w="6581" w:type="dxa"/>
          </w:tcPr>
          <w:p w:rsidR="0005404B" w:rsidP="00FF66F9" w:rsidRDefault="00040E65" w14:paraId="465D7D09" w14:textId="77777777">
            <w:pPr>
              <w:rPr>
                <w:lang w:eastAsia="en-US"/>
              </w:rPr>
            </w:pPr>
            <w:r>
              <w:rPr>
                <w:lang w:eastAsia="en-US"/>
              </w:rPr>
              <w:t xml:space="preserve">Antwoord op schriftelijke vragen van het lid Claassen (groep </w:t>
            </w:r>
            <w:proofErr w:type="spellStart"/>
            <w:r>
              <w:rPr>
                <w:lang w:eastAsia="en-US"/>
              </w:rPr>
              <w:t>Markuszower</w:t>
            </w:r>
            <w:proofErr w:type="spellEnd"/>
            <w:r>
              <w:rPr>
                <w:lang w:eastAsia="en-US"/>
              </w:rPr>
              <w:t>) over het bericht dat aan het begin van het studiejaar 2024-2025 de totale schuld in Nederland 29 miljard euro bedroeg</w:t>
            </w:r>
          </w:p>
        </w:tc>
      </w:tr>
    </w:tbl>
    <w:p w:rsidR="00B926F8" w:rsidRDefault="001C2C36" w14:paraId="1228539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C0F75" w:rsidR="00B926F8" w:rsidTr="00A421A1" w14:paraId="5B960000" w14:textId="77777777">
        <w:tc>
          <w:tcPr>
            <w:tcW w:w="2160" w:type="dxa"/>
          </w:tcPr>
          <w:p w:rsidRPr="00F53C9D" w:rsidR="006205C0" w:rsidP="00686AED" w:rsidRDefault="00040E65" w14:paraId="301BCC08" w14:textId="77777777">
            <w:pPr>
              <w:pStyle w:val="Colofonkop"/>
              <w:framePr w:hSpace="0" w:wrap="auto" w:hAnchor="text" w:vAnchor="margin" w:xAlign="left" w:yAlign="inline"/>
            </w:pPr>
            <w:r>
              <w:t>Hoger Onderwijs en Studiefinanciering</w:t>
            </w:r>
          </w:p>
          <w:p w:rsidR="006205C0" w:rsidP="00A421A1" w:rsidRDefault="00040E65" w14:paraId="356F1245" w14:textId="77777777">
            <w:pPr>
              <w:pStyle w:val="Huisstijl-Gegeven"/>
              <w:spacing w:after="0"/>
            </w:pPr>
            <w:r>
              <w:t xml:space="preserve">Rijnstraat 50 </w:t>
            </w:r>
          </w:p>
          <w:p w:rsidR="004425A7" w:rsidP="00E972A2" w:rsidRDefault="00040E65" w14:paraId="011C9FDC" w14:textId="77777777">
            <w:pPr>
              <w:pStyle w:val="Huisstijl-Gegeven"/>
              <w:spacing w:after="0"/>
            </w:pPr>
            <w:r>
              <w:t>Den Haag</w:t>
            </w:r>
          </w:p>
          <w:p w:rsidR="004425A7" w:rsidP="00E972A2" w:rsidRDefault="00040E65" w14:paraId="422D76A4" w14:textId="77777777">
            <w:pPr>
              <w:pStyle w:val="Huisstijl-Gegeven"/>
              <w:spacing w:after="0"/>
            </w:pPr>
            <w:r>
              <w:t>Postbus 16375</w:t>
            </w:r>
          </w:p>
          <w:p w:rsidR="004425A7" w:rsidP="00E972A2" w:rsidRDefault="00040E65" w14:paraId="652D4280" w14:textId="77777777">
            <w:pPr>
              <w:pStyle w:val="Huisstijl-Gegeven"/>
              <w:spacing w:after="0"/>
            </w:pPr>
            <w:r>
              <w:t>2500 BJ Den Haag</w:t>
            </w:r>
          </w:p>
          <w:p w:rsidR="004425A7" w:rsidP="00E972A2" w:rsidRDefault="00040E65" w14:paraId="145D1466" w14:textId="77777777">
            <w:pPr>
              <w:pStyle w:val="Huisstijl-Gegeven"/>
              <w:spacing w:after="90"/>
            </w:pPr>
            <w:r>
              <w:t>www.rijksoverheid.nl</w:t>
            </w:r>
          </w:p>
          <w:p w:rsidRPr="00D86CC6" w:rsidR="006205C0" w:rsidP="00A421A1" w:rsidRDefault="00040E65" w14:paraId="51E4561C" w14:textId="77777777">
            <w:pPr>
              <w:spacing w:line="180" w:lineRule="exact"/>
              <w:rPr>
                <w:b/>
                <w:sz w:val="13"/>
                <w:szCs w:val="13"/>
              </w:rPr>
            </w:pPr>
            <w:r>
              <w:rPr>
                <w:b/>
                <w:sz w:val="13"/>
                <w:szCs w:val="13"/>
              </w:rPr>
              <w:t>Contactpersoon</w:t>
            </w:r>
          </w:p>
          <w:p w:rsidRPr="00964197" w:rsidR="006205C0" w:rsidP="00A421A1" w:rsidRDefault="006205C0" w14:paraId="07FEF8A8" w14:textId="51F9EF5B">
            <w:pPr>
              <w:spacing w:line="180" w:lineRule="exact"/>
              <w:rPr>
                <w:sz w:val="13"/>
                <w:szCs w:val="13"/>
                <w:lang w:val="en-US"/>
              </w:rPr>
            </w:pPr>
          </w:p>
        </w:tc>
      </w:tr>
      <w:tr w:rsidRPr="00BC0F75" w:rsidR="00B926F8" w:rsidTr="00A421A1" w14:paraId="00FE1E4D" w14:textId="77777777">
        <w:trPr>
          <w:trHeight w:val="200" w:hRule="exact"/>
        </w:trPr>
        <w:tc>
          <w:tcPr>
            <w:tcW w:w="2160" w:type="dxa"/>
          </w:tcPr>
          <w:p w:rsidRPr="00964197" w:rsidR="006205C0" w:rsidP="00A421A1" w:rsidRDefault="006205C0" w14:paraId="248AEEF6" w14:textId="77777777">
            <w:pPr>
              <w:spacing w:after="90" w:line="180" w:lineRule="exact"/>
              <w:rPr>
                <w:sz w:val="13"/>
                <w:szCs w:val="13"/>
                <w:lang w:val="en-US"/>
              </w:rPr>
            </w:pPr>
          </w:p>
        </w:tc>
      </w:tr>
      <w:tr w:rsidR="00B926F8" w:rsidTr="00A421A1" w14:paraId="1CD238CA" w14:textId="77777777">
        <w:trPr>
          <w:trHeight w:val="450"/>
        </w:trPr>
        <w:tc>
          <w:tcPr>
            <w:tcW w:w="2160" w:type="dxa"/>
          </w:tcPr>
          <w:p w:rsidR="00F51A76" w:rsidP="00A421A1" w:rsidRDefault="00040E65" w14:paraId="2FDD15AA" w14:textId="77777777">
            <w:pPr>
              <w:spacing w:line="180" w:lineRule="exact"/>
              <w:rPr>
                <w:b/>
                <w:sz w:val="13"/>
                <w:szCs w:val="13"/>
              </w:rPr>
            </w:pPr>
            <w:r>
              <w:rPr>
                <w:b/>
                <w:sz w:val="13"/>
                <w:szCs w:val="13"/>
              </w:rPr>
              <w:t>Onze referentie</w:t>
            </w:r>
          </w:p>
          <w:p w:rsidRPr="00FA7882" w:rsidR="006205C0" w:rsidP="00215356" w:rsidRDefault="00040E65" w14:paraId="4F94DC3F" w14:textId="77777777">
            <w:pPr>
              <w:spacing w:line="180" w:lineRule="exact"/>
              <w:rPr>
                <w:sz w:val="13"/>
                <w:szCs w:val="13"/>
              </w:rPr>
            </w:pPr>
            <w:r>
              <w:rPr>
                <w:sz w:val="13"/>
                <w:szCs w:val="13"/>
              </w:rPr>
              <w:t>62583598</w:t>
            </w:r>
          </w:p>
        </w:tc>
      </w:tr>
      <w:tr w:rsidR="00B926F8" w:rsidTr="00D130C0" w14:paraId="78A0A6D7" w14:textId="77777777">
        <w:trPr>
          <w:trHeight w:val="113"/>
        </w:trPr>
        <w:tc>
          <w:tcPr>
            <w:tcW w:w="2160" w:type="dxa"/>
          </w:tcPr>
          <w:p w:rsidRPr="00C5333A" w:rsidR="006205C0" w:rsidP="00D36088" w:rsidRDefault="00040E65" w14:paraId="47D95BB9" w14:textId="77777777">
            <w:pPr>
              <w:tabs>
                <w:tab w:val="center" w:pos="1080"/>
              </w:tabs>
              <w:spacing w:line="180" w:lineRule="exact"/>
              <w:rPr>
                <w:sz w:val="13"/>
                <w:szCs w:val="13"/>
              </w:rPr>
            </w:pPr>
            <w:r>
              <w:rPr>
                <w:b/>
                <w:sz w:val="13"/>
                <w:szCs w:val="13"/>
              </w:rPr>
              <w:t>Bijlagen</w:t>
            </w:r>
          </w:p>
        </w:tc>
      </w:tr>
      <w:tr w:rsidR="00B926F8" w:rsidTr="00D130C0" w14:paraId="58251D72" w14:textId="77777777">
        <w:trPr>
          <w:trHeight w:val="113"/>
        </w:trPr>
        <w:tc>
          <w:tcPr>
            <w:tcW w:w="2160" w:type="dxa"/>
          </w:tcPr>
          <w:p w:rsidRPr="00D74F66" w:rsidR="006205C0" w:rsidP="00A421A1" w:rsidRDefault="006205C0" w14:paraId="462D6FC1" w14:textId="77777777">
            <w:pPr>
              <w:spacing w:after="90" w:line="180" w:lineRule="exact"/>
              <w:rPr>
                <w:sz w:val="13"/>
              </w:rPr>
            </w:pPr>
          </w:p>
        </w:tc>
      </w:tr>
    </w:tbl>
    <w:p w:rsidR="00215356" w:rsidRDefault="00215356" w14:paraId="22E7928E" w14:textId="77777777"/>
    <w:p w:rsidR="00105677" w:rsidP="00CA35E4" w:rsidRDefault="00964197" w14:paraId="1A2428A0" w14:textId="18A54D70">
      <w:pPr>
        <w:rPr>
          <w:lang w:eastAsia="en-US"/>
        </w:rPr>
      </w:pPr>
      <w:r>
        <w:t xml:space="preserve">Hierbij stuur ik de antwoorden op de vragen van het lid Claassen (groep </w:t>
      </w:r>
      <w:proofErr w:type="spellStart"/>
      <w:r>
        <w:t>Markuszower</w:t>
      </w:r>
      <w:proofErr w:type="spellEnd"/>
      <w:r>
        <w:t xml:space="preserve">) </w:t>
      </w:r>
      <w:r>
        <w:rPr>
          <w:lang w:eastAsia="en-US"/>
        </w:rPr>
        <w:t>over het bericht dat aan het begin van het studiejaar 2024-2025 de totale schuld in Nederland 29 miljard euro bedroeg.</w:t>
      </w:r>
    </w:p>
    <w:p w:rsidR="00964197" w:rsidP="00CA35E4" w:rsidRDefault="00964197" w14:paraId="4E2BEC28" w14:textId="77777777">
      <w:pPr>
        <w:rPr>
          <w:lang w:eastAsia="en-US"/>
        </w:rPr>
      </w:pPr>
    </w:p>
    <w:p w:rsidR="00964197" w:rsidP="00CA35E4" w:rsidRDefault="00964197" w14:paraId="4751EF20" w14:textId="10FDA8CC">
      <w:r>
        <w:rPr>
          <w:lang w:eastAsia="en-US"/>
        </w:rPr>
        <w:t xml:space="preserve">De vragen werden ingezonden op 12 februari 2026 met het kenmerk </w:t>
      </w:r>
      <w:r w:rsidRPr="00964197">
        <w:rPr>
          <w:lang w:eastAsia="en-US"/>
        </w:rPr>
        <w:t>2026Z03091</w:t>
      </w:r>
      <w:r>
        <w:rPr>
          <w:lang w:eastAsia="en-US"/>
        </w:rPr>
        <w:t>.</w:t>
      </w:r>
    </w:p>
    <w:p w:rsidR="00820DDA" w:rsidP="00CA35E4" w:rsidRDefault="00820DDA" w14:paraId="78374AE1" w14:textId="77777777"/>
    <w:p w:rsidR="00E84269" w:rsidP="00E84269" w:rsidRDefault="00E84269" w14:paraId="40B3DE3C" w14:textId="5D2A4A63"/>
    <w:p w:rsidR="007851C4" w:rsidP="00CA35E4" w:rsidRDefault="00040E65" w14:paraId="7C4081E3" w14:textId="77777777">
      <w:r w:rsidRPr="007851C4">
        <w:t xml:space="preserve"> </w:t>
      </w:r>
    </w:p>
    <w:p w:rsidR="007851C4" w:rsidP="00CA35E4" w:rsidRDefault="007851C4" w14:paraId="51C3CDE3" w14:textId="77777777"/>
    <w:p w:rsidR="00820DDA" w:rsidP="00CA35E4" w:rsidRDefault="00040E65" w14:paraId="5FBE5102" w14:textId="77777777">
      <w:r>
        <w:t>De minister van Onderwijs, Cultuur en Wetenschap,</w:t>
      </w:r>
    </w:p>
    <w:p w:rsidR="000F521E" w:rsidP="003A7160" w:rsidRDefault="000F521E" w14:paraId="2336A7E0" w14:textId="77777777"/>
    <w:p w:rsidR="000F521E" w:rsidP="003A7160" w:rsidRDefault="000F521E" w14:paraId="02D2F04E" w14:textId="77777777"/>
    <w:p w:rsidR="000F521E" w:rsidP="003A7160" w:rsidRDefault="000F521E" w14:paraId="71598F17" w14:textId="77777777"/>
    <w:p w:rsidR="000F521E" w:rsidP="003A7160" w:rsidRDefault="000F521E" w14:paraId="13D34C63" w14:textId="77777777"/>
    <w:p w:rsidR="000F521E" w:rsidP="003A7160" w:rsidRDefault="00040E65" w14:paraId="2C263314" w14:textId="77777777">
      <w:r w:rsidRPr="006C6CF8">
        <w:rPr>
          <w:lang w:eastAsia="en-US"/>
        </w:rPr>
        <w:t>Rianne Letschert</w:t>
      </w:r>
    </w:p>
    <w:p w:rsidR="00F01557" w:rsidP="003A7160" w:rsidRDefault="00F01557" w14:paraId="50825A2F" w14:textId="77777777"/>
    <w:p w:rsidR="00964197" w:rsidRDefault="00964197" w14:paraId="33CAA7B3" w14:textId="01B145D2">
      <w:pPr>
        <w:spacing w:line="240" w:lineRule="auto"/>
      </w:pPr>
      <w:r>
        <w:br w:type="page"/>
      </w:r>
    </w:p>
    <w:p w:rsidR="00750982" w:rsidP="00964197" w:rsidRDefault="00964197" w14:paraId="7877D5C2" w14:textId="77777777">
      <w:pPr>
        <w:rPr>
          <w:lang w:eastAsia="en-US"/>
        </w:rPr>
      </w:pPr>
      <w:r>
        <w:lastRenderedPageBreak/>
        <w:t xml:space="preserve">De antwoorden op de vragen van het lid Claassen (groep </w:t>
      </w:r>
      <w:proofErr w:type="spellStart"/>
      <w:r>
        <w:t>Markuszower</w:t>
      </w:r>
      <w:proofErr w:type="spellEnd"/>
      <w:r>
        <w:t xml:space="preserve">) </w:t>
      </w:r>
      <w:r>
        <w:rPr>
          <w:lang w:eastAsia="en-US"/>
        </w:rPr>
        <w:t xml:space="preserve">over het bericht dat aan het begin van het studiejaar 2024-2025 de totale schuld in Nederland 29 miljard euro bedroeg met kenmerk </w:t>
      </w:r>
      <w:r w:rsidRPr="00964197">
        <w:rPr>
          <w:lang w:eastAsia="en-US"/>
        </w:rPr>
        <w:t>2026Z03091</w:t>
      </w:r>
      <w:r>
        <w:rPr>
          <w:lang w:eastAsia="en-US"/>
        </w:rPr>
        <w:t>, ingezonden op 12 februari 2026.</w:t>
      </w:r>
    </w:p>
    <w:p w:rsidR="00750982" w:rsidP="00964197" w:rsidRDefault="00750982" w14:paraId="70657CD3" w14:textId="77777777">
      <w:pPr>
        <w:rPr>
          <w:lang w:eastAsia="en-US"/>
        </w:rPr>
      </w:pPr>
    </w:p>
    <w:p w:rsidR="00CC1F69" w:rsidP="00750982" w:rsidRDefault="00750982" w14:paraId="7B875CF6" w14:textId="77777777">
      <w:pPr>
        <w:rPr>
          <w:szCs w:val="18"/>
        </w:rPr>
      </w:pPr>
      <w:r w:rsidRPr="00990DA2">
        <w:rPr>
          <w:szCs w:val="18"/>
        </w:rPr>
        <w:t>Vraag 1</w:t>
      </w:r>
      <w:r w:rsidRPr="00990DA2">
        <w:rPr>
          <w:szCs w:val="18"/>
        </w:rPr>
        <w:br/>
        <w:t>Bent u bekend met het bericht over dat aan het begin van het studiejaar 2024-2025 de totale studieschuld in Nederland € 29 miljard bedroeg? [1]</w:t>
      </w:r>
    </w:p>
    <w:p w:rsidR="00CC1F69" w:rsidP="00750982" w:rsidRDefault="00CC1F69" w14:paraId="5AE22482" w14:textId="77777777">
      <w:pPr>
        <w:rPr>
          <w:szCs w:val="18"/>
        </w:rPr>
      </w:pPr>
    </w:p>
    <w:p w:rsidR="00CC1F69" w:rsidP="00750982" w:rsidRDefault="00CC1F69" w14:paraId="0874A524" w14:textId="77777777">
      <w:pPr>
        <w:rPr>
          <w:szCs w:val="18"/>
        </w:rPr>
      </w:pPr>
      <w:r>
        <w:rPr>
          <w:szCs w:val="18"/>
        </w:rPr>
        <w:t>Antwoord 1</w:t>
      </w:r>
    </w:p>
    <w:p w:rsidRPr="00990DA2" w:rsidR="00750982" w:rsidP="00750982" w:rsidRDefault="00CC1F69" w14:paraId="72B9BC0B" w14:textId="255A776B">
      <w:pPr>
        <w:rPr>
          <w:szCs w:val="18"/>
        </w:rPr>
      </w:pPr>
      <w:r>
        <w:rPr>
          <w:szCs w:val="18"/>
        </w:rPr>
        <w:t>Ja.</w:t>
      </w:r>
      <w:r w:rsidRPr="00990DA2" w:rsidR="00750982">
        <w:rPr>
          <w:szCs w:val="18"/>
        </w:rPr>
        <w:br/>
      </w:r>
    </w:p>
    <w:p w:rsidR="00750982" w:rsidP="00750982" w:rsidRDefault="00750982" w14:paraId="5A6FDF3E" w14:textId="77777777">
      <w:pPr>
        <w:rPr>
          <w:szCs w:val="18"/>
        </w:rPr>
      </w:pPr>
      <w:bookmarkStart w:name="_Hlk223685967" w:id="0"/>
      <w:r w:rsidRPr="00990DA2">
        <w:rPr>
          <w:szCs w:val="18"/>
        </w:rPr>
        <w:t>Vraag 2</w:t>
      </w:r>
      <w:r w:rsidRPr="00990DA2">
        <w:rPr>
          <w:szCs w:val="18"/>
        </w:rPr>
        <w:br/>
        <w:t>Kunt u aangeven welk deel van deze schuld naar verwachting uiteindelijk kwijtgescholden zal worden? Graag uitgesplitst naar de volgende categorieën: overlijden van de schuldenaar, medische gronden en kwijtschelding na afloop van de 35-jarige aflossingsperiode.</w:t>
      </w:r>
    </w:p>
    <w:bookmarkEnd w:id="0"/>
    <w:p w:rsidR="00CC1F69" w:rsidP="00750982" w:rsidRDefault="00CC1F69" w14:paraId="66A8BD1A" w14:textId="77777777">
      <w:pPr>
        <w:rPr>
          <w:szCs w:val="18"/>
        </w:rPr>
      </w:pPr>
    </w:p>
    <w:p w:rsidRPr="00CC1F69" w:rsidR="00CC1F69" w:rsidP="00CC1F69" w:rsidRDefault="00CC1F69" w14:paraId="1C4F4F78" w14:textId="52723F02">
      <w:pPr>
        <w:rPr>
          <w:szCs w:val="18"/>
        </w:rPr>
      </w:pPr>
      <w:r w:rsidRPr="00CC1F69">
        <w:rPr>
          <w:szCs w:val="18"/>
        </w:rPr>
        <w:t>Antwoord 2</w:t>
      </w:r>
    </w:p>
    <w:p w:rsidR="00CC1F69" w:rsidP="00CC1F69" w:rsidRDefault="00CC1F69" w14:paraId="1218F491" w14:textId="6F2B8695">
      <w:pPr>
        <w:rPr>
          <w:szCs w:val="18"/>
        </w:rPr>
      </w:pPr>
      <w:r w:rsidRPr="00CC1F69">
        <w:rPr>
          <w:szCs w:val="18"/>
        </w:rPr>
        <w:t>Het bedrag aan studieleningen dat niet wordt terugbetaald is afhankelijk van verschillende factoren</w:t>
      </w:r>
      <w:r w:rsidR="00497CA8">
        <w:rPr>
          <w:szCs w:val="18"/>
        </w:rPr>
        <w:t>. Denk daarbij aan</w:t>
      </w:r>
      <w:r w:rsidRPr="00CC1F69">
        <w:rPr>
          <w:szCs w:val="18"/>
        </w:rPr>
        <w:t xml:space="preserve"> leengedrag</w:t>
      </w:r>
      <w:r w:rsidR="00497CA8">
        <w:rPr>
          <w:szCs w:val="18"/>
        </w:rPr>
        <w:t xml:space="preserve"> van de student</w:t>
      </w:r>
      <w:r w:rsidRPr="00CC1F69">
        <w:rPr>
          <w:szCs w:val="18"/>
        </w:rPr>
        <w:t>,</w:t>
      </w:r>
      <w:r w:rsidR="00497CA8">
        <w:rPr>
          <w:szCs w:val="18"/>
        </w:rPr>
        <w:t xml:space="preserve"> de economische omstandigheden en de rentestanden</w:t>
      </w:r>
      <w:r w:rsidRPr="00CC1F69">
        <w:rPr>
          <w:szCs w:val="18"/>
        </w:rPr>
        <w:t>, die allemaal over een langere periode variëren. Een accurate raming van het bedrag</w:t>
      </w:r>
      <w:r w:rsidR="00BF5295">
        <w:rPr>
          <w:szCs w:val="18"/>
        </w:rPr>
        <w:t xml:space="preserve"> dat wordt kwijtgescholden</w:t>
      </w:r>
      <w:r w:rsidR="00F175DC">
        <w:rPr>
          <w:szCs w:val="18"/>
        </w:rPr>
        <w:t xml:space="preserve"> is</w:t>
      </w:r>
      <w:r w:rsidR="00A62617">
        <w:rPr>
          <w:szCs w:val="18"/>
        </w:rPr>
        <w:t xml:space="preserve"> voor de lange termijn</w:t>
      </w:r>
      <w:r w:rsidR="00F175DC">
        <w:rPr>
          <w:szCs w:val="18"/>
        </w:rPr>
        <w:t xml:space="preserve"> daarom niet te geven</w:t>
      </w:r>
      <w:r>
        <w:rPr>
          <w:szCs w:val="18"/>
        </w:rPr>
        <w:t xml:space="preserve">, zeker </w:t>
      </w:r>
      <w:r w:rsidR="00F175DC">
        <w:rPr>
          <w:szCs w:val="18"/>
        </w:rPr>
        <w:t>niet wanneer de k</w:t>
      </w:r>
      <w:r w:rsidR="00161ED8">
        <w:rPr>
          <w:szCs w:val="18"/>
        </w:rPr>
        <w:t xml:space="preserve">wijtscheldingen </w:t>
      </w:r>
      <w:r w:rsidR="00F175DC">
        <w:rPr>
          <w:szCs w:val="18"/>
        </w:rPr>
        <w:t xml:space="preserve">verder </w:t>
      </w:r>
      <w:r w:rsidR="00161ED8">
        <w:rPr>
          <w:szCs w:val="18"/>
        </w:rPr>
        <w:t>in de toekomst liggen</w:t>
      </w:r>
      <w:r w:rsidR="00F175DC">
        <w:rPr>
          <w:szCs w:val="18"/>
        </w:rPr>
        <w:t xml:space="preserve">. </w:t>
      </w:r>
      <w:r w:rsidR="00497CA8">
        <w:rPr>
          <w:szCs w:val="18"/>
        </w:rPr>
        <w:t xml:space="preserve">Daarom wordt voor </w:t>
      </w:r>
      <w:r w:rsidRPr="00CD3769" w:rsidR="00497CA8">
        <w:rPr>
          <w:szCs w:val="18"/>
          <w:u w:val="single"/>
        </w:rPr>
        <w:t>de lange termijn</w:t>
      </w:r>
      <w:r w:rsidR="00497CA8">
        <w:rPr>
          <w:szCs w:val="18"/>
        </w:rPr>
        <w:t xml:space="preserve"> uitgegaan van het percentage dat het CPB bij </w:t>
      </w:r>
      <w:r w:rsidRPr="00CC1F69" w:rsidR="00497CA8">
        <w:rPr>
          <w:szCs w:val="18"/>
        </w:rPr>
        <w:t>de invoering van het leenstelsel heeft becijferd, 13,6%</w:t>
      </w:r>
      <w:r w:rsidR="00A62617">
        <w:rPr>
          <w:szCs w:val="18"/>
        </w:rPr>
        <w:t xml:space="preserve"> van de studieleningen wordt kwijtgescholden</w:t>
      </w:r>
      <w:r w:rsidRPr="00CC1F69" w:rsidR="00497CA8">
        <w:rPr>
          <w:szCs w:val="18"/>
        </w:rPr>
        <w:t>.</w:t>
      </w:r>
      <w:r w:rsidR="00497CA8">
        <w:rPr>
          <w:rStyle w:val="Voetnootmarkering"/>
          <w:szCs w:val="18"/>
        </w:rPr>
        <w:footnoteReference w:id="1"/>
      </w:r>
    </w:p>
    <w:p w:rsidR="00161ED8" w:rsidP="00CC1F69" w:rsidRDefault="00161ED8" w14:paraId="6260F5A2" w14:textId="77777777">
      <w:pPr>
        <w:rPr>
          <w:szCs w:val="18"/>
        </w:rPr>
      </w:pPr>
    </w:p>
    <w:p w:rsidR="005D4B1C" w:rsidP="00750982" w:rsidRDefault="00497CA8" w14:paraId="664088CB" w14:textId="358F8F94">
      <w:pPr>
        <w:rPr>
          <w:szCs w:val="18"/>
        </w:rPr>
      </w:pPr>
      <w:r>
        <w:rPr>
          <w:szCs w:val="18"/>
        </w:rPr>
        <w:t xml:space="preserve">Voor de beantwoording van deze vraag kijken we primair naar de kwijtscheldingen </w:t>
      </w:r>
      <w:r w:rsidRPr="00CD3769">
        <w:rPr>
          <w:szCs w:val="18"/>
          <w:u w:val="single"/>
        </w:rPr>
        <w:t>binnen de begrotingshorizon</w:t>
      </w:r>
      <w:r>
        <w:rPr>
          <w:szCs w:val="18"/>
        </w:rPr>
        <w:t>.</w:t>
      </w:r>
      <w:r w:rsidR="00A62617">
        <w:rPr>
          <w:szCs w:val="18"/>
        </w:rPr>
        <w:t xml:space="preserve"> Binnen</w:t>
      </w:r>
      <w:r w:rsidR="00CC1F69">
        <w:rPr>
          <w:szCs w:val="18"/>
        </w:rPr>
        <w:t xml:space="preserve"> de begrotingshorizon word</w:t>
      </w:r>
      <w:r w:rsidR="006C5836">
        <w:rPr>
          <w:szCs w:val="18"/>
        </w:rPr>
        <w:t xml:space="preserve">t </w:t>
      </w:r>
      <w:r w:rsidR="00F175DC">
        <w:rPr>
          <w:szCs w:val="18"/>
        </w:rPr>
        <w:t xml:space="preserve">zo nauwkeurig mogelijk </w:t>
      </w:r>
      <w:r w:rsidR="00161ED8">
        <w:rPr>
          <w:szCs w:val="18"/>
        </w:rPr>
        <w:t>geraamd op basis van realisatiecijfers van voorgaande jaren en op basis van verwachtingen over de uitstaande studieschulden en studiefinancieringsg</w:t>
      </w:r>
      <w:r w:rsidR="00F175DC">
        <w:rPr>
          <w:szCs w:val="18"/>
        </w:rPr>
        <w:t>ebruik</w:t>
      </w:r>
      <w:r w:rsidR="00161ED8">
        <w:rPr>
          <w:szCs w:val="18"/>
        </w:rPr>
        <w:t xml:space="preserve"> voor de komende jaren. </w:t>
      </w:r>
    </w:p>
    <w:p w:rsidR="005D4B1C" w:rsidP="00750982" w:rsidRDefault="005D4B1C" w14:paraId="350815DF" w14:textId="77777777">
      <w:pPr>
        <w:rPr>
          <w:szCs w:val="18"/>
        </w:rPr>
      </w:pPr>
    </w:p>
    <w:p w:rsidR="005D4B1C" w:rsidP="00750982" w:rsidRDefault="00161ED8" w14:paraId="20D53C6E" w14:textId="26C47DC5">
      <w:pPr>
        <w:rPr>
          <w:szCs w:val="18"/>
        </w:rPr>
      </w:pPr>
      <w:r>
        <w:rPr>
          <w:szCs w:val="18"/>
        </w:rPr>
        <w:t xml:space="preserve">In </w:t>
      </w:r>
      <w:r w:rsidR="00A62617">
        <w:rPr>
          <w:szCs w:val="18"/>
        </w:rPr>
        <w:t xml:space="preserve">navolgende </w:t>
      </w:r>
      <w:r>
        <w:rPr>
          <w:szCs w:val="18"/>
        </w:rPr>
        <w:t xml:space="preserve">tabel is de hoogte van de </w:t>
      </w:r>
      <w:r w:rsidR="00C00807">
        <w:rPr>
          <w:szCs w:val="18"/>
        </w:rPr>
        <w:t>belangrijkste</w:t>
      </w:r>
      <w:r>
        <w:rPr>
          <w:szCs w:val="18"/>
        </w:rPr>
        <w:t xml:space="preserve"> kwijtscheldingen weergegeven. </w:t>
      </w:r>
      <w:r w:rsidR="00F45BBC">
        <w:rPr>
          <w:szCs w:val="18"/>
        </w:rPr>
        <w:t>Bij deze tabel zijn de volgende kanttekeningen van belang.</w:t>
      </w:r>
    </w:p>
    <w:p w:rsidR="00A53833" w:rsidP="005D4B1C" w:rsidRDefault="00161ED8" w14:paraId="2240642F" w14:textId="23E55845">
      <w:pPr>
        <w:pStyle w:val="Lijstalinea"/>
        <w:numPr>
          <w:ilvl w:val="0"/>
          <w:numId w:val="15"/>
        </w:numPr>
        <w:rPr>
          <w:szCs w:val="18"/>
        </w:rPr>
      </w:pPr>
      <w:r w:rsidRPr="005D4B1C">
        <w:rPr>
          <w:szCs w:val="18"/>
        </w:rPr>
        <w:t>In aanvulling op de gevraagde categorieën is ook de kwijtschelding voor de aanvullende beurs</w:t>
      </w:r>
      <w:r w:rsidR="007C50F9">
        <w:rPr>
          <w:rStyle w:val="Voetnootmarkering"/>
          <w:szCs w:val="18"/>
        </w:rPr>
        <w:footnoteReference w:id="2"/>
      </w:r>
      <w:r w:rsidRPr="005D4B1C" w:rsidR="005D4B1C">
        <w:rPr>
          <w:szCs w:val="18"/>
        </w:rPr>
        <w:t xml:space="preserve"> en de kwijtscheldingen voor nieuwe aanspraak</w:t>
      </w:r>
      <w:r w:rsidR="00B400F7">
        <w:rPr>
          <w:rStyle w:val="Voetnootmarkering"/>
          <w:szCs w:val="18"/>
        </w:rPr>
        <w:footnoteReference w:id="3"/>
      </w:r>
      <w:r w:rsidR="005D4B1C">
        <w:rPr>
          <w:szCs w:val="18"/>
        </w:rPr>
        <w:t xml:space="preserve"> </w:t>
      </w:r>
      <w:r w:rsidRPr="005D4B1C" w:rsidR="005D4B1C">
        <w:rPr>
          <w:szCs w:val="18"/>
        </w:rPr>
        <w:t>opgenomen</w:t>
      </w:r>
      <w:r w:rsidR="00B400F7">
        <w:rPr>
          <w:szCs w:val="18"/>
        </w:rPr>
        <w:t>.</w:t>
      </w:r>
      <w:r w:rsidRPr="005D4B1C" w:rsidR="005D4B1C">
        <w:rPr>
          <w:szCs w:val="18"/>
        </w:rPr>
        <w:t xml:space="preserve"> </w:t>
      </w:r>
    </w:p>
    <w:p w:rsidR="00A53833" w:rsidRDefault="00A53833" w14:paraId="30781547" w14:textId="77777777">
      <w:pPr>
        <w:spacing w:line="240" w:lineRule="auto"/>
        <w:rPr>
          <w:szCs w:val="18"/>
        </w:rPr>
      </w:pPr>
      <w:r>
        <w:rPr>
          <w:szCs w:val="18"/>
        </w:rPr>
        <w:br w:type="page"/>
      </w:r>
    </w:p>
    <w:p w:rsidR="00BF5295" w:rsidP="00BF5295" w:rsidRDefault="00BF5295" w14:paraId="1996491E" w14:textId="2650FC93">
      <w:pPr>
        <w:pStyle w:val="Lijstalinea"/>
        <w:numPr>
          <w:ilvl w:val="0"/>
          <w:numId w:val="15"/>
        </w:numPr>
        <w:rPr>
          <w:szCs w:val="18"/>
        </w:rPr>
      </w:pPr>
      <w:r>
        <w:rPr>
          <w:szCs w:val="18"/>
        </w:rPr>
        <w:lastRenderedPageBreak/>
        <w:t xml:space="preserve">De kwijtscheldingen op medische gronden worden om </w:t>
      </w:r>
      <w:proofErr w:type="spellStart"/>
      <w:r>
        <w:rPr>
          <w:szCs w:val="18"/>
        </w:rPr>
        <w:t>privacyredenen</w:t>
      </w:r>
      <w:proofErr w:type="spellEnd"/>
      <w:r>
        <w:rPr>
          <w:szCs w:val="18"/>
        </w:rPr>
        <w:t xml:space="preserve"> door DUO niet apart bijgehouden, maar word</w:t>
      </w:r>
      <w:r w:rsidR="00CA47C4">
        <w:rPr>
          <w:szCs w:val="18"/>
        </w:rPr>
        <w:t>en</w:t>
      </w:r>
      <w:r>
        <w:rPr>
          <w:szCs w:val="18"/>
        </w:rPr>
        <w:t xml:space="preserve"> toegeschreven aan de verschillende studiefinancieringsproducten. De hoogte van deze kwijtschelding kan daardoor niet los inzichtelijk worden gemaakt.</w:t>
      </w:r>
    </w:p>
    <w:p w:rsidRPr="00497CA8" w:rsidR="00BF5295" w:rsidP="00BF5295" w:rsidRDefault="00497CA8" w14:paraId="11C71210" w14:textId="3362FFAA">
      <w:pPr>
        <w:pStyle w:val="Lijstalinea"/>
        <w:numPr>
          <w:ilvl w:val="0"/>
          <w:numId w:val="15"/>
        </w:numPr>
        <w:rPr>
          <w:szCs w:val="18"/>
        </w:rPr>
      </w:pPr>
      <w:r w:rsidRPr="00BF5295">
        <w:rPr>
          <w:szCs w:val="18"/>
        </w:rPr>
        <w:t>In onderstaande tabel is een stijging zichtbaar bij de kwijtschelding</w:t>
      </w:r>
      <w:r w:rsidR="00A62617">
        <w:rPr>
          <w:szCs w:val="18"/>
        </w:rPr>
        <w:t xml:space="preserve"> aan het</w:t>
      </w:r>
      <w:r w:rsidRPr="00BF5295">
        <w:rPr>
          <w:szCs w:val="18"/>
        </w:rPr>
        <w:t xml:space="preserve"> einde</w:t>
      </w:r>
      <w:r w:rsidR="00A62617">
        <w:rPr>
          <w:szCs w:val="18"/>
        </w:rPr>
        <w:t xml:space="preserve"> van de</w:t>
      </w:r>
      <w:r w:rsidRPr="00BF5295">
        <w:rPr>
          <w:szCs w:val="18"/>
        </w:rPr>
        <w:t xml:space="preserve"> 15-jaarstermijn. Binnen </w:t>
      </w:r>
      <w:r w:rsidR="00CA47C4">
        <w:rPr>
          <w:szCs w:val="18"/>
        </w:rPr>
        <w:t xml:space="preserve">de </w:t>
      </w:r>
      <w:r w:rsidR="00322A9E">
        <w:rPr>
          <w:szCs w:val="18"/>
        </w:rPr>
        <w:t>huidige</w:t>
      </w:r>
      <w:r w:rsidRPr="00BF5295">
        <w:rPr>
          <w:szCs w:val="18"/>
        </w:rPr>
        <w:t xml:space="preserve"> begrotingshorizon</w:t>
      </w:r>
      <w:r w:rsidR="00CD3769">
        <w:rPr>
          <w:szCs w:val="18"/>
        </w:rPr>
        <w:t xml:space="preserve"> vinden voor het eerst kwijtscheldingen</w:t>
      </w:r>
      <w:r w:rsidR="00512495">
        <w:rPr>
          <w:szCs w:val="18"/>
        </w:rPr>
        <w:t xml:space="preserve"> </w:t>
      </w:r>
      <w:r w:rsidR="00CD3769">
        <w:rPr>
          <w:szCs w:val="18"/>
        </w:rPr>
        <w:t>plaats</w:t>
      </w:r>
      <w:r w:rsidRPr="00BF5295">
        <w:rPr>
          <w:szCs w:val="18"/>
        </w:rPr>
        <w:t xml:space="preserve"> voor debiteuren</w:t>
      </w:r>
      <w:r w:rsidR="00512495">
        <w:rPr>
          <w:szCs w:val="18"/>
        </w:rPr>
        <w:t xml:space="preserve"> die </w:t>
      </w:r>
      <w:r w:rsidRPr="00BF5295" w:rsidR="00512495">
        <w:rPr>
          <w:szCs w:val="18"/>
        </w:rPr>
        <w:t>onder het terugbetaalregime SF15-nieuw</w:t>
      </w:r>
      <w:r w:rsidR="00512495">
        <w:rPr>
          <w:rStyle w:val="Voetnootmarkering"/>
          <w:szCs w:val="18"/>
        </w:rPr>
        <w:footnoteReference w:id="4"/>
      </w:r>
      <w:r w:rsidR="00512495">
        <w:rPr>
          <w:szCs w:val="18"/>
        </w:rPr>
        <w:t xml:space="preserve"> vallen</w:t>
      </w:r>
      <w:r w:rsidR="00CD3769">
        <w:rPr>
          <w:szCs w:val="18"/>
        </w:rPr>
        <w:t xml:space="preserve"> </w:t>
      </w:r>
      <w:r w:rsidR="00512495">
        <w:rPr>
          <w:szCs w:val="18"/>
        </w:rPr>
        <w:t xml:space="preserve">en </w:t>
      </w:r>
      <w:r w:rsidRPr="00BF5295">
        <w:rPr>
          <w:szCs w:val="18"/>
        </w:rPr>
        <w:t>aan het einde van hun</w:t>
      </w:r>
      <w:r w:rsidR="00B866BC">
        <w:rPr>
          <w:szCs w:val="18"/>
        </w:rPr>
        <w:t xml:space="preserve"> aflossingsfase </w:t>
      </w:r>
      <w:r w:rsidR="00CD3769">
        <w:rPr>
          <w:szCs w:val="18"/>
        </w:rPr>
        <w:t>zijn</w:t>
      </w:r>
      <w:r w:rsidRPr="00BF5295">
        <w:rPr>
          <w:szCs w:val="18"/>
        </w:rPr>
        <w:t xml:space="preserve">. </w:t>
      </w:r>
      <w:r w:rsidR="00BF5295">
        <w:rPr>
          <w:szCs w:val="18"/>
        </w:rPr>
        <w:t>Dit terugbetaalregime heeft voor de debiteur gunstiger</w:t>
      </w:r>
      <w:r w:rsidR="002A1426">
        <w:rPr>
          <w:szCs w:val="18"/>
        </w:rPr>
        <w:t>e</w:t>
      </w:r>
      <w:r w:rsidR="00BF5295">
        <w:rPr>
          <w:szCs w:val="18"/>
        </w:rPr>
        <w:t xml:space="preserve"> regels in vergelijking met het vorige regime SF15-oud wat draagkracht</w:t>
      </w:r>
      <w:r w:rsidR="00A62617">
        <w:rPr>
          <w:szCs w:val="18"/>
        </w:rPr>
        <w:t xml:space="preserve"> betreft</w:t>
      </w:r>
      <w:r w:rsidR="00BF5295">
        <w:rPr>
          <w:szCs w:val="18"/>
        </w:rPr>
        <w:t xml:space="preserve">. </w:t>
      </w:r>
      <w:r w:rsidR="00BF5295">
        <w:t>Doordat de draagkracht</w:t>
      </w:r>
      <w:r w:rsidR="00A62617">
        <w:t>regeling</w:t>
      </w:r>
      <w:r w:rsidR="00BF5295">
        <w:t xml:space="preserve"> voor deze debiteuren ruimer is, is de kans ook groter dat aan het einde van de looptijd een deel van de lening wordt kwijtgescholden. </w:t>
      </w:r>
    </w:p>
    <w:p w:rsidRPr="00BF5295" w:rsidR="00C87943" w:rsidP="005D4B1C" w:rsidRDefault="00C87943" w14:paraId="4D1A61F0" w14:textId="34669DB2">
      <w:pPr>
        <w:pStyle w:val="Lijstalinea"/>
        <w:numPr>
          <w:ilvl w:val="0"/>
          <w:numId w:val="15"/>
        </w:numPr>
        <w:rPr>
          <w:szCs w:val="18"/>
        </w:rPr>
      </w:pPr>
      <w:r>
        <w:t xml:space="preserve">Er zijn nog geen draagkrachtkwijtscheldingen voor debiteuren die onder het terugbetaalregime SF-35 vallen. De eerste debiteuren die onder dit regime vallen, zullen pas rond 2050 </w:t>
      </w:r>
      <w:r w:rsidR="00A62617">
        <w:t xml:space="preserve">aan </w:t>
      </w:r>
      <w:r>
        <w:t xml:space="preserve">het einde van hun </w:t>
      </w:r>
      <w:r w:rsidR="00CD3769">
        <w:t>aflossingsfase</w:t>
      </w:r>
      <w:r w:rsidR="004A2E30">
        <w:t xml:space="preserve"> </w:t>
      </w:r>
      <w:r>
        <w:t xml:space="preserve">zijn. </w:t>
      </w:r>
    </w:p>
    <w:p w:rsidRPr="00BC0F75" w:rsidR="00435DAD" w:rsidP="00435DAD" w:rsidRDefault="00435DAD" w14:paraId="762D9826" w14:textId="77777777">
      <w:pPr>
        <w:pStyle w:val="Lijstalinea"/>
        <w:rPr>
          <w:szCs w:val="18"/>
        </w:rPr>
      </w:pPr>
    </w:p>
    <w:tbl>
      <w:tblPr>
        <w:tblW w:w="8340" w:type="dxa"/>
        <w:tblInd w:w="75" w:type="dxa"/>
        <w:tblCellMar>
          <w:left w:w="70" w:type="dxa"/>
          <w:right w:w="70" w:type="dxa"/>
        </w:tblCellMar>
        <w:tblLook w:val="04A0" w:firstRow="1" w:lastRow="0" w:firstColumn="1" w:lastColumn="0" w:noHBand="0" w:noVBand="1"/>
      </w:tblPr>
      <w:tblGrid>
        <w:gridCol w:w="1952"/>
        <w:gridCol w:w="1348"/>
        <w:gridCol w:w="831"/>
        <w:gridCol w:w="831"/>
        <w:gridCol w:w="831"/>
        <w:gridCol w:w="849"/>
        <w:gridCol w:w="849"/>
        <w:gridCol w:w="849"/>
      </w:tblGrid>
      <w:tr w:rsidRPr="00435DAD" w:rsidR="00435DAD" w:rsidTr="00435DAD" w14:paraId="5EEF3953" w14:textId="77777777">
        <w:trPr>
          <w:trHeight w:val="440"/>
        </w:trPr>
        <w:tc>
          <w:tcPr>
            <w:tcW w:w="1980" w:type="dxa"/>
            <w:vMerge w:val="restart"/>
            <w:tcBorders>
              <w:top w:val="single" w:color="auto" w:sz="4" w:space="0"/>
              <w:left w:val="single" w:color="auto" w:sz="4" w:space="0"/>
              <w:bottom w:val="single" w:color="000000" w:sz="4" w:space="0"/>
              <w:right w:val="single" w:color="auto" w:sz="4" w:space="0"/>
            </w:tcBorders>
            <w:shd w:val="clear" w:color="000000" w:fill="FFFFFF"/>
            <w:hideMark/>
          </w:tcPr>
          <w:p w:rsidRPr="00435DAD" w:rsidR="00435DAD" w:rsidP="00435DAD" w:rsidRDefault="00435DAD" w14:paraId="26F3EEAD" w14:textId="77777777">
            <w:pPr>
              <w:spacing w:line="240" w:lineRule="auto"/>
              <w:rPr>
                <w:b/>
                <w:bCs/>
                <w:color w:val="000000"/>
                <w:sz w:val="17"/>
                <w:szCs w:val="17"/>
              </w:rPr>
            </w:pPr>
            <w:r w:rsidRPr="00435DAD">
              <w:rPr>
                <w:b/>
                <w:bCs/>
                <w:color w:val="000000"/>
                <w:sz w:val="17"/>
                <w:szCs w:val="17"/>
              </w:rPr>
              <w:t xml:space="preserve">Kwijtschelding </w:t>
            </w:r>
            <w:r w:rsidRPr="00435DAD">
              <w:rPr>
                <w:b/>
                <w:bCs/>
                <w:color w:val="000000"/>
                <w:sz w:val="17"/>
                <w:szCs w:val="17"/>
              </w:rPr>
              <w:br/>
            </w:r>
            <w:r w:rsidRPr="00435DAD">
              <w:rPr>
                <w:b/>
                <w:bCs/>
                <w:color w:val="000000"/>
                <w:sz w:val="17"/>
                <w:szCs w:val="17"/>
              </w:rPr>
              <w:br/>
              <w:t>x € 1 mln.</w:t>
            </w:r>
          </w:p>
        </w:tc>
        <w:tc>
          <w:tcPr>
            <w:tcW w:w="1320" w:type="dxa"/>
            <w:tcBorders>
              <w:top w:val="single" w:color="auto" w:sz="4" w:space="0"/>
              <w:left w:val="nil"/>
              <w:bottom w:val="single" w:color="auto" w:sz="4" w:space="0"/>
              <w:right w:val="single" w:color="auto" w:sz="4" w:space="0"/>
            </w:tcBorders>
            <w:shd w:val="clear" w:color="000000" w:fill="FFFFFF"/>
            <w:noWrap/>
            <w:hideMark/>
          </w:tcPr>
          <w:p w:rsidRPr="00435DAD" w:rsidR="00435DAD" w:rsidP="00435DAD" w:rsidRDefault="00435DAD" w14:paraId="771823E2" w14:textId="77777777">
            <w:pPr>
              <w:spacing w:line="240" w:lineRule="auto"/>
              <w:rPr>
                <w:b/>
                <w:bCs/>
                <w:color w:val="000000"/>
                <w:sz w:val="17"/>
                <w:szCs w:val="17"/>
              </w:rPr>
            </w:pPr>
            <w:r w:rsidRPr="00435DAD">
              <w:rPr>
                <w:b/>
                <w:bCs/>
                <w:color w:val="000000"/>
                <w:sz w:val="17"/>
                <w:szCs w:val="17"/>
              </w:rPr>
              <w:t>Gerealiseerd</w:t>
            </w:r>
          </w:p>
        </w:tc>
        <w:tc>
          <w:tcPr>
            <w:tcW w:w="5040" w:type="dxa"/>
            <w:gridSpan w:val="6"/>
            <w:tcBorders>
              <w:top w:val="single" w:color="auto" w:sz="4" w:space="0"/>
              <w:left w:val="nil"/>
              <w:bottom w:val="single" w:color="auto" w:sz="4" w:space="0"/>
              <w:right w:val="single" w:color="000000" w:sz="4" w:space="0"/>
            </w:tcBorders>
            <w:shd w:val="clear" w:color="000000" w:fill="FFFFFF"/>
            <w:noWrap/>
            <w:hideMark/>
          </w:tcPr>
          <w:p w:rsidRPr="00435DAD" w:rsidR="00435DAD" w:rsidP="00435DAD" w:rsidRDefault="00435DAD" w14:paraId="7425886A" w14:textId="77777777">
            <w:pPr>
              <w:spacing w:line="240" w:lineRule="auto"/>
              <w:jc w:val="center"/>
              <w:rPr>
                <w:b/>
                <w:bCs/>
                <w:color w:val="000000"/>
                <w:sz w:val="17"/>
                <w:szCs w:val="17"/>
              </w:rPr>
            </w:pPr>
            <w:r w:rsidRPr="00435DAD">
              <w:rPr>
                <w:b/>
                <w:bCs/>
                <w:color w:val="000000"/>
                <w:sz w:val="17"/>
                <w:szCs w:val="17"/>
              </w:rPr>
              <w:t>Begroot</w:t>
            </w:r>
          </w:p>
        </w:tc>
      </w:tr>
      <w:tr w:rsidRPr="00435DAD" w:rsidR="00435DAD" w:rsidTr="00435DAD" w14:paraId="7AD256FD" w14:textId="77777777">
        <w:trPr>
          <w:trHeight w:val="270"/>
        </w:trPr>
        <w:tc>
          <w:tcPr>
            <w:tcW w:w="1980" w:type="dxa"/>
            <w:vMerge/>
            <w:tcBorders>
              <w:top w:val="single" w:color="auto" w:sz="4" w:space="0"/>
              <w:left w:val="single" w:color="auto" w:sz="4" w:space="0"/>
              <w:bottom w:val="single" w:color="000000" w:sz="4" w:space="0"/>
              <w:right w:val="single" w:color="auto" w:sz="4" w:space="0"/>
            </w:tcBorders>
            <w:vAlign w:val="center"/>
            <w:hideMark/>
          </w:tcPr>
          <w:p w:rsidRPr="00435DAD" w:rsidR="00435DAD" w:rsidP="00435DAD" w:rsidRDefault="00435DAD" w14:paraId="1A7717DF" w14:textId="77777777">
            <w:pPr>
              <w:spacing w:line="240" w:lineRule="auto"/>
              <w:rPr>
                <w:b/>
                <w:bCs/>
                <w:color w:val="000000"/>
                <w:sz w:val="17"/>
                <w:szCs w:val="17"/>
              </w:rPr>
            </w:pPr>
          </w:p>
        </w:tc>
        <w:tc>
          <w:tcPr>
            <w:tcW w:w="132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5DB7D02" w14:textId="77777777">
            <w:pPr>
              <w:spacing w:line="240" w:lineRule="auto"/>
              <w:jc w:val="right"/>
              <w:rPr>
                <w:b/>
                <w:bCs/>
                <w:color w:val="000000"/>
                <w:sz w:val="17"/>
                <w:szCs w:val="17"/>
              </w:rPr>
            </w:pPr>
            <w:r w:rsidRPr="00435DAD">
              <w:rPr>
                <w:b/>
                <w:bCs/>
                <w:color w:val="000000"/>
                <w:sz w:val="17"/>
                <w:szCs w:val="17"/>
              </w:rPr>
              <w:t>2025</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30579C01" w14:textId="77777777">
            <w:pPr>
              <w:spacing w:line="240" w:lineRule="auto"/>
              <w:jc w:val="right"/>
              <w:rPr>
                <w:b/>
                <w:bCs/>
                <w:color w:val="000000"/>
                <w:sz w:val="17"/>
                <w:szCs w:val="17"/>
              </w:rPr>
            </w:pPr>
            <w:r w:rsidRPr="00435DAD">
              <w:rPr>
                <w:b/>
                <w:bCs/>
                <w:color w:val="000000"/>
                <w:sz w:val="17"/>
                <w:szCs w:val="17"/>
              </w:rPr>
              <w:t>2026</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2C08A9E2" w14:textId="77777777">
            <w:pPr>
              <w:spacing w:line="240" w:lineRule="auto"/>
              <w:jc w:val="right"/>
              <w:rPr>
                <w:b/>
                <w:bCs/>
                <w:color w:val="000000"/>
                <w:sz w:val="17"/>
                <w:szCs w:val="17"/>
              </w:rPr>
            </w:pPr>
            <w:r w:rsidRPr="00435DAD">
              <w:rPr>
                <w:b/>
                <w:bCs/>
                <w:color w:val="000000"/>
                <w:sz w:val="17"/>
                <w:szCs w:val="17"/>
              </w:rPr>
              <w:t>2027</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369FC92" w14:textId="77777777">
            <w:pPr>
              <w:spacing w:line="240" w:lineRule="auto"/>
              <w:jc w:val="right"/>
              <w:rPr>
                <w:b/>
                <w:bCs/>
                <w:color w:val="000000"/>
                <w:sz w:val="17"/>
                <w:szCs w:val="17"/>
              </w:rPr>
            </w:pPr>
            <w:r w:rsidRPr="00435DAD">
              <w:rPr>
                <w:b/>
                <w:bCs/>
                <w:color w:val="000000"/>
                <w:sz w:val="17"/>
                <w:szCs w:val="17"/>
              </w:rPr>
              <w:t>2028</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40B5317" w14:textId="77777777">
            <w:pPr>
              <w:spacing w:line="240" w:lineRule="auto"/>
              <w:jc w:val="right"/>
              <w:rPr>
                <w:b/>
                <w:bCs/>
                <w:color w:val="000000"/>
                <w:sz w:val="17"/>
                <w:szCs w:val="17"/>
              </w:rPr>
            </w:pPr>
            <w:r w:rsidRPr="00435DAD">
              <w:rPr>
                <w:b/>
                <w:bCs/>
                <w:color w:val="000000"/>
                <w:sz w:val="17"/>
                <w:szCs w:val="17"/>
              </w:rPr>
              <w:t>2029</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17F8254" w14:textId="77777777">
            <w:pPr>
              <w:spacing w:line="240" w:lineRule="auto"/>
              <w:jc w:val="right"/>
              <w:rPr>
                <w:b/>
                <w:bCs/>
                <w:color w:val="000000"/>
                <w:sz w:val="17"/>
                <w:szCs w:val="17"/>
              </w:rPr>
            </w:pPr>
            <w:r w:rsidRPr="00435DAD">
              <w:rPr>
                <w:b/>
                <w:bCs/>
                <w:color w:val="000000"/>
                <w:sz w:val="17"/>
                <w:szCs w:val="17"/>
              </w:rPr>
              <w:t>2030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43B7BCCA" w14:textId="77777777">
            <w:pPr>
              <w:spacing w:line="240" w:lineRule="auto"/>
              <w:jc w:val="right"/>
              <w:rPr>
                <w:b/>
                <w:bCs/>
                <w:color w:val="000000"/>
                <w:sz w:val="17"/>
                <w:szCs w:val="17"/>
              </w:rPr>
            </w:pPr>
            <w:r w:rsidRPr="00435DAD">
              <w:rPr>
                <w:b/>
                <w:bCs/>
                <w:color w:val="000000"/>
                <w:sz w:val="17"/>
                <w:szCs w:val="17"/>
              </w:rPr>
              <w:t>2031</w:t>
            </w:r>
          </w:p>
        </w:tc>
      </w:tr>
      <w:tr w:rsidRPr="00435DAD" w:rsidR="00435DAD" w:rsidTr="00435DAD" w14:paraId="45FB82B0" w14:textId="77777777">
        <w:trPr>
          <w:trHeight w:val="270"/>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435DAD" w:rsidR="00435DAD" w:rsidP="00435DAD" w:rsidRDefault="00435DAD" w14:paraId="72601E4B" w14:textId="77777777">
            <w:pPr>
              <w:spacing w:line="240" w:lineRule="auto"/>
              <w:rPr>
                <w:color w:val="000000"/>
                <w:sz w:val="17"/>
                <w:szCs w:val="17"/>
              </w:rPr>
            </w:pPr>
            <w:r w:rsidRPr="00435DAD">
              <w:rPr>
                <w:color w:val="000000"/>
                <w:sz w:val="17"/>
                <w:szCs w:val="17"/>
              </w:rPr>
              <w:t>Aanvullende beurs</w:t>
            </w:r>
          </w:p>
        </w:tc>
        <w:tc>
          <w:tcPr>
            <w:tcW w:w="132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C772325" w14:textId="77777777">
            <w:pPr>
              <w:spacing w:line="240" w:lineRule="auto"/>
              <w:jc w:val="right"/>
              <w:rPr>
                <w:color w:val="000000"/>
                <w:sz w:val="17"/>
                <w:szCs w:val="17"/>
              </w:rPr>
            </w:pPr>
            <w:r w:rsidRPr="00435DAD">
              <w:rPr>
                <w:color w:val="000000"/>
                <w:sz w:val="17"/>
                <w:szCs w:val="17"/>
              </w:rPr>
              <w:t>26,4</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318C450B" w14:textId="77777777">
            <w:pPr>
              <w:spacing w:line="240" w:lineRule="auto"/>
              <w:jc w:val="right"/>
              <w:rPr>
                <w:color w:val="000000"/>
                <w:sz w:val="17"/>
                <w:szCs w:val="17"/>
              </w:rPr>
            </w:pPr>
            <w:r w:rsidRPr="00435DAD">
              <w:rPr>
                <w:color w:val="000000"/>
                <w:sz w:val="17"/>
                <w:szCs w:val="17"/>
              </w:rPr>
              <w:t>29,0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D41818C" w14:textId="77777777">
            <w:pPr>
              <w:spacing w:line="240" w:lineRule="auto"/>
              <w:jc w:val="right"/>
              <w:rPr>
                <w:color w:val="000000"/>
                <w:sz w:val="17"/>
                <w:szCs w:val="17"/>
              </w:rPr>
            </w:pPr>
            <w:r w:rsidRPr="00435DAD">
              <w:rPr>
                <w:color w:val="000000"/>
                <w:sz w:val="17"/>
                <w:szCs w:val="17"/>
              </w:rPr>
              <w:t>31,0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0513CDCD" w14:textId="77777777">
            <w:pPr>
              <w:spacing w:line="240" w:lineRule="auto"/>
              <w:jc w:val="right"/>
              <w:rPr>
                <w:color w:val="000000"/>
                <w:sz w:val="17"/>
                <w:szCs w:val="17"/>
              </w:rPr>
            </w:pPr>
            <w:r w:rsidRPr="00435DAD">
              <w:rPr>
                <w:color w:val="000000"/>
                <w:sz w:val="17"/>
                <w:szCs w:val="17"/>
              </w:rPr>
              <w:t>33,0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3CAE15A" w14:textId="77777777">
            <w:pPr>
              <w:spacing w:line="240" w:lineRule="auto"/>
              <w:jc w:val="right"/>
              <w:rPr>
                <w:color w:val="000000"/>
                <w:sz w:val="17"/>
                <w:szCs w:val="17"/>
              </w:rPr>
            </w:pPr>
            <w:r w:rsidRPr="00435DAD">
              <w:rPr>
                <w:color w:val="000000"/>
                <w:sz w:val="17"/>
                <w:szCs w:val="17"/>
              </w:rPr>
              <w:t>36,0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FD3D8C" w14:paraId="79341627" w14:textId="5C73DED7">
            <w:pPr>
              <w:spacing w:line="240" w:lineRule="auto"/>
              <w:jc w:val="right"/>
              <w:rPr>
                <w:color w:val="000000"/>
                <w:sz w:val="17"/>
                <w:szCs w:val="17"/>
              </w:rPr>
            </w:pPr>
            <w:r>
              <w:rPr>
                <w:color w:val="000000"/>
                <w:sz w:val="17"/>
                <w:szCs w:val="17"/>
              </w:rPr>
              <w:t>36</w:t>
            </w:r>
            <w:r w:rsidRPr="00435DAD" w:rsidR="00435DAD">
              <w:rPr>
                <w:color w:val="000000"/>
                <w:sz w:val="17"/>
                <w:szCs w:val="17"/>
              </w:rPr>
              <w:t>,0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FD3D8C" w14:paraId="5E42DBEA" w14:textId="4F53D349">
            <w:pPr>
              <w:spacing w:line="240" w:lineRule="auto"/>
              <w:jc w:val="right"/>
              <w:rPr>
                <w:color w:val="000000"/>
                <w:sz w:val="17"/>
                <w:szCs w:val="17"/>
              </w:rPr>
            </w:pPr>
            <w:r>
              <w:rPr>
                <w:color w:val="000000"/>
                <w:sz w:val="17"/>
                <w:szCs w:val="17"/>
              </w:rPr>
              <w:t>36</w:t>
            </w:r>
            <w:r w:rsidRPr="00435DAD" w:rsidR="00435DAD">
              <w:rPr>
                <w:color w:val="000000"/>
                <w:sz w:val="17"/>
                <w:szCs w:val="17"/>
              </w:rPr>
              <w:t>,0</w:t>
            </w:r>
          </w:p>
        </w:tc>
      </w:tr>
      <w:tr w:rsidRPr="00435DAD" w:rsidR="00435DAD" w:rsidTr="00435DAD" w14:paraId="390A1206" w14:textId="77777777">
        <w:trPr>
          <w:trHeight w:val="270"/>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435DAD" w:rsidR="00435DAD" w:rsidP="00435DAD" w:rsidRDefault="00435DAD" w14:paraId="5CD17C3E" w14:textId="77777777">
            <w:pPr>
              <w:spacing w:line="240" w:lineRule="auto"/>
              <w:rPr>
                <w:color w:val="000000"/>
                <w:sz w:val="17"/>
                <w:szCs w:val="17"/>
              </w:rPr>
            </w:pPr>
            <w:r w:rsidRPr="00435DAD">
              <w:rPr>
                <w:color w:val="000000"/>
                <w:sz w:val="17"/>
                <w:szCs w:val="17"/>
              </w:rPr>
              <w:t>Overlijden</w:t>
            </w:r>
          </w:p>
        </w:tc>
        <w:tc>
          <w:tcPr>
            <w:tcW w:w="132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B983C59" w14:textId="77777777">
            <w:pPr>
              <w:spacing w:line="240" w:lineRule="auto"/>
              <w:jc w:val="right"/>
              <w:rPr>
                <w:color w:val="000000"/>
                <w:sz w:val="17"/>
                <w:szCs w:val="17"/>
              </w:rPr>
            </w:pPr>
            <w:r w:rsidRPr="00435DAD">
              <w:rPr>
                <w:color w:val="000000"/>
                <w:sz w:val="17"/>
                <w:szCs w:val="17"/>
              </w:rPr>
              <w:t>14,2</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4A501CC4" w14:textId="77777777">
            <w:pPr>
              <w:spacing w:line="240" w:lineRule="auto"/>
              <w:jc w:val="right"/>
              <w:rPr>
                <w:color w:val="000000"/>
                <w:sz w:val="17"/>
                <w:szCs w:val="17"/>
              </w:rPr>
            </w:pPr>
            <w:r w:rsidRPr="00435DAD">
              <w:rPr>
                <w:color w:val="000000"/>
                <w:sz w:val="17"/>
                <w:szCs w:val="17"/>
              </w:rPr>
              <w:t>15,0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E6C5D8C" w14:textId="77777777">
            <w:pPr>
              <w:spacing w:line="240" w:lineRule="auto"/>
              <w:jc w:val="right"/>
              <w:rPr>
                <w:color w:val="000000"/>
                <w:sz w:val="17"/>
                <w:szCs w:val="17"/>
              </w:rPr>
            </w:pPr>
            <w:r w:rsidRPr="00435DAD">
              <w:rPr>
                <w:color w:val="000000"/>
                <w:sz w:val="17"/>
                <w:szCs w:val="17"/>
              </w:rPr>
              <w:t>15,0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1E4DB59A" w14:textId="77777777">
            <w:pPr>
              <w:spacing w:line="240" w:lineRule="auto"/>
              <w:jc w:val="right"/>
              <w:rPr>
                <w:color w:val="000000"/>
                <w:sz w:val="17"/>
                <w:szCs w:val="17"/>
              </w:rPr>
            </w:pPr>
            <w:r w:rsidRPr="00435DAD">
              <w:rPr>
                <w:color w:val="000000"/>
                <w:sz w:val="17"/>
                <w:szCs w:val="17"/>
              </w:rPr>
              <w:t>15,0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263CA499" w14:textId="77777777">
            <w:pPr>
              <w:spacing w:line="240" w:lineRule="auto"/>
              <w:jc w:val="right"/>
              <w:rPr>
                <w:color w:val="000000"/>
                <w:sz w:val="17"/>
                <w:szCs w:val="17"/>
              </w:rPr>
            </w:pPr>
            <w:r w:rsidRPr="00435DAD">
              <w:rPr>
                <w:color w:val="000000"/>
                <w:sz w:val="17"/>
                <w:szCs w:val="17"/>
              </w:rPr>
              <w:t>15,0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F833847" w14:textId="77777777">
            <w:pPr>
              <w:spacing w:line="240" w:lineRule="auto"/>
              <w:jc w:val="right"/>
              <w:rPr>
                <w:color w:val="000000"/>
                <w:sz w:val="17"/>
                <w:szCs w:val="17"/>
              </w:rPr>
            </w:pPr>
            <w:r w:rsidRPr="00435DAD">
              <w:rPr>
                <w:color w:val="000000"/>
                <w:sz w:val="17"/>
                <w:szCs w:val="17"/>
              </w:rPr>
              <w:t>16,0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812EC8F" w14:textId="77777777">
            <w:pPr>
              <w:spacing w:line="240" w:lineRule="auto"/>
              <w:jc w:val="right"/>
              <w:rPr>
                <w:color w:val="000000"/>
                <w:sz w:val="17"/>
                <w:szCs w:val="17"/>
              </w:rPr>
            </w:pPr>
            <w:r w:rsidRPr="00435DAD">
              <w:rPr>
                <w:color w:val="000000"/>
                <w:sz w:val="17"/>
                <w:szCs w:val="17"/>
              </w:rPr>
              <w:t>16,0</w:t>
            </w:r>
          </w:p>
        </w:tc>
      </w:tr>
      <w:tr w:rsidRPr="00435DAD" w:rsidR="00435DAD" w:rsidTr="00435DAD" w14:paraId="1291E0A4" w14:textId="77777777">
        <w:trPr>
          <w:trHeight w:val="440"/>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435DAD" w:rsidR="00435DAD" w:rsidP="00435DAD" w:rsidRDefault="00435DAD" w14:paraId="5262557B" w14:textId="77777777">
            <w:pPr>
              <w:spacing w:line="240" w:lineRule="auto"/>
              <w:rPr>
                <w:color w:val="000000"/>
                <w:sz w:val="17"/>
                <w:szCs w:val="17"/>
              </w:rPr>
            </w:pPr>
            <w:r w:rsidRPr="00435DAD">
              <w:rPr>
                <w:color w:val="000000"/>
                <w:sz w:val="17"/>
                <w:szCs w:val="17"/>
              </w:rPr>
              <w:t>Kwijtschelding einde 15jaarstermijn</w:t>
            </w:r>
          </w:p>
        </w:tc>
        <w:tc>
          <w:tcPr>
            <w:tcW w:w="132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21763FB4" w14:textId="77777777">
            <w:pPr>
              <w:spacing w:line="240" w:lineRule="auto"/>
              <w:jc w:val="right"/>
              <w:rPr>
                <w:color w:val="000000"/>
                <w:sz w:val="17"/>
                <w:szCs w:val="17"/>
              </w:rPr>
            </w:pPr>
            <w:r w:rsidRPr="00435DAD">
              <w:rPr>
                <w:color w:val="000000"/>
                <w:sz w:val="17"/>
                <w:szCs w:val="17"/>
              </w:rPr>
              <w:t>54,9</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5076A512" w14:textId="77777777">
            <w:pPr>
              <w:spacing w:line="240" w:lineRule="auto"/>
              <w:jc w:val="right"/>
              <w:rPr>
                <w:color w:val="000000"/>
                <w:sz w:val="17"/>
                <w:szCs w:val="17"/>
              </w:rPr>
            </w:pPr>
            <w:r w:rsidRPr="00435DAD">
              <w:rPr>
                <w:color w:val="000000"/>
                <w:sz w:val="17"/>
                <w:szCs w:val="17"/>
              </w:rPr>
              <w:t>55,0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2A784B8" w14:textId="77777777">
            <w:pPr>
              <w:spacing w:line="240" w:lineRule="auto"/>
              <w:jc w:val="right"/>
              <w:rPr>
                <w:color w:val="000000"/>
                <w:sz w:val="17"/>
                <w:szCs w:val="17"/>
              </w:rPr>
            </w:pPr>
            <w:r w:rsidRPr="00435DAD">
              <w:rPr>
                <w:color w:val="000000"/>
                <w:sz w:val="17"/>
                <w:szCs w:val="17"/>
              </w:rPr>
              <w:t>68,0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1F9B773D" w14:textId="77777777">
            <w:pPr>
              <w:spacing w:line="240" w:lineRule="auto"/>
              <w:jc w:val="right"/>
              <w:rPr>
                <w:color w:val="000000"/>
                <w:sz w:val="17"/>
                <w:szCs w:val="17"/>
              </w:rPr>
            </w:pPr>
            <w:r w:rsidRPr="00435DAD">
              <w:rPr>
                <w:color w:val="000000"/>
                <w:sz w:val="17"/>
                <w:szCs w:val="17"/>
              </w:rPr>
              <w:t>85,0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2A3A2452" w14:textId="77777777">
            <w:pPr>
              <w:spacing w:line="240" w:lineRule="auto"/>
              <w:jc w:val="right"/>
              <w:rPr>
                <w:color w:val="000000"/>
                <w:sz w:val="17"/>
                <w:szCs w:val="17"/>
              </w:rPr>
            </w:pPr>
            <w:r w:rsidRPr="00435DAD">
              <w:rPr>
                <w:color w:val="000000"/>
                <w:sz w:val="17"/>
                <w:szCs w:val="17"/>
              </w:rPr>
              <w:t>105,0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13902A5E" w14:textId="77777777">
            <w:pPr>
              <w:spacing w:line="240" w:lineRule="auto"/>
              <w:jc w:val="right"/>
              <w:rPr>
                <w:color w:val="000000"/>
                <w:sz w:val="17"/>
                <w:szCs w:val="17"/>
              </w:rPr>
            </w:pPr>
            <w:r w:rsidRPr="00435DAD">
              <w:rPr>
                <w:color w:val="000000"/>
                <w:sz w:val="17"/>
                <w:szCs w:val="17"/>
              </w:rPr>
              <w:t>125,0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1CB6240E" w14:textId="77777777">
            <w:pPr>
              <w:spacing w:line="240" w:lineRule="auto"/>
              <w:jc w:val="right"/>
              <w:rPr>
                <w:color w:val="000000"/>
                <w:sz w:val="17"/>
                <w:szCs w:val="17"/>
              </w:rPr>
            </w:pPr>
            <w:r w:rsidRPr="00435DAD">
              <w:rPr>
                <w:color w:val="000000"/>
                <w:sz w:val="17"/>
                <w:szCs w:val="17"/>
              </w:rPr>
              <w:t>142,0</w:t>
            </w:r>
          </w:p>
        </w:tc>
      </w:tr>
      <w:tr w:rsidRPr="00435DAD" w:rsidR="00435DAD" w:rsidTr="00435DAD" w14:paraId="67D84439" w14:textId="77777777">
        <w:trPr>
          <w:trHeight w:val="270"/>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435DAD" w:rsidR="00435DAD" w:rsidP="00435DAD" w:rsidRDefault="00435DAD" w14:paraId="0163A5DC" w14:textId="77777777">
            <w:pPr>
              <w:spacing w:line="240" w:lineRule="auto"/>
              <w:rPr>
                <w:color w:val="000000"/>
                <w:sz w:val="17"/>
                <w:szCs w:val="17"/>
              </w:rPr>
            </w:pPr>
            <w:r w:rsidRPr="00435DAD">
              <w:rPr>
                <w:color w:val="000000"/>
                <w:sz w:val="17"/>
                <w:szCs w:val="17"/>
              </w:rPr>
              <w:t>Nieuwe aanspraak</w:t>
            </w:r>
          </w:p>
        </w:tc>
        <w:tc>
          <w:tcPr>
            <w:tcW w:w="132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66DE97D3" w14:textId="77777777">
            <w:pPr>
              <w:spacing w:line="240" w:lineRule="auto"/>
              <w:jc w:val="right"/>
              <w:rPr>
                <w:color w:val="000000"/>
                <w:sz w:val="17"/>
                <w:szCs w:val="17"/>
              </w:rPr>
            </w:pPr>
            <w:r w:rsidRPr="00435DAD">
              <w:rPr>
                <w:color w:val="000000"/>
                <w:sz w:val="17"/>
                <w:szCs w:val="17"/>
              </w:rPr>
              <w:t>10,5</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04736E9F" w14:textId="77777777">
            <w:pPr>
              <w:spacing w:line="240" w:lineRule="auto"/>
              <w:jc w:val="right"/>
              <w:rPr>
                <w:color w:val="000000"/>
                <w:sz w:val="17"/>
                <w:szCs w:val="17"/>
              </w:rPr>
            </w:pPr>
            <w:r w:rsidRPr="00435DAD">
              <w:rPr>
                <w:color w:val="000000"/>
                <w:sz w:val="17"/>
                <w:szCs w:val="17"/>
              </w:rPr>
              <w:t>12,5</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5B677718" w14:textId="77777777">
            <w:pPr>
              <w:spacing w:line="240" w:lineRule="auto"/>
              <w:jc w:val="right"/>
              <w:rPr>
                <w:color w:val="000000"/>
                <w:sz w:val="17"/>
                <w:szCs w:val="17"/>
              </w:rPr>
            </w:pPr>
            <w:r w:rsidRPr="00435DAD">
              <w:rPr>
                <w:color w:val="000000"/>
                <w:sz w:val="17"/>
                <w:szCs w:val="17"/>
              </w:rPr>
              <w:t>11,0</w:t>
            </w:r>
          </w:p>
        </w:tc>
        <w:tc>
          <w:tcPr>
            <w:tcW w:w="831"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2B50A970" w14:textId="77777777">
            <w:pPr>
              <w:spacing w:line="240" w:lineRule="auto"/>
              <w:jc w:val="right"/>
              <w:rPr>
                <w:color w:val="000000"/>
                <w:sz w:val="17"/>
                <w:szCs w:val="17"/>
              </w:rPr>
            </w:pPr>
            <w:r w:rsidRPr="00435DAD">
              <w:rPr>
                <w:color w:val="000000"/>
                <w:sz w:val="17"/>
                <w:szCs w:val="17"/>
              </w:rPr>
              <w:t>9,5</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5080FFBC" w14:textId="77777777">
            <w:pPr>
              <w:spacing w:line="240" w:lineRule="auto"/>
              <w:jc w:val="right"/>
              <w:rPr>
                <w:color w:val="000000"/>
                <w:sz w:val="17"/>
                <w:szCs w:val="17"/>
              </w:rPr>
            </w:pPr>
            <w:r w:rsidRPr="00435DAD">
              <w:rPr>
                <w:color w:val="000000"/>
                <w:sz w:val="17"/>
                <w:szCs w:val="17"/>
              </w:rPr>
              <w:t>8,0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FDFA529" w14:textId="77777777">
            <w:pPr>
              <w:spacing w:line="240" w:lineRule="auto"/>
              <w:jc w:val="right"/>
              <w:rPr>
                <w:color w:val="000000"/>
                <w:sz w:val="17"/>
                <w:szCs w:val="17"/>
              </w:rPr>
            </w:pPr>
            <w:r w:rsidRPr="00435DAD">
              <w:rPr>
                <w:color w:val="000000"/>
                <w:sz w:val="17"/>
                <w:szCs w:val="17"/>
              </w:rPr>
              <w:t>8,0</w:t>
            </w:r>
          </w:p>
        </w:tc>
        <w:tc>
          <w:tcPr>
            <w:tcW w:w="849"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41D01C3E" w14:textId="77777777">
            <w:pPr>
              <w:spacing w:line="240" w:lineRule="auto"/>
              <w:jc w:val="right"/>
              <w:rPr>
                <w:color w:val="000000"/>
                <w:sz w:val="17"/>
                <w:szCs w:val="17"/>
              </w:rPr>
            </w:pPr>
            <w:r w:rsidRPr="00435DAD">
              <w:rPr>
                <w:color w:val="000000"/>
                <w:sz w:val="17"/>
                <w:szCs w:val="17"/>
              </w:rPr>
              <w:t>8,0</w:t>
            </w:r>
          </w:p>
        </w:tc>
      </w:tr>
    </w:tbl>
    <w:p w:rsidR="00161ED8" w:rsidP="00750982" w:rsidRDefault="00161ED8" w14:paraId="0BF88463" w14:textId="382018C1">
      <w:pPr>
        <w:rPr>
          <w:szCs w:val="18"/>
        </w:rPr>
      </w:pPr>
    </w:p>
    <w:p w:rsidR="00E84269" w:rsidP="00750982" w:rsidRDefault="00750982" w14:paraId="2608CF6D" w14:textId="4F88BD5E">
      <w:pPr>
        <w:rPr>
          <w:szCs w:val="18"/>
        </w:rPr>
      </w:pPr>
      <w:r w:rsidRPr="00990DA2">
        <w:rPr>
          <w:szCs w:val="18"/>
        </w:rPr>
        <w:t>Vraag 3</w:t>
      </w:r>
      <w:r w:rsidRPr="00990DA2">
        <w:rPr>
          <w:szCs w:val="18"/>
        </w:rPr>
        <w:br/>
        <w:t>Hoe worden deze kwijtscheldingen administratief verwerkt? Wordt hiervoor een specifiek budget gereserveerd, of worden deze kosten verwerkt binnen de algemene begroting? Kunt u dit toelichten?</w:t>
      </w:r>
    </w:p>
    <w:p w:rsidR="00DA2C70" w:rsidP="00750982" w:rsidRDefault="00DA2C70" w14:paraId="2855DEBD" w14:textId="77777777">
      <w:pPr>
        <w:rPr>
          <w:szCs w:val="18"/>
        </w:rPr>
      </w:pPr>
    </w:p>
    <w:p w:rsidR="004E1F0C" w:rsidP="00750982" w:rsidRDefault="004E1F0C" w14:paraId="622A91AF" w14:textId="6B49AB5F">
      <w:pPr>
        <w:rPr>
          <w:szCs w:val="18"/>
        </w:rPr>
      </w:pPr>
      <w:r>
        <w:rPr>
          <w:szCs w:val="18"/>
        </w:rPr>
        <w:t>Antwoord 3</w:t>
      </w:r>
    </w:p>
    <w:p w:rsidR="00B11FD2" w:rsidP="00750982" w:rsidRDefault="00DA2C70" w14:paraId="5E99C7A6" w14:textId="0F2848BA">
      <w:pPr>
        <w:rPr>
          <w:szCs w:val="18"/>
        </w:rPr>
      </w:pPr>
      <w:r>
        <w:rPr>
          <w:szCs w:val="18"/>
        </w:rPr>
        <w:t xml:space="preserve">De meeste kwijtscheldingen worden in het financiële systeem van DUO apart geboekt, verantwoord en gemonitord. In het Departementaal Jaarverslag van OCW </w:t>
      </w:r>
      <w:r w:rsidR="004C17AB">
        <w:rPr>
          <w:szCs w:val="18"/>
        </w:rPr>
        <w:t>worden</w:t>
      </w:r>
      <w:r>
        <w:rPr>
          <w:szCs w:val="18"/>
        </w:rPr>
        <w:t xml:space="preserve"> deze kwijtscheldingen </w:t>
      </w:r>
      <w:r w:rsidR="00F73040">
        <w:rPr>
          <w:szCs w:val="18"/>
        </w:rPr>
        <w:t xml:space="preserve">vervolgens </w:t>
      </w:r>
      <w:r w:rsidR="00B11FD2">
        <w:rPr>
          <w:szCs w:val="18"/>
        </w:rPr>
        <w:t xml:space="preserve">verantwoord onder </w:t>
      </w:r>
      <w:r w:rsidR="004C17AB">
        <w:rPr>
          <w:szCs w:val="18"/>
        </w:rPr>
        <w:t xml:space="preserve">de inkomensoverdracht </w:t>
      </w:r>
      <w:r w:rsidR="00B11FD2">
        <w:rPr>
          <w:szCs w:val="18"/>
        </w:rPr>
        <w:t>Overig uitgaven (R)</w:t>
      </w:r>
      <w:r>
        <w:rPr>
          <w:szCs w:val="18"/>
        </w:rPr>
        <w:t xml:space="preserve"> </w:t>
      </w:r>
      <w:r w:rsidR="00B11FD2">
        <w:rPr>
          <w:szCs w:val="18"/>
        </w:rPr>
        <w:t>op het</w:t>
      </w:r>
      <w:r>
        <w:rPr>
          <w:szCs w:val="18"/>
        </w:rPr>
        <w:t xml:space="preserve"> studiefinancieringsartikel (</w:t>
      </w:r>
      <w:r w:rsidR="00B11FD2">
        <w:rPr>
          <w:szCs w:val="18"/>
        </w:rPr>
        <w:t xml:space="preserve">artikel </w:t>
      </w:r>
      <w:r>
        <w:rPr>
          <w:szCs w:val="18"/>
        </w:rPr>
        <w:t xml:space="preserve">11). </w:t>
      </w:r>
      <w:r w:rsidR="004C17AB">
        <w:rPr>
          <w:szCs w:val="18"/>
        </w:rPr>
        <w:t xml:space="preserve">Naast kwijtscheldingen vinden op </w:t>
      </w:r>
      <w:r w:rsidR="00F73040">
        <w:rPr>
          <w:szCs w:val="18"/>
        </w:rPr>
        <w:t xml:space="preserve">de Overige uitgaven (R) </w:t>
      </w:r>
      <w:r w:rsidR="004C17AB">
        <w:rPr>
          <w:szCs w:val="18"/>
        </w:rPr>
        <w:t xml:space="preserve">ook technische </w:t>
      </w:r>
      <w:r w:rsidR="00B821B8">
        <w:rPr>
          <w:szCs w:val="18"/>
        </w:rPr>
        <w:t>bijstellingen</w:t>
      </w:r>
      <w:r w:rsidR="00292E08">
        <w:rPr>
          <w:szCs w:val="18"/>
        </w:rPr>
        <w:t xml:space="preserve"> </w:t>
      </w:r>
      <w:r w:rsidR="004C17AB">
        <w:rPr>
          <w:szCs w:val="18"/>
        </w:rPr>
        <w:t>plaats.</w:t>
      </w:r>
    </w:p>
    <w:p w:rsidR="00F73040" w:rsidP="00750982" w:rsidRDefault="00F73040" w14:paraId="745B138E" w14:textId="77777777">
      <w:pPr>
        <w:rPr>
          <w:szCs w:val="18"/>
        </w:rPr>
      </w:pPr>
    </w:p>
    <w:p w:rsidR="00B11FD2" w:rsidP="00750982" w:rsidRDefault="00B11FD2" w14:paraId="1A002A87" w14:textId="2C88FC73">
      <w:pPr>
        <w:rPr>
          <w:szCs w:val="18"/>
        </w:rPr>
      </w:pPr>
      <w:r>
        <w:rPr>
          <w:szCs w:val="18"/>
        </w:rPr>
        <w:t xml:space="preserve">Jaarlijks wordt in het voorjaar de studiefinancieringsraming bijgesteld. De kwijtscheldingen worden dan allemaal </w:t>
      </w:r>
      <w:r w:rsidR="002A4675">
        <w:rPr>
          <w:szCs w:val="18"/>
        </w:rPr>
        <w:t>zo nauwkeurig mogelijk geraamd</w:t>
      </w:r>
      <w:r>
        <w:rPr>
          <w:szCs w:val="18"/>
        </w:rPr>
        <w:t xml:space="preserve"> voor de jaren binnen de begrotingshorizon. Dit gebeurt op basis van realisatiecijfers van voorgaande jaren en op basis van verwachtingen over de uitstaande studieschulden en</w:t>
      </w:r>
      <w:r w:rsidR="002A4675">
        <w:rPr>
          <w:szCs w:val="18"/>
        </w:rPr>
        <w:t xml:space="preserve"> het</w:t>
      </w:r>
      <w:r>
        <w:rPr>
          <w:szCs w:val="18"/>
        </w:rPr>
        <w:t xml:space="preserve"> studiefinancieringsgebruik voor de komende jaren.</w:t>
      </w:r>
    </w:p>
    <w:p w:rsidR="00A53833" w:rsidP="007639F5" w:rsidRDefault="006B66A3" w14:paraId="72F32DBA" w14:textId="77777777">
      <w:pPr>
        <w:rPr>
          <w:szCs w:val="18"/>
        </w:rPr>
      </w:pPr>
      <w:r>
        <w:rPr>
          <w:szCs w:val="18"/>
        </w:rPr>
        <w:t>Zoals toegelicht in het antwoord op vraag 2 wordt de kwijtschelding op basis van medische gronden niet a</w:t>
      </w:r>
      <w:r w:rsidR="004E1F0C">
        <w:rPr>
          <w:szCs w:val="18"/>
        </w:rPr>
        <w:t>fzonderlijk</w:t>
      </w:r>
      <w:r>
        <w:rPr>
          <w:szCs w:val="18"/>
        </w:rPr>
        <w:t xml:space="preserve"> geraamd en verantwoord. DUO </w:t>
      </w:r>
      <w:r w:rsidR="009F3FC1">
        <w:rPr>
          <w:szCs w:val="18"/>
        </w:rPr>
        <w:t xml:space="preserve">rekent </w:t>
      </w:r>
      <w:r>
        <w:rPr>
          <w:szCs w:val="18"/>
        </w:rPr>
        <w:t xml:space="preserve">de </w:t>
      </w:r>
    </w:p>
    <w:p w:rsidR="00A53833" w:rsidRDefault="00A53833" w14:paraId="665334F4" w14:textId="037302E1">
      <w:pPr>
        <w:spacing w:line="240" w:lineRule="auto"/>
        <w:rPr>
          <w:szCs w:val="18"/>
        </w:rPr>
      </w:pPr>
    </w:p>
    <w:p w:rsidR="00C87943" w:rsidP="007639F5" w:rsidRDefault="006B66A3" w14:paraId="7B67D5D2" w14:textId="762E3925">
      <w:pPr>
        <w:rPr>
          <w:szCs w:val="18"/>
        </w:rPr>
      </w:pPr>
      <w:r>
        <w:rPr>
          <w:szCs w:val="18"/>
        </w:rPr>
        <w:lastRenderedPageBreak/>
        <w:t xml:space="preserve">kosten </w:t>
      </w:r>
      <w:r w:rsidR="004E1F0C">
        <w:rPr>
          <w:szCs w:val="18"/>
        </w:rPr>
        <w:t xml:space="preserve">die voortvloeien uit </w:t>
      </w:r>
      <w:r>
        <w:rPr>
          <w:szCs w:val="18"/>
        </w:rPr>
        <w:t xml:space="preserve">deze kwijtschelding </w:t>
      </w:r>
      <w:r w:rsidR="009F3FC1">
        <w:rPr>
          <w:szCs w:val="18"/>
        </w:rPr>
        <w:t xml:space="preserve">toe </w:t>
      </w:r>
      <w:r w:rsidR="004E1F0C">
        <w:rPr>
          <w:szCs w:val="18"/>
        </w:rPr>
        <w:t>aan de verschillende studiefinancieringsproducten</w:t>
      </w:r>
      <w:r w:rsidR="00B868B6">
        <w:rPr>
          <w:szCs w:val="18"/>
        </w:rPr>
        <w:t xml:space="preserve"> waar de kwijtschelding betrekking op heeft</w:t>
      </w:r>
      <w:r w:rsidR="004E1F0C">
        <w:rPr>
          <w:szCs w:val="18"/>
        </w:rPr>
        <w:t xml:space="preserve"> </w:t>
      </w:r>
      <w:r w:rsidR="007639F5">
        <w:rPr>
          <w:szCs w:val="18"/>
        </w:rPr>
        <w:t>(</w:t>
      </w:r>
      <w:r w:rsidR="001F52E7">
        <w:rPr>
          <w:szCs w:val="18"/>
        </w:rPr>
        <w:t xml:space="preserve">hoofdzakelijk de rentedragende </w:t>
      </w:r>
      <w:r w:rsidR="00B868B6">
        <w:rPr>
          <w:szCs w:val="18"/>
        </w:rPr>
        <w:t>lening</w:t>
      </w:r>
      <w:r w:rsidR="007639F5">
        <w:rPr>
          <w:szCs w:val="18"/>
        </w:rPr>
        <w:t>).</w:t>
      </w:r>
    </w:p>
    <w:p w:rsidR="00C87943" w:rsidP="007639F5" w:rsidRDefault="00C87943" w14:paraId="4BDE19B0" w14:textId="77777777">
      <w:pPr>
        <w:rPr>
          <w:szCs w:val="18"/>
        </w:rPr>
      </w:pPr>
    </w:p>
    <w:p w:rsidR="00C87943" w:rsidP="00C87943" w:rsidRDefault="00C87943" w14:paraId="027B4F3C" w14:textId="77777777">
      <w:pPr>
        <w:rPr>
          <w:szCs w:val="18"/>
        </w:rPr>
      </w:pPr>
      <w:r w:rsidRPr="00990DA2">
        <w:rPr>
          <w:szCs w:val="18"/>
        </w:rPr>
        <w:t>Vraag 4</w:t>
      </w:r>
      <w:r w:rsidRPr="00990DA2">
        <w:rPr>
          <w:szCs w:val="18"/>
        </w:rPr>
        <w:br/>
        <w:t>Kunt u een overzicht geven van de spreiding van studieschulden onder studenten in verschillende schuldcategorieën per € 10.000? Hierbij het verzoek om per categorie het aantal studenten én de totale schuld in euro’s vermelden.</w:t>
      </w:r>
    </w:p>
    <w:p w:rsidR="00503ED3" w:rsidP="007639F5" w:rsidRDefault="00503ED3" w14:paraId="798A6FD8" w14:textId="77777777">
      <w:pPr>
        <w:rPr>
          <w:szCs w:val="18"/>
        </w:rPr>
      </w:pPr>
    </w:p>
    <w:p w:rsidR="00503ED3" w:rsidP="007639F5" w:rsidRDefault="00503ED3" w14:paraId="10A24A5F" w14:textId="136C5D36">
      <w:pPr>
        <w:rPr>
          <w:szCs w:val="18"/>
        </w:rPr>
      </w:pPr>
      <w:r>
        <w:rPr>
          <w:szCs w:val="18"/>
        </w:rPr>
        <w:t>Antwoord 4</w:t>
      </w:r>
    </w:p>
    <w:p w:rsidR="005C09E1" w:rsidP="00FA4618" w:rsidRDefault="00503ED3" w14:paraId="62DFBF62" w14:textId="34A10B64">
      <w:pPr>
        <w:rPr>
          <w:szCs w:val="18"/>
        </w:rPr>
      </w:pPr>
      <w:r>
        <w:rPr>
          <w:szCs w:val="18"/>
        </w:rPr>
        <w:t>O</w:t>
      </w:r>
      <w:r w:rsidRPr="00E84269">
        <w:rPr>
          <w:szCs w:val="18"/>
        </w:rPr>
        <w:t xml:space="preserve">nderstaande tabel </w:t>
      </w:r>
      <w:r>
        <w:rPr>
          <w:szCs w:val="18"/>
        </w:rPr>
        <w:t>geeft de spreiding van</w:t>
      </w:r>
      <w:r w:rsidR="001068DC">
        <w:rPr>
          <w:szCs w:val="18"/>
        </w:rPr>
        <w:t xml:space="preserve"> de definitieve</w:t>
      </w:r>
      <w:r>
        <w:rPr>
          <w:szCs w:val="18"/>
        </w:rPr>
        <w:t xml:space="preserve"> studieschulden</w:t>
      </w:r>
      <w:r w:rsidR="00570CA5">
        <w:rPr>
          <w:szCs w:val="18"/>
        </w:rPr>
        <w:t xml:space="preserve"> (</w:t>
      </w:r>
      <w:r w:rsidR="001068DC">
        <w:rPr>
          <w:szCs w:val="18"/>
        </w:rPr>
        <w:t>inclusief rente</w:t>
      </w:r>
      <w:r w:rsidR="00570CA5">
        <w:rPr>
          <w:szCs w:val="18"/>
        </w:rPr>
        <w:t>)</w:t>
      </w:r>
      <w:r>
        <w:rPr>
          <w:szCs w:val="18"/>
        </w:rPr>
        <w:t xml:space="preserve"> onder (oud-)studenten in verschillende schuldcategorieën per € 10.000</w:t>
      </w:r>
      <w:r w:rsidR="00BF5295">
        <w:rPr>
          <w:szCs w:val="18"/>
        </w:rPr>
        <w:t xml:space="preserve"> weer</w:t>
      </w:r>
      <w:r>
        <w:rPr>
          <w:szCs w:val="18"/>
        </w:rPr>
        <w:t>. Hierbij is per categorie het aantal studenten en de totale schuld in euro’s opgenomen.</w:t>
      </w:r>
      <w:r w:rsidR="005C09E1">
        <w:rPr>
          <w:szCs w:val="18"/>
        </w:rPr>
        <w:t xml:space="preserve"> De leningen ten aanzien het </w:t>
      </w:r>
      <w:proofErr w:type="spellStart"/>
      <w:r w:rsidR="005C09E1">
        <w:rPr>
          <w:szCs w:val="18"/>
        </w:rPr>
        <w:t>levenlanglerenkrediet</w:t>
      </w:r>
      <w:proofErr w:type="spellEnd"/>
      <w:r w:rsidR="005C09E1">
        <w:rPr>
          <w:szCs w:val="18"/>
        </w:rPr>
        <w:t xml:space="preserve"> en </w:t>
      </w:r>
      <w:r w:rsidRPr="000D40F4" w:rsidR="005C09E1">
        <w:rPr>
          <w:szCs w:val="18"/>
        </w:rPr>
        <w:t>Caribisch Nederland</w:t>
      </w:r>
      <w:r w:rsidR="00D510FF">
        <w:rPr>
          <w:szCs w:val="18"/>
        </w:rPr>
        <w:t xml:space="preserve"> (WSF BES)</w:t>
      </w:r>
      <w:r w:rsidR="005C09E1">
        <w:rPr>
          <w:szCs w:val="18"/>
        </w:rPr>
        <w:t xml:space="preserve"> zijn buiten beschouwing gelaten.</w:t>
      </w:r>
      <w:r w:rsidR="00200541">
        <w:rPr>
          <w:szCs w:val="18"/>
        </w:rPr>
        <w:t xml:space="preserve"> Ook de prestatiebeurzen die nog niet zijn omgezet naar een gift of definitieve lening zijn</w:t>
      </w:r>
      <w:r w:rsidR="00481B1D">
        <w:rPr>
          <w:szCs w:val="18"/>
        </w:rPr>
        <w:t xml:space="preserve"> niet meegenomen</w:t>
      </w:r>
      <w:r w:rsidR="00200541">
        <w:rPr>
          <w:szCs w:val="18"/>
        </w:rPr>
        <w:t>.</w:t>
      </w:r>
    </w:p>
    <w:p w:rsidR="001068DC" w:rsidP="001068DC" w:rsidRDefault="001068DC" w14:paraId="213F3510" w14:textId="77777777">
      <w:pPr>
        <w:rPr>
          <w:szCs w:val="18"/>
        </w:rPr>
      </w:pPr>
    </w:p>
    <w:p w:rsidR="001068DC" w:rsidP="001068DC" w:rsidRDefault="001068DC" w14:paraId="4B0AA5B1" w14:textId="54674944">
      <w:pPr>
        <w:rPr>
          <w:szCs w:val="18"/>
        </w:rPr>
      </w:pPr>
      <w:r w:rsidRPr="00481B1D">
        <w:rPr>
          <w:szCs w:val="18"/>
        </w:rPr>
        <w:t>Deze tabel, evenals de tabellen in de andere antwoorden, geeft de stand per 31 december 2025 weer</w:t>
      </w:r>
      <w:r>
        <w:rPr>
          <w:szCs w:val="18"/>
        </w:rPr>
        <w:t xml:space="preserve">. Er is gekozen om in de beantwoording de meest actuele stand van de studieschulden te presenteren. Hierdoor sluiten de tabellen niet </w:t>
      </w:r>
      <w:r w:rsidRPr="00CD7B9C">
        <w:rPr>
          <w:szCs w:val="18"/>
        </w:rPr>
        <w:t xml:space="preserve">aan op de stand die het CBS heeft gebruik </w:t>
      </w:r>
      <w:r>
        <w:rPr>
          <w:szCs w:val="18"/>
        </w:rPr>
        <w:t>voor hun publicatie.</w:t>
      </w:r>
    </w:p>
    <w:p w:rsidR="00200541" w:rsidP="00FA4618" w:rsidRDefault="00200541" w14:paraId="779E4524" w14:textId="77777777">
      <w:pPr>
        <w:rPr>
          <w:szCs w:val="18"/>
        </w:rPr>
      </w:pPr>
    </w:p>
    <w:tbl>
      <w:tblPr>
        <w:tblW w:w="9920" w:type="dxa"/>
        <w:tblInd w:w="75" w:type="dxa"/>
        <w:tblCellMar>
          <w:left w:w="70" w:type="dxa"/>
          <w:right w:w="70" w:type="dxa"/>
        </w:tblCellMar>
        <w:tblLook w:val="04A0" w:firstRow="1" w:lastRow="0" w:firstColumn="1" w:lastColumn="0" w:noHBand="0" w:noVBand="1"/>
      </w:tblPr>
      <w:tblGrid>
        <w:gridCol w:w="1740"/>
        <w:gridCol w:w="900"/>
        <w:gridCol w:w="900"/>
        <w:gridCol w:w="900"/>
        <w:gridCol w:w="900"/>
        <w:gridCol w:w="900"/>
        <w:gridCol w:w="900"/>
        <w:gridCol w:w="900"/>
        <w:gridCol w:w="900"/>
        <w:gridCol w:w="980"/>
      </w:tblGrid>
      <w:tr w:rsidRPr="00A62617" w:rsidR="004942B6" w:rsidTr="004942B6" w14:paraId="2C0F40CF" w14:textId="77777777">
        <w:trPr>
          <w:trHeight w:val="270"/>
        </w:trPr>
        <w:tc>
          <w:tcPr>
            <w:tcW w:w="17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D3769" w:rsidR="004942B6" w:rsidP="004942B6" w:rsidRDefault="00305FE9" w14:paraId="0F08526D" w14:textId="472132B7">
            <w:pPr>
              <w:spacing w:line="240" w:lineRule="auto"/>
              <w:rPr>
                <w:rFonts w:asciiTheme="minorHAnsi" w:hAnsiTheme="minorHAnsi" w:cstheme="minorHAnsi"/>
                <w:color w:val="000000"/>
                <w:szCs w:val="18"/>
              </w:rPr>
            </w:pPr>
            <w:r w:rsidRPr="00CD3769">
              <w:rPr>
                <w:rFonts w:asciiTheme="minorHAnsi" w:hAnsiTheme="minorHAnsi" w:cstheme="minorHAnsi"/>
                <w:b/>
                <w:bCs/>
                <w:color w:val="000000"/>
                <w:szCs w:val="18"/>
              </w:rPr>
              <w:t>Schuldcategorieën</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4D4ECA28"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0-10K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62AE4C77"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10k-20K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53B850FD"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20K-30K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6107D8FE"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30k-40k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051C755F"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40k-50k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2FCF82F9"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50k-60K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46E04C8B"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60k-70K</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25E55248"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70K+</w:t>
            </w:r>
          </w:p>
        </w:tc>
        <w:tc>
          <w:tcPr>
            <w:tcW w:w="980" w:type="dxa"/>
            <w:tcBorders>
              <w:top w:val="single" w:color="auto" w:sz="4" w:space="0"/>
              <w:left w:val="nil"/>
              <w:bottom w:val="single" w:color="auto" w:sz="4" w:space="0"/>
              <w:right w:val="single" w:color="auto" w:sz="4" w:space="0"/>
            </w:tcBorders>
            <w:shd w:val="clear" w:color="000000" w:fill="FFFFFF"/>
            <w:noWrap/>
            <w:vAlign w:val="bottom"/>
            <w:hideMark/>
          </w:tcPr>
          <w:p w:rsidRPr="00CD3769" w:rsidR="004942B6" w:rsidP="004942B6" w:rsidRDefault="004942B6" w14:paraId="69924934" w14:textId="77777777">
            <w:pPr>
              <w:spacing w:line="240" w:lineRule="auto"/>
              <w:jc w:val="right"/>
              <w:rPr>
                <w:rFonts w:asciiTheme="minorHAnsi" w:hAnsiTheme="minorHAnsi" w:cstheme="minorHAnsi"/>
                <w:b/>
                <w:bCs/>
                <w:color w:val="000000"/>
                <w:szCs w:val="18"/>
              </w:rPr>
            </w:pPr>
            <w:r w:rsidRPr="00CD3769">
              <w:rPr>
                <w:rFonts w:asciiTheme="minorHAnsi" w:hAnsiTheme="minorHAnsi" w:cstheme="minorHAnsi"/>
                <w:b/>
                <w:bCs/>
                <w:color w:val="000000"/>
                <w:szCs w:val="18"/>
              </w:rPr>
              <w:t>totaal</w:t>
            </w:r>
          </w:p>
        </w:tc>
      </w:tr>
      <w:tr w:rsidRPr="00A62617" w:rsidR="004942B6" w:rsidTr="004942B6" w14:paraId="4BC1E219" w14:textId="77777777">
        <w:trPr>
          <w:trHeight w:val="270"/>
        </w:trPr>
        <w:tc>
          <w:tcPr>
            <w:tcW w:w="1740" w:type="dxa"/>
            <w:tcBorders>
              <w:top w:val="nil"/>
              <w:left w:val="single" w:color="auto" w:sz="4" w:space="0"/>
              <w:bottom w:val="single" w:color="auto" w:sz="4" w:space="0"/>
              <w:right w:val="single" w:color="auto" w:sz="4" w:space="0"/>
            </w:tcBorders>
            <w:shd w:val="clear" w:color="000000" w:fill="FFFFFF"/>
            <w:noWrap/>
            <w:vAlign w:val="bottom"/>
            <w:hideMark/>
          </w:tcPr>
          <w:p w:rsidRPr="00CD3769" w:rsidR="004942B6" w:rsidP="004942B6" w:rsidRDefault="004942B6" w14:paraId="603614C5" w14:textId="77777777">
            <w:pPr>
              <w:spacing w:line="240" w:lineRule="auto"/>
              <w:rPr>
                <w:rFonts w:asciiTheme="minorHAnsi" w:hAnsiTheme="minorHAnsi" w:cstheme="minorHAnsi"/>
                <w:b/>
                <w:bCs/>
                <w:color w:val="000000"/>
                <w:szCs w:val="18"/>
              </w:rPr>
            </w:pPr>
            <w:r w:rsidRPr="00CD3769">
              <w:rPr>
                <w:rFonts w:asciiTheme="minorHAnsi" w:hAnsiTheme="minorHAnsi" w:cstheme="minorHAnsi"/>
                <w:b/>
                <w:bCs/>
                <w:color w:val="000000"/>
                <w:szCs w:val="18"/>
              </w:rPr>
              <w:t>Personen</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15C7C606"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736.508</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2C04A2B5"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308.111</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48E2BB04"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182.357</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3D2D6A4F"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121.360</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12543B15"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81.527</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446B5B10"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53.291</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659144C2"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34.353</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1107BF6A"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41.495</w:t>
            </w:r>
          </w:p>
        </w:tc>
        <w:tc>
          <w:tcPr>
            <w:tcW w:w="98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7146FF6D"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1.559.002</w:t>
            </w:r>
          </w:p>
        </w:tc>
      </w:tr>
      <w:tr w:rsidRPr="00A62617" w:rsidR="004942B6" w:rsidTr="004942B6" w14:paraId="7AB930D8" w14:textId="77777777">
        <w:trPr>
          <w:trHeight w:val="270"/>
        </w:trPr>
        <w:tc>
          <w:tcPr>
            <w:tcW w:w="1740" w:type="dxa"/>
            <w:tcBorders>
              <w:top w:val="nil"/>
              <w:left w:val="single" w:color="auto" w:sz="4" w:space="0"/>
              <w:bottom w:val="single" w:color="auto" w:sz="4" w:space="0"/>
              <w:right w:val="single" w:color="auto" w:sz="4" w:space="0"/>
            </w:tcBorders>
            <w:shd w:val="clear" w:color="000000" w:fill="FFFFFF"/>
            <w:noWrap/>
            <w:vAlign w:val="bottom"/>
            <w:hideMark/>
          </w:tcPr>
          <w:p w:rsidRPr="00CD3769" w:rsidR="004942B6" w:rsidP="004942B6" w:rsidRDefault="004942B6" w14:paraId="680BA954" w14:textId="49A44FB0">
            <w:pPr>
              <w:spacing w:line="240" w:lineRule="auto"/>
              <w:rPr>
                <w:rFonts w:asciiTheme="minorHAnsi" w:hAnsiTheme="minorHAnsi" w:cstheme="minorHAnsi"/>
                <w:b/>
                <w:bCs/>
                <w:color w:val="000000"/>
                <w:szCs w:val="18"/>
              </w:rPr>
            </w:pPr>
            <w:r w:rsidRPr="00CD3769">
              <w:rPr>
                <w:rFonts w:asciiTheme="minorHAnsi" w:hAnsiTheme="minorHAnsi" w:cstheme="minorHAnsi"/>
                <w:b/>
                <w:bCs/>
                <w:color w:val="000000"/>
                <w:szCs w:val="18"/>
              </w:rPr>
              <w:t>Bedrag x € 1 mln</w:t>
            </w:r>
            <w:r w:rsidRPr="00CD3769" w:rsidR="00E73E00">
              <w:rPr>
                <w:rFonts w:asciiTheme="minorHAnsi" w:hAnsiTheme="minorHAnsi" w:cstheme="minorHAnsi"/>
                <w:b/>
                <w:bCs/>
                <w:color w:val="000000"/>
                <w:szCs w:val="18"/>
              </w:rPr>
              <w:t>.</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226BE9F6"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€ 2.955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20FB522B"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€ 4.464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648C0041"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€ 4.494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69F2A623"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€ 4.209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1CDC7578"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€ 3.641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50932D85"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€ 2.910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3946389C"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€ 2.220 </w:t>
            </w:r>
          </w:p>
        </w:tc>
        <w:tc>
          <w:tcPr>
            <w:tcW w:w="90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55F684B9"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€ 3.426 </w:t>
            </w:r>
          </w:p>
        </w:tc>
        <w:tc>
          <w:tcPr>
            <w:tcW w:w="980" w:type="dxa"/>
            <w:tcBorders>
              <w:top w:val="nil"/>
              <w:left w:val="nil"/>
              <w:bottom w:val="single" w:color="auto" w:sz="4" w:space="0"/>
              <w:right w:val="single" w:color="auto" w:sz="4" w:space="0"/>
            </w:tcBorders>
            <w:shd w:val="clear" w:color="000000" w:fill="FFFFFF"/>
            <w:noWrap/>
            <w:vAlign w:val="bottom"/>
            <w:hideMark/>
          </w:tcPr>
          <w:p w:rsidRPr="00CD3769" w:rsidR="004942B6" w:rsidP="004942B6" w:rsidRDefault="004942B6" w14:paraId="6D4E950E" w14:textId="77777777">
            <w:pPr>
              <w:spacing w:line="240" w:lineRule="auto"/>
              <w:jc w:val="right"/>
              <w:rPr>
                <w:rFonts w:asciiTheme="minorHAnsi" w:hAnsiTheme="minorHAnsi" w:cstheme="minorHAnsi"/>
                <w:color w:val="000000"/>
                <w:szCs w:val="18"/>
              </w:rPr>
            </w:pPr>
            <w:r w:rsidRPr="00CD3769">
              <w:rPr>
                <w:rFonts w:asciiTheme="minorHAnsi" w:hAnsiTheme="minorHAnsi" w:cstheme="minorHAnsi"/>
                <w:color w:val="000000"/>
                <w:szCs w:val="18"/>
              </w:rPr>
              <w:t xml:space="preserve"> € 28.319 </w:t>
            </w:r>
          </w:p>
        </w:tc>
      </w:tr>
    </w:tbl>
    <w:p w:rsidR="00E73E00" w:rsidP="00AC2046" w:rsidRDefault="00E73E00" w14:paraId="1F32B21A" w14:textId="77777777">
      <w:pPr>
        <w:rPr>
          <w:szCs w:val="18"/>
        </w:rPr>
      </w:pPr>
    </w:p>
    <w:p w:rsidR="00AC2046" w:rsidP="00AC2046" w:rsidRDefault="00AC2046" w14:paraId="11E7C55E" w14:textId="6A980AB7">
      <w:pPr>
        <w:rPr>
          <w:szCs w:val="18"/>
        </w:rPr>
      </w:pPr>
      <w:r>
        <w:rPr>
          <w:szCs w:val="18"/>
        </w:rPr>
        <w:t xml:space="preserve">Een kanttekening bij </w:t>
      </w:r>
      <w:r w:rsidR="003B2367">
        <w:rPr>
          <w:szCs w:val="18"/>
        </w:rPr>
        <w:t xml:space="preserve">deze </w:t>
      </w:r>
      <w:r>
        <w:rPr>
          <w:szCs w:val="18"/>
        </w:rPr>
        <w:t xml:space="preserve">tabel is dat deze de actuele schulden weergeeft. Dit betekent dat een deel van de debiteuren nog studeert en hun schuld dus verder zal oplopen, terwijl een ander deel al is begonnen met aflossen, waardoor hun huidige schuld lager ligt dan aan het begin van de aflossingsfase. </w:t>
      </w:r>
    </w:p>
    <w:p w:rsidR="00AC2046" w:rsidP="00503ED3" w:rsidRDefault="00AC2046" w14:paraId="01C39DE6" w14:textId="77777777">
      <w:pPr>
        <w:rPr>
          <w:szCs w:val="18"/>
        </w:rPr>
      </w:pPr>
    </w:p>
    <w:p w:rsidR="00E84269" w:rsidP="00E84269" w:rsidRDefault="00E84269" w14:paraId="65D49BB1" w14:textId="77777777">
      <w:pPr>
        <w:rPr>
          <w:szCs w:val="18"/>
        </w:rPr>
      </w:pPr>
      <w:r w:rsidRPr="00A62D61">
        <w:rPr>
          <w:szCs w:val="18"/>
        </w:rPr>
        <w:t>Vraag 5</w:t>
      </w:r>
      <w:r w:rsidRPr="00A62D61">
        <w:rPr>
          <w:szCs w:val="18"/>
        </w:rPr>
        <w:br/>
        <w:t>Volgens het bericht bedroeg de totale studieschuld € 29 miljard aan het begin van studiejaar 2024-2025. Kunt u aangeven welk deel van deze schuld valt onder het oude stelsel (SF15) en welk deel valt onder het nieuwe stelsel (SF35)? Hierbij ook het verzoek om aan te geven om hoeveel studenten het in beide gevallen gaat.</w:t>
      </w:r>
    </w:p>
    <w:p w:rsidR="00E84269" w:rsidP="00E84269" w:rsidRDefault="00E84269" w14:paraId="75444C00" w14:textId="77777777">
      <w:pPr>
        <w:rPr>
          <w:szCs w:val="18"/>
        </w:rPr>
      </w:pPr>
    </w:p>
    <w:p w:rsidRPr="00A62D61" w:rsidR="00E84269" w:rsidP="00E84269" w:rsidRDefault="00E84269" w14:paraId="503152D3" w14:textId="4F89E361">
      <w:pPr>
        <w:rPr>
          <w:szCs w:val="18"/>
        </w:rPr>
      </w:pPr>
      <w:r>
        <w:rPr>
          <w:szCs w:val="18"/>
        </w:rPr>
        <w:t>Antwoord 5</w:t>
      </w:r>
    </w:p>
    <w:p w:rsidR="005D2D3F" w:rsidP="00E84269" w:rsidRDefault="00CD7B9C" w14:paraId="6BBEF295" w14:textId="58A638B0">
      <w:pPr>
        <w:rPr>
          <w:szCs w:val="18"/>
        </w:rPr>
      </w:pPr>
      <w:bookmarkStart w:name="_Hlk223682596" w:id="1"/>
      <w:r>
        <w:rPr>
          <w:szCs w:val="18"/>
        </w:rPr>
        <w:t>Onderstaande tabel geeft het aantal personen en de totale uitstaande schuld weer per terugbetaalregime. Hierbij zijn het terugbetaalregime SF15</w:t>
      </w:r>
      <w:r w:rsidR="003B2367">
        <w:rPr>
          <w:szCs w:val="18"/>
        </w:rPr>
        <w:t>-</w:t>
      </w:r>
      <w:r>
        <w:rPr>
          <w:szCs w:val="18"/>
        </w:rPr>
        <w:t xml:space="preserve">oud en </w:t>
      </w:r>
      <w:r w:rsidR="00BC542F">
        <w:rPr>
          <w:szCs w:val="18"/>
        </w:rPr>
        <w:t>SF15</w:t>
      </w:r>
      <w:r w:rsidR="003B2367">
        <w:rPr>
          <w:szCs w:val="18"/>
        </w:rPr>
        <w:t>-n</w:t>
      </w:r>
      <w:r>
        <w:rPr>
          <w:szCs w:val="18"/>
        </w:rPr>
        <w:t>ieuw samengenomen</w:t>
      </w:r>
      <w:r w:rsidR="00BF5295">
        <w:rPr>
          <w:szCs w:val="18"/>
        </w:rPr>
        <w:t xml:space="preserve"> als SF-15</w:t>
      </w:r>
      <w:r>
        <w:rPr>
          <w:szCs w:val="18"/>
        </w:rPr>
        <w:t xml:space="preserve">. </w:t>
      </w:r>
      <w:r w:rsidR="00481B1D">
        <w:rPr>
          <w:szCs w:val="18"/>
        </w:rPr>
        <w:t>Zoals toegelicht in het antwoord op vraag</w:t>
      </w:r>
      <w:r w:rsidR="000D40F4">
        <w:rPr>
          <w:szCs w:val="18"/>
        </w:rPr>
        <w:t xml:space="preserve"> </w:t>
      </w:r>
      <w:r w:rsidR="003B2367">
        <w:rPr>
          <w:szCs w:val="18"/>
        </w:rPr>
        <w:t>4</w:t>
      </w:r>
      <w:r w:rsidR="00481B1D">
        <w:rPr>
          <w:szCs w:val="18"/>
        </w:rPr>
        <w:t xml:space="preserve">, geven de tabellen de stand per 31 december 2025. </w:t>
      </w:r>
    </w:p>
    <w:p w:rsidR="005D2D3F" w:rsidRDefault="005D2D3F" w14:paraId="7BD9937F" w14:textId="77777777">
      <w:pPr>
        <w:spacing w:line="240" w:lineRule="auto"/>
        <w:rPr>
          <w:szCs w:val="18"/>
        </w:rPr>
      </w:pPr>
      <w:r>
        <w:rPr>
          <w:szCs w:val="18"/>
        </w:rPr>
        <w:br w:type="page"/>
      </w:r>
    </w:p>
    <w:tbl>
      <w:tblPr>
        <w:tblW w:w="6900" w:type="dxa"/>
        <w:tblInd w:w="75" w:type="dxa"/>
        <w:tblCellMar>
          <w:left w:w="70" w:type="dxa"/>
          <w:right w:w="70" w:type="dxa"/>
        </w:tblCellMar>
        <w:tblLook w:val="04A0" w:firstRow="1" w:lastRow="0" w:firstColumn="1" w:lastColumn="0" w:noHBand="0" w:noVBand="1"/>
      </w:tblPr>
      <w:tblGrid>
        <w:gridCol w:w="1780"/>
        <w:gridCol w:w="1960"/>
        <w:gridCol w:w="3160"/>
      </w:tblGrid>
      <w:tr w:rsidRPr="00E73E00" w:rsidR="00E73E00" w:rsidTr="00E73E00" w14:paraId="2F3D4653" w14:textId="77777777">
        <w:trPr>
          <w:trHeight w:val="440"/>
        </w:trPr>
        <w:tc>
          <w:tcPr>
            <w:tcW w:w="178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E73E00" w:rsidR="00E73E00" w:rsidP="00E73E00" w:rsidRDefault="00E73E00" w14:paraId="2DE9484C" w14:textId="77777777">
            <w:pPr>
              <w:spacing w:line="240" w:lineRule="auto"/>
              <w:rPr>
                <w:color w:val="000000"/>
                <w:sz w:val="17"/>
                <w:szCs w:val="17"/>
              </w:rPr>
            </w:pPr>
            <w:r w:rsidRPr="00E73E00">
              <w:rPr>
                <w:color w:val="000000"/>
                <w:sz w:val="17"/>
                <w:szCs w:val="17"/>
              </w:rPr>
              <w:lastRenderedPageBreak/>
              <w:t> </w:t>
            </w:r>
          </w:p>
        </w:tc>
        <w:tc>
          <w:tcPr>
            <w:tcW w:w="1960" w:type="dxa"/>
            <w:tcBorders>
              <w:top w:val="single" w:color="auto" w:sz="4" w:space="0"/>
              <w:left w:val="nil"/>
              <w:bottom w:val="single" w:color="auto" w:sz="4" w:space="0"/>
              <w:right w:val="single" w:color="auto" w:sz="4" w:space="0"/>
            </w:tcBorders>
            <w:shd w:val="clear" w:color="000000" w:fill="FFFFFF"/>
            <w:noWrap/>
            <w:vAlign w:val="bottom"/>
            <w:hideMark/>
          </w:tcPr>
          <w:p w:rsidRPr="00E73E00" w:rsidR="00E73E00" w:rsidP="00305FE9" w:rsidRDefault="00E73E00" w14:paraId="69874680" w14:textId="77777777">
            <w:pPr>
              <w:spacing w:line="240" w:lineRule="auto"/>
              <w:jc w:val="right"/>
              <w:rPr>
                <w:b/>
                <w:bCs/>
                <w:color w:val="000000"/>
                <w:sz w:val="17"/>
                <w:szCs w:val="17"/>
              </w:rPr>
            </w:pPr>
            <w:r w:rsidRPr="00E73E00">
              <w:rPr>
                <w:b/>
                <w:bCs/>
                <w:color w:val="000000"/>
                <w:sz w:val="17"/>
                <w:szCs w:val="17"/>
              </w:rPr>
              <w:t>Aantal personen</w:t>
            </w:r>
          </w:p>
        </w:tc>
        <w:tc>
          <w:tcPr>
            <w:tcW w:w="3160" w:type="dxa"/>
            <w:tcBorders>
              <w:top w:val="single" w:color="auto" w:sz="4" w:space="0"/>
              <w:left w:val="nil"/>
              <w:bottom w:val="single" w:color="auto" w:sz="4" w:space="0"/>
              <w:right w:val="single" w:color="auto" w:sz="4" w:space="0"/>
            </w:tcBorders>
            <w:shd w:val="clear" w:color="000000" w:fill="FFFFFF"/>
            <w:noWrap/>
            <w:vAlign w:val="bottom"/>
            <w:hideMark/>
          </w:tcPr>
          <w:p w:rsidRPr="00E73E00" w:rsidR="00E73E00" w:rsidP="00305FE9" w:rsidRDefault="00E73E00" w14:paraId="05A893DD" w14:textId="05827D88">
            <w:pPr>
              <w:spacing w:line="240" w:lineRule="auto"/>
              <w:jc w:val="right"/>
              <w:rPr>
                <w:b/>
                <w:bCs/>
                <w:color w:val="000000"/>
                <w:sz w:val="17"/>
                <w:szCs w:val="17"/>
              </w:rPr>
            </w:pPr>
            <w:r w:rsidRPr="00E73E00">
              <w:rPr>
                <w:b/>
                <w:bCs/>
                <w:color w:val="000000"/>
                <w:sz w:val="17"/>
                <w:szCs w:val="17"/>
              </w:rPr>
              <w:t>Totale studieschuld x € 1</w:t>
            </w:r>
            <w:r>
              <w:rPr>
                <w:b/>
                <w:bCs/>
                <w:color w:val="000000"/>
                <w:sz w:val="17"/>
                <w:szCs w:val="17"/>
              </w:rPr>
              <w:t xml:space="preserve"> </w:t>
            </w:r>
            <w:r w:rsidRPr="00E73E00">
              <w:rPr>
                <w:b/>
                <w:bCs/>
                <w:color w:val="000000"/>
                <w:sz w:val="17"/>
                <w:szCs w:val="17"/>
              </w:rPr>
              <w:t>mln</w:t>
            </w:r>
            <w:r>
              <w:rPr>
                <w:b/>
                <w:bCs/>
                <w:color w:val="000000"/>
                <w:sz w:val="17"/>
                <w:szCs w:val="17"/>
              </w:rPr>
              <w:t>.</w:t>
            </w:r>
          </w:p>
        </w:tc>
      </w:tr>
      <w:tr w:rsidRPr="00E73E00" w:rsidR="00E73E00" w:rsidTr="00E73E00" w14:paraId="44BE60AF" w14:textId="77777777">
        <w:trPr>
          <w:trHeight w:val="270"/>
        </w:trPr>
        <w:tc>
          <w:tcPr>
            <w:tcW w:w="1780" w:type="dxa"/>
            <w:tcBorders>
              <w:top w:val="nil"/>
              <w:left w:val="single" w:color="auto" w:sz="4" w:space="0"/>
              <w:bottom w:val="single" w:color="auto" w:sz="4" w:space="0"/>
              <w:right w:val="single" w:color="auto" w:sz="4" w:space="0"/>
            </w:tcBorders>
            <w:shd w:val="clear" w:color="000000" w:fill="FFFFFF"/>
            <w:noWrap/>
            <w:vAlign w:val="bottom"/>
            <w:hideMark/>
          </w:tcPr>
          <w:p w:rsidRPr="00E73E00" w:rsidR="00E73E00" w:rsidP="00E73E00" w:rsidRDefault="00E73E00" w14:paraId="5CBFAB1A" w14:textId="77777777">
            <w:pPr>
              <w:spacing w:line="240" w:lineRule="auto"/>
              <w:rPr>
                <w:b/>
                <w:bCs/>
                <w:color w:val="000000"/>
                <w:sz w:val="17"/>
                <w:szCs w:val="17"/>
              </w:rPr>
            </w:pPr>
            <w:r w:rsidRPr="00E73E00">
              <w:rPr>
                <w:b/>
                <w:bCs/>
                <w:color w:val="000000"/>
                <w:sz w:val="17"/>
                <w:szCs w:val="17"/>
              </w:rPr>
              <w:t>SF-15</w:t>
            </w:r>
          </w:p>
        </w:tc>
        <w:tc>
          <w:tcPr>
            <w:tcW w:w="1960" w:type="dxa"/>
            <w:tcBorders>
              <w:top w:val="nil"/>
              <w:left w:val="nil"/>
              <w:bottom w:val="single" w:color="auto" w:sz="4" w:space="0"/>
              <w:right w:val="single" w:color="auto" w:sz="4" w:space="0"/>
            </w:tcBorders>
            <w:shd w:val="clear" w:color="000000" w:fill="FFFFFF"/>
            <w:noWrap/>
            <w:vAlign w:val="bottom"/>
            <w:hideMark/>
          </w:tcPr>
          <w:p w:rsidRPr="00E73E00" w:rsidR="00E73E00" w:rsidP="00305FE9" w:rsidRDefault="00E73E00" w14:paraId="4013F331" w14:textId="77777777">
            <w:pPr>
              <w:spacing w:line="240" w:lineRule="auto"/>
              <w:jc w:val="right"/>
              <w:rPr>
                <w:color w:val="000000"/>
                <w:sz w:val="17"/>
                <w:szCs w:val="17"/>
              </w:rPr>
            </w:pPr>
            <w:r w:rsidRPr="00E73E00">
              <w:rPr>
                <w:color w:val="000000"/>
                <w:sz w:val="17"/>
                <w:szCs w:val="17"/>
              </w:rPr>
              <w:t>759.727</w:t>
            </w:r>
          </w:p>
        </w:tc>
        <w:tc>
          <w:tcPr>
            <w:tcW w:w="3160" w:type="dxa"/>
            <w:tcBorders>
              <w:top w:val="nil"/>
              <w:left w:val="nil"/>
              <w:bottom w:val="single" w:color="auto" w:sz="4" w:space="0"/>
              <w:right w:val="single" w:color="auto" w:sz="4" w:space="0"/>
            </w:tcBorders>
            <w:shd w:val="clear" w:color="000000" w:fill="FFFFFF"/>
            <w:noWrap/>
            <w:vAlign w:val="bottom"/>
            <w:hideMark/>
          </w:tcPr>
          <w:p w:rsidRPr="00E73E00" w:rsidR="00E73E00" w:rsidP="00305FE9" w:rsidRDefault="00E73E00" w14:paraId="5865641C" w14:textId="77777777">
            <w:pPr>
              <w:spacing w:line="240" w:lineRule="auto"/>
              <w:jc w:val="right"/>
              <w:rPr>
                <w:color w:val="000000"/>
                <w:sz w:val="17"/>
                <w:szCs w:val="17"/>
              </w:rPr>
            </w:pPr>
            <w:r w:rsidRPr="00E73E00">
              <w:rPr>
                <w:color w:val="000000"/>
                <w:sz w:val="17"/>
                <w:szCs w:val="17"/>
              </w:rPr>
              <w:t>12.241</w:t>
            </w:r>
          </w:p>
        </w:tc>
      </w:tr>
      <w:tr w:rsidRPr="00E73E00" w:rsidR="00E73E00" w:rsidTr="00E73E00" w14:paraId="5DE9788B" w14:textId="77777777">
        <w:trPr>
          <w:trHeight w:val="270"/>
        </w:trPr>
        <w:tc>
          <w:tcPr>
            <w:tcW w:w="1780" w:type="dxa"/>
            <w:tcBorders>
              <w:top w:val="nil"/>
              <w:left w:val="single" w:color="auto" w:sz="4" w:space="0"/>
              <w:bottom w:val="single" w:color="auto" w:sz="4" w:space="0"/>
              <w:right w:val="single" w:color="auto" w:sz="4" w:space="0"/>
            </w:tcBorders>
            <w:shd w:val="clear" w:color="000000" w:fill="FFFFFF"/>
            <w:noWrap/>
            <w:vAlign w:val="bottom"/>
            <w:hideMark/>
          </w:tcPr>
          <w:p w:rsidRPr="00E73E00" w:rsidR="00E73E00" w:rsidP="00E73E00" w:rsidRDefault="00E73E00" w14:paraId="56900399" w14:textId="77777777">
            <w:pPr>
              <w:spacing w:line="240" w:lineRule="auto"/>
              <w:rPr>
                <w:b/>
                <w:bCs/>
                <w:color w:val="000000"/>
                <w:sz w:val="17"/>
                <w:szCs w:val="17"/>
              </w:rPr>
            </w:pPr>
            <w:r w:rsidRPr="00E73E00">
              <w:rPr>
                <w:b/>
                <w:bCs/>
                <w:color w:val="000000"/>
                <w:sz w:val="17"/>
                <w:szCs w:val="17"/>
              </w:rPr>
              <w:t>SF-35</w:t>
            </w:r>
          </w:p>
        </w:tc>
        <w:tc>
          <w:tcPr>
            <w:tcW w:w="19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6DE6DF3E" w14:textId="77777777">
            <w:pPr>
              <w:spacing w:line="240" w:lineRule="auto"/>
              <w:jc w:val="right"/>
              <w:rPr>
                <w:color w:val="000000"/>
                <w:sz w:val="17"/>
                <w:szCs w:val="17"/>
              </w:rPr>
            </w:pPr>
            <w:r w:rsidRPr="00E73E00">
              <w:rPr>
                <w:color w:val="000000"/>
                <w:sz w:val="17"/>
                <w:szCs w:val="17"/>
              </w:rPr>
              <w:t>537.888</w:t>
            </w:r>
          </w:p>
        </w:tc>
        <w:tc>
          <w:tcPr>
            <w:tcW w:w="31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4D0F457C" w14:textId="77777777">
            <w:pPr>
              <w:spacing w:line="240" w:lineRule="auto"/>
              <w:jc w:val="right"/>
              <w:rPr>
                <w:color w:val="000000"/>
                <w:sz w:val="17"/>
                <w:szCs w:val="17"/>
              </w:rPr>
            </w:pPr>
            <w:r w:rsidRPr="00E73E00">
              <w:rPr>
                <w:color w:val="000000"/>
                <w:sz w:val="17"/>
                <w:szCs w:val="17"/>
              </w:rPr>
              <w:t>12.231</w:t>
            </w:r>
          </w:p>
        </w:tc>
      </w:tr>
      <w:tr w:rsidRPr="00E73E00" w:rsidR="00E73E00" w:rsidTr="00E73E00" w14:paraId="6AB799DC" w14:textId="77777777">
        <w:trPr>
          <w:trHeight w:val="270"/>
        </w:trPr>
        <w:tc>
          <w:tcPr>
            <w:tcW w:w="1780" w:type="dxa"/>
            <w:tcBorders>
              <w:top w:val="nil"/>
              <w:left w:val="single" w:color="auto" w:sz="4" w:space="0"/>
              <w:bottom w:val="single" w:color="auto" w:sz="4" w:space="0"/>
              <w:right w:val="single" w:color="auto" w:sz="4" w:space="0"/>
            </w:tcBorders>
            <w:shd w:val="clear" w:color="000000" w:fill="FFFFFF"/>
            <w:noWrap/>
            <w:vAlign w:val="bottom"/>
            <w:hideMark/>
          </w:tcPr>
          <w:p w:rsidRPr="00E73E00" w:rsidR="00E73E00" w:rsidP="00E73E00" w:rsidRDefault="00E73E00" w14:paraId="60C245CF" w14:textId="77777777">
            <w:pPr>
              <w:spacing w:line="240" w:lineRule="auto"/>
              <w:rPr>
                <w:b/>
                <w:bCs/>
                <w:color w:val="000000"/>
                <w:sz w:val="17"/>
                <w:szCs w:val="17"/>
              </w:rPr>
            </w:pPr>
            <w:r w:rsidRPr="00E73E00">
              <w:rPr>
                <w:b/>
                <w:bCs/>
                <w:color w:val="000000"/>
                <w:sz w:val="17"/>
                <w:szCs w:val="17"/>
              </w:rPr>
              <w:t>Nog studerend</w:t>
            </w:r>
          </w:p>
        </w:tc>
        <w:tc>
          <w:tcPr>
            <w:tcW w:w="19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17FD03D2" w14:textId="77777777">
            <w:pPr>
              <w:spacing w:line="240" w:lineRule="auto"/>
              <w:jc w:val="right"/>
              <w:rPr>
                <w:color w:val="000000"/>
                <w:sz w:val="17"/>
                <w:szCs w:val="17"/>
              </w:rPr>
            </w:pPr>
            <w:r w:rsidRPr="00E73E00">
              <w:rPr>
                <w:color w:val="000000"/>
                <w:sz w:val="17"/>
                <w:szCs w:val="17"/>
              </w:rPr>
              <w:t>219.307</w:t>
            </w:r>
          </w:p>
        </w:tc>
        <w:tc>
          <w:tcPr>
            <w:tcW w:w="31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60885F29" w14:textId="77777777">
            <w:pPr>
              <w:spacing w:line="240" w:lineRule="auto"/>
              <w:jc w:val="right"/>
              <w:rPr>
                <w:color w:val="000000"/>
                <w:sz w:val="17"/>
                <w:szCs w:val="17"/>
              </w:rPr>
            </w:pPr>
            <w:r w:rsidRPr="00E73E00">
              <w:rPr>
                <w:color w:val="000000"/>
                <w:sz w:val="17"/>
                <w:szCs w:val="17"/>
              </w:rPr>
              <w:t>3.847</w:t>
            </w:r>
          </w:p>
        </w:tc>
      </w:tr>
      <w:tr w:rsidRPr="00E73E00" w:rsidR="00E73E00" w:rsidTr="00E73E00" w14:paraId="2126C200" w14:textId="77777777">
        <w:trPr>
          <w:trHeight w:val="270"/>
        </w:trPr>
        <w:tc>
          <w:tcPr>
            <w:tcW w:w="1780" w:type="dxa"/>
            <w:tcBorders>
              <w:top w:val="nil"/>
              <w:left w:val="single" w:color="auto" w:sz="4" w:space="0"/>
              <w:bottom w:val="single" w:color="auto" w:sz="4" w:space="0"/>
              <w:right w:val="single" w:color="auto" w:sz="4" w:space="0"/>
            </w:tcBorders>
            <w:shd w:val="clear" w:color="000000" w:fill="FFFFFF"/>
            <w:noWrap/>
            <w:vAlign w:val="bottom"/>
            <w:hideMark/>
          </w:tcPr>
          <w:p w:rsidRPr="00E73E00" w:rsidR="00E73E00" w:rsidP="00E73E00" w:rsidRDefault="00E73E00" w14:paraId="20967154" w14:textId="77777777">
            <w:pPr>
              <w:spacing w:line="240" w:lineRule="auto"/>
              <w:rPr>
                <w:b/>
                <w:bCs/>
                <w:color w:val="000000"/>
                <w:sz w:val="17"/>
                <w:szCs w:val="17"/>
              </w:rPr>
            </w:pPr>
            <w:r w:rsidRPr="00E73E00">
              <w:rPr>
                <w:b/>
                <w:bCs/>
                <w:color w:val="000000"/>
                <w:sz w:val="17"/>
                <w:szCs w:val="17"/>
              </w:rPr>
              <w:t>Totaal</w:t>
            </w:r>
          </w:p>
        </w:tc>
        <w:tc>
          <w:tcPr>
            <w:tcW w:w="19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46866647" w14:textId="77777777">
            <w:pPr>
              <w:spacing w:line="240" w:lineRule="auto"/>
              <w:jc w:val="right"/>
              <w:rPr>
                <w:color w:val="000000"/>
                <w:sz w:val="17"/>
                <w:szCs w:val="17"/>
              </w:rPr>
            </w:pPr>
            <w:r w:rsidRPr="00E73E00">
              <w:rPr>
                <w:color w:val="000000"/>
                <w:sz w:val="17"/>
                <w:szCs w:val="17"/>
              </w:rPr>
              <w:t>1.516.922</w:t>
            </w:r>
          </w:p>
        </w:tc>
        <w:tc>
          <w:tcPr>
            <w:tcW w:w="3160" w:type="dxa"/>
            <w:tcBorders>
              <w:top w:val="nil"/>
              <w:left w:val="nil"/>
              <w:bottom w:val="single" w:color="auto" w:sz="4" w:space="0"/>
              <w:right w:val="single" w:color="auto" w:sz="4" w:space="0"/>
            </w:tcBorders>
            <w:shd w:val="clear" w:color="000000" w:fill="FFFFFF"/>
            <w:noWrap/>
            <w:vAlign w:val="bottom"/>
            <w:hideMark/>
          </w:tcPr>
          <w:p w:rsidRPr="00E73E00" w:rsidR="00E73E00" w:rsidP="00E73E00" w:rsidRDefault="00E73E00" w14:paraId="2D0E8590" w14:textId="77777777">
            <w:pPr>
              <w:spacing w:line="240" w:lineRule="auto"/>
              <w:jc w:val="right"/>
              <w:rPr>
                <w:color w:val="000000"/>
                <w:sz w:val="17"/>
                <w:szCs w:val="17"/>
              </w:rPr>
            </w:pPr>
            <w:r w:rsidRPr="00E73E00">
              <w:rPr>
                <w:color w:val="000000"/>
                <w:sz w:val="17"/>
                <w:szCs w:val="17"/>
              </w:rPr>
              <w:t>28.319</w:t>
            </w:r>
          </w:p>
        </w:tc>
      </w:tr>
      <w:bookmarkEnd w:id="1"/>
    </w:tbl>
    <w:p w:rsidR="00E73E00" w:rsidP="00750982" w:rsidRDefault="00E73E00" w14:paraId="1ACA1F59" w14:textId="77777777">
      <w:pPr>
        <w:rPr>
          <w:szCs w:val="18"/>
        </w:rPr>
      </w:pPr>
    </w:p>
    <w:p w:rsidR="000D40F4" w:rsidP="00750982" w:rsidRDefault="000D40F4" w14:paraId="27EC658F" w14:textId="62AF8044">
      <w:pPr>
        <w:rPr>
          <w:szCs w:val="18"/>
        </w:rPr>
      </w:pPr>
      <w:r>
        <w:rPr>
          <w:szCs w:val="18"/>
        </w:rPr>
        <w:t>Een kanttekening bij deze tabel is dat een persoon onder meerdere terugbetaalregimes van DUO kan vallen. Bijvoorbeeld als een</w:t>
      </w:r>
      <w:r w:rsidR="00C45F57">
        <w:rPr>
          <w:szCs w:val="18"/>
        </w:rPr>
        <w:t xml:space="preserve"> debiteur een studieschuld heeft uit een eerdere studie en daarmee onder SF-15 valt maar inmiddels opnieuw is gaan studeren (onder SF-35). </w:t>
      </w:r>
      <w:r>
        <w:rPr>
          <w:szCs w:val="18"/>
        </w:rPr>
        <w:t xml:space="preserve">Hierdoor ligt het aantal personen in bovenstaande tabel hoger dan het aantal unieke personen voor alle fases. Het aantal unieke personen voor alle fases betreft 1.417.298. </w:t>
      </w:r>
    </w:p>
    <w:p w:rsidR="00A80150" w:rsidP="00750982" w:rsidRDefault="00A80150" w14:paraId="709E9680" w14:textId="77777777">
      <w:pPr>
        <w:rPr>
          <w:szCs w:val="18"/>
        </w:rPr>
      </w:pPr>
      <w:r w:rsidRPr="00A80150">
        <w:rPr>
          <w:szCs w:val="18"/>
        </w:rPr>
        <w:t>Daarnaast zijn in de groep ‘nog studerend’ alleen studenten opgenomen die een collegegeldkrediet of een rentedragende lening hebben. Studenten die uitsluitend een voorlopige lening in de vorm van een prestatiebeurs ontvangen, zijn buiten beschouwing gelaten.</w:t>
      </w:r>
    </w:p>
    <w:p w:rsidR="00750982" w:rsidP="00750982" w:rsidRDefault="00750982" w14:paraId="35057752" w14:textId="0FDEC7AB">
      <w:pPr>
        <w:rPr>
          <w:szCs w:val="18"/>
        </w:rPr>
      </w:pPr>
      <w:r w:rsidRPr="00990DA2">
        <w:rPr>
          <w:szCs w:val="18"/>
        </w:rPr>
        <w:br/>
      </w:r>
      <w:r w:rsidRPr="00E84269" w:rsidR="00E84269">
        <w:rPr>
          <w:szCs w:val="18"/>
        </w:rPr>
        <w:t>Vraag 6</w:t>
      </w:r>
      <w:r w:rsidRPr="00E84269" w:rsidR="00E84269">
        <w:rPr>
          <w:szCs w:val="18"/>
        </w:rPr>
        <w:br/>
        <w:t>Volgens het CBS zijn er 1,6 miljoen mensen met een studieschuld. Kunt u aangeven hoe deze groep is onderverdeeld in de volgende categorieën: nog studerend, afgestudeerd en in de aanloopfase (nog niet begonnen met aflossen) en bezig met het afbetalen van de studieschuld.</w:t>
      </w:r>
    </w:p>
    <w:p w:rsidR="00E84269" w:rsidP="00750982" w:rsidRDefault="00E84269" w14:paraId="1B462791" w14:textId="77777777">
      <w:pPr>
        <w:rPr>
          <w:szCs w:val="18"/>
        </w:rPr>
      </w:pPr>
    </w:p>
    <w:p w:rsidR="00E84269" w:rsidP="00750982" w:rsidRDefault="00E84269" w14:paraId="7DE5069D" w14:textId="49D025E3">
      <w:pPr>
        <w:rPr>
          <w:szCs w:val="18"/>
        </w:rPr>
      </w:pPr>
      <w:r>
        <w:rPr>
          <w:szCs w:val="18"/>
        </w:rPr>
        <w:t>Antwoord 6</w:t>
      </w:r>
    </w:p>
    <w:p w:rsidR="00E84269" w:rsidP="00E84269" w:rsidRDefault="00E84269" w14:paraId="56E44A24" w14:textId="2DC33D16">
      <w:pPr>
        <w:rPr>
          <w:szCs w:val="18"/>
        </w:rPr>
      </w:pPr>
      <w:r w:rsidRPr="00E84269">
        <w:rPr>
          <w:szCs w:val="18"/>
        </w:rPr>
        <w:t xml:space="preserve">In onderstaande tabel staan de gegevens voor het aantal personen </w:t>
      </w:r>
      <w:r w:rsidR="00B7576F">
        <w:rPr>
          <w:szCs w:val="18"/>
        </w:rPr>
        <w:t>uit</w:t>
      </w:r>
      <w:r w:rsidRPr="00E84269">
        <w:rPr>
          <w:szCs w:val="18"/>
        </w:rPr>
        <w:t xml:space="preserve">gesplitst naar studiefase, aanloopfase en aflosfase. </w:t>
      </w:r>
    </w:p>
    <w:p w:rsidRPr="00E84269" w:rsidR="00E84269" w:rsidP="00E84269" w:rsidRDefault="00E84269" w14:paraId="2FC6EA69" w14:textId="7CFFA1A9">
      <w:pPr>
        <w:rPr>
          <w:szCs w:val="18"/>
        </w:rPr>
      </w:pPr>
    </w:p>
    <w:tbl>
      <w:tblPr>
        <w:tblW w:w="6040" w:type="dxa"/>
        <w:tblInd w:w="75" w:type="dxa"/>
        <w:tblCellMar>
          <w:left w:w="70" w:type="dxa"/>
          <w:right w:w="70" w:type="dxa"/>
        </w:tblCellMar>
        <w:tblLook w:val="04A0" w:firstRow="1" w:lastRow="0" w:firstColumn="1" w:lastColumn="0" w:noHBand="0" w:noVBand="1"/>
      </w:tblPr>
      <w:tblGrid>
        <w:gridCol w:w="1960"/>
        <w:gridCol w:w="1300"/>
        <w:gridCol w:w="1500"/>
        <w:gridCol w:w="1280"/>
      </w:tblGrid>
      <w:tr w:rsidRPr="00F8478B" w:rsidR="00F8478B" w:rsidTr="00F8478B" w14:paraId="2176DC80" w14:textId="77777777">
        <w:trPr>
          <w:trHeight w:val="270"/>
        </w:trPr>
        <w:tc>
          <w:tcPr>
            <w:tcW w:w="196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F8478B" w:rsidR="00F8478B" w:rsidP="00F8478B" w:rsidRDefault="00F8478B" w14:paraId="49A35732" w14:textId="77777777">
            <w:pPr>
              <w:spacing w:line="240" w:lineRule="auto"/>
              <w:rPr>
                <w:color w:val="000000"/>
                <w:sz w:val="17"/>
                <w:szCs w:val="17"/>
              </w:rPr>
            </w:pPr>
            <w:r w:rsidRPr="00F8478B">
              <w:rPr>
                <w:color w:val="000000"/>
                <w:sz w:val="17"/>
                <w:szCs w:val="17"/>
              </w:rPr>
              <w:t> </w:t>
            </w:r>
          </w:p>
        </w:tc>
        <w:tc>
          <w:tcPr>
            <w:tcW w:w="1300" w:type="dxa"/>
            <w:tcBorders>
              <w:top w:val="single" w:color="auto" w:sz="4" w:space="0"/>
              <w:left w:val="nil"/>
              <w:bottom w:val="single" w:color="auto" w:sz="4" w:space="0"/>
              <w:right w:val="single" w:color="auto" w:sz="4" w:space="0"/>
            </w:tcBorders>
            <w:shd w:val="clear" w:color="000000" w:fill="FFFFFF"/>
            <w:noWrap/>
            <w:vAlign w:val="bottom"/>
            <w:hideMark/>
          </w:tcPr>
          <w:p w:rsidRPr="00F8478B" w:rsidR="00F8478B" w:rsidP="00F8478B" w:rsidRDefault="00F8478B" w14:paraId="1A54E4EB" w14:textId="77777777">
            <w:pPr>
              <w:spacing w:line="240" w:lineRule="auto"/>
              <w:rPr>
                <w:b/>
                <w:bCs/>
                <w:color w:val="000000"/>
                <w:sz w:val="17"/>
                <w:szCs w:val="17"/>
              </w:rPr>
            </w:pPr>
            <w:r w:rsidRPr="00F8478B">
              <w:rPr>
                <w:b/>
                <w:bCs/>
                <w:color w:val="000000"/>
                <w:sz w:val="17"/>
                <w:szCs w:val="17"/>
              </w:rPr>
              <w:t>Studiefase</w:t>
            </w:r>
          </w:p>
        </w:tc>
        <w:tc>
          <w:tcPr>
            <w:tcW w:w="1500" w:type="dxa"/>
            <w:tcBorders>
              <w:top w:val="single" w:color="auto" w:sz="4" w:space="0"/>
              <w:left w:val="nil"/>
              <w:bottom w:val="single" w:color="auto" w:sz="4" w:space="0"/>
              <w:right w:val="single" w:color="auto" w:sz="4" w:space="0"/>
            </w:tcBorders>
            <w:shd w:val="clear" w:color="000000" w:fill="FFFFFF"/>
            <w:noWrap/>
            <w:vAlign w:val="bottom"/>
            <w:hideMark/>
          </w:tcPr>
          <w:p w:rsidRPr="00F8478B" w:rsidR="00F8478B" w:rsidP="00F8478B" w:rsidRDefault="00F8478B" w14:paraId="45DED759" w14:textId="77777777">
            <w:pPr>
              <w:spacing w:line="240" w:lineRule="auto"/>
              <w:rPr>
                <w:b/>
                <w:bCs/>
                <w:color w:val="000000"/>
                <w:sz w:val="17"/>
                <w:szCs w:val="17"/>
              </w:rPr>
            </w:pPr>
            <w:r w:rsidRPr="00F8478B">
              <w:rPr>
                <w:b/>
                <w:bCs/>
                <w:color w:val="000000"/>
                <w:sz w:val="17"/>
                <w:szCs w:val="17"/>
              </w:rPr>
              <w:t>Aanloopfase</w:t>
            </w:r>
          </w:p>
        </w:tc>
        <w:tc>
          <w:tcPr>
            <w:tcW w:w="1280" w:type="dxa"/>
            <w:tcBorders>
              <w:top w:val="single" w:color="auto" w:sz="4" w:space="0"/>
              <w:left w:val="nil"/>
              <w:bottom w:val="single" w:color="auto" w:sz="4" w:space="0"/>
              <w:right w:val="single" w:color="auto" w:sz="4" w:space="0"/>
            </w:tcBorders>
            <w:shd w:val="clear" w:color="000000" w:fill="FFFFFF"/>
            <w:noWrap/>
            <w:vAlign w:val="bottom"/>
            <w:hideMark/>
          </w:tcPr>
          <w:p w:rsidRPr="00F8478B" w:rsidR="00F8478B" w:rsidP="00F8478B" w:rsidRDefault="00F8478B" w14:paraId="10F85238" w14:textId="77777777">
            <w:pPr>
              <w:spacing w:line="240" w:lineRule="auto"/>
              <w:rPr>
                <w:b/>
                <w:bCs/>
                <w:color w:val="000000"/>
                <w:sz w:val="17"/>
                <w:szCs w:val="17"/>
              </w:rPr>
            </w:pPr>
            <w:r w:rsidRPr="00F8478B">
              <w:rPr>
                <w:b/>
                <w:bCs/>
                <w:color w:val="000000"/>
                <w:sz w:val="17"/>
                <w:szCs w:val="17"/>
              </w:rPr>
              <w:t>Aflosfase</w:t>
            </w:r>
          </w:p>
        </w:tc>
      </w:tr>
      <w:tr w:rsidRPr="00F8478B" w:rsidR="00F8478B" w:rsidTr="00F8478B" w14:paraId="60A0AE0F" w14:textId="77777777">
        <w:trPr>
          <w:trHeight w:val="270"/>
        </w:trPr>
        <w:tc>
          <w:tcPr>
            <w:tcW w:w="1960" w:type="dxa"/>
            <w:tcBorders>
              <w:top w:val="nil"/>
              <w:left w:val="single" w:color="auto" w:sz="4" w:space="0"/>
              <w:bottom w:val="single" w:color="auto" w:sz="4" w:space="0"/>
              <w:right w:val="single" w:color="auto" w:sz="4" w:space="0"/>
            </w:tcBorders>
            <w:shd w:val="clear" w:color="000000" w:fill="FFFFFF"/>
            <w:noWrap/>
            <w:vAlign w:val="bottom"/>
            <w:hideMark/>
          </w:tcPr>
          <w:p w:rsidRPr="00F8478B" w:rsidR="00F8478B" w:rsidP="00F8478B" w:rsidRDefault="00F8478B" w14:paraId="67F5F024" w14:textId="77777777">
            <w:pPr>
              <w:spacing w:line="240" w:lineRule="auto"/>
              <w:rPr>
                <w:b/>
                <w:bCs/>
                <w:color w:val="000000"/>
                <w:sz w:val="17"/>
                <w:szCs w:val="17"/>
              </w:rPr>
            </w:pPr>
            <w:r w:rsidRPr="00F8478B">
              <w:rPr>
                <w:b/>
                <w:bCs/>
                <w:color w:val="000000"/>
                <w:sz w:val="17"/>
                <w:szCs w:val="17"/>
              </w:rPr>
              <w:t>Aantal personen</w:t>
            </w:r>
          </w:p>
        </w:tc>
        <w:tc>
          <w:tcPr>
            <w:tcW w:w="1300" w:type="dxa"/>
            <w:tcBorders>
              <w:top w:val="nil"/>
              <w:left w:val="nil"/>
              <w:bottom w:val="single" w:color="auto" w:sz="4" w:space="0"/>
              <w:right w:val="single" w:color="auto" w:sz="4" w:space="0"/>
            </w:tcBorders>
            <w:shd w:val="clear" w:color="000000" w:fill="FFFFFF"/>
            <w:noWrap/>
            <w:vAlign w:val="bottom"/>
            <w:hideMark/>
          </w:tcPr>
          <w:p w:rsidRPr="00F8478B" w:rsidR="00F8478B" w:rsidP="00F8478B" w:rsidRDefault="00F8478B" w14:paraId="610A8685" w14:textId="77777777">
            <w:pPr>
              <w:spacing w:line="240" w:lineRule="auto"/>
              <w:jc w:val="right"/>
              <w:rPr>
                <w:color w:val="000000"/>
                <w:sz w:val="17"/>
                <w:szCs w:val="17"/>
              </w:rPr>
            </w:pPr>
            <w:r w:rsidRPr="00F8478B">
              <w:rPr>
                <w:color w:val="000000"/>
                <w:sz w:val="17"/>
                <w:szCs w:val="17"/>
              </w:rPr>
              <w:t>300.449</w:t>
            </w:r>
          </w:p>
        </w:tc>
        <w:tc>
          <w:tcPr>
            <w:tcW w:w="1500" w:type="dxa"/>
            <w:tcBorders>
              <w:top w:val="nil"/>
              <w:left w:val="nil"/>
              <w:bottom w:val="single" w:color="auto" w:sz="4" w:space="0"/>
              <w:right w:val="single" w:color="auto" w:sz="4" w:space="0"/>
            </w:tcBorders>
            <w:shd w:val="clear" w:color="000000" w:fill="FFFFFF"/>
            <w:noWrap/>
            <w:vAlign w:val="bottom"/>
            <w:hideMark/>
          </w:tcPr>
          <w:p w:rsidRPr="00F8478B" w:rsidR="00F8478B" w:rsidP="00F8478B" w:rsidRDefault="00F8478B" w14:paraId="6BD7764E" w14:textId="77777777">
            <w:pPr>
              <w:spacing w:line="240" w:lineRule="auto"/>
              <w:jc w:val="right"/>
              <w:rPr>
                <w:color w:val="000000"/>
                <w:sz w:val="17"/>
                <w:szCs w:val="17"/>
              </w:rPr>
            </w:pPr>
            <w:r w:rsidRPr="00F8478B">
              <w:rPr>
                <w:color w:val="000000"/>
                <w:sz w:val="17"/>
                <w:szCs w:val="17"/>
              </w:rPr>
              <w:t>246.775</w:t>
            </w:r>
          </w:p>
        </w:tc>
        <w:tc>
          <w:tcPr>
            <w:tcW w:w="1280" w:type="dxa"/>
            <w:tcBorders>
              <w:top w:val="nil"/>
              <w:left w:val="nil"/>
              <w:bottom w:val="single" w:color="auto" w:sz="4" w:space="0"/>
              <w:right w:val="single" w:color="auto" w:sz="4" w:space="0"/>
            </w:tcBorders>
            <w:shd w:val="clear" w:color="000000" w:fill="FFFFFF"/>
            <w:noWrap/>
            <w:vAlign w:val="bottom"/>
            <w:hideMark/>
          </w:tcPr>
          <w:p w:rsidRPr="00F8478B" w:rsidR="00F8478B" w:rsidP="00F8478B" w:rsidRDefault="00F8478B" w14:paraId="43E26DF2" w14:textId="714A5170">
            <w:pPr>
              <w:spacing w:line="240" w:lineRule="auto"/>
              <w:jc w:val="right"/>
              <w:rPr>
                <w:color w:val="000000"/>
                <w:sz w:val="17"/>
                <w:szCs w:val="17"/>
              </w:rPr>
            </w:pPr>
            <w:r w:rsidRPr="00F8478B">
              <w:rPr>
                <w:color w:val="000000"/>
                <w:sz w:val="17"/>
                <w:szCs w:val="17"/>
              </w:rPr>
              <w:t>969.698</w:t>
            </w:r>
          </w:p>
        </w:tc>
      </w:tr>
    </w:tbl>
    <w:p w:rsidRPr="00E84269" w:rsidR="00E84269" w:rsidP="00E84269" w:rsidRDefault="00E84269" w14:paraId="22080928" w14:textId="0B3D2FED">
      <w:pPr>
        <w:rPr>
          <w:szCs w:val="18"/>
        </w:rPr>
      </w:pPr>
    </w:p>
    <w:p w:rsidR="009955A4" w:rsidP="00750982" w:rsidRDefault="009955A4" w14:paraId="72FBE2C2" w14:textId="3740EC1C">
      <w:pPr>
        <w:rPr>
          <w:szCs w:val="18"/>
        </w:rPr>
      </w:pPr>
      <w:r w:rsidRPr="009955A4">
        <w:rPr>
          <w:szCs w:val="18"/>
        </w:rPr>
        <w:t>Een kanttekening bij deze tabel is dat één persoon in meerdere fases kan voorkomen, bijvoorbeeld wanneer iemand die al aan het aflossen is</w:t>
      </w:r>
      <w:r w:rsidR="001B49FE">
        <w:rPr>
          <w:szCs w:val="18"/>
        </w:rPr>
        <w:t xml:space="preserve"> over een eerdere studie en vervolgens</w:t>
      </w:r>
      <w:r w:rsidRPr="009955A4">
        <w:rPr>
          <w:szCs w:val="18"/>
        </w:rPr>
        <w:t xml:space="preserve"> opnieuw besluit te gaan studeren.</w:t>
      </w:r>
    </w:p>
    <w:p w:rsidR="00D677F0" w:rsidP="00750982" w:rsidRDefault="00D677F0" w14:paraId="25ECA958" w14:textId="77777777">
      <w:pPr>
        <w:rPr>
          <w:szCs w:val="18"/>
        </w:rPr>
      </w:pPr>
    </w:p>
    <w:p w:rsidRPr="00E84269" w:rsidR="00E84269" w:rsidP="00E84269" w:rsidRDefault="00E84269" w14:paraId="7E4EE811" w14:textId="77777777">
      <w:pPr>
        <w:rPr>
          <w:szCs w:val="18"/>
        </w:rPr>
      </w:pPr>
      <w:r w:rsidRPr="00E84269">
        <w:rPr>
          <w:szCs w:val="18"/>
        </w:rPr>
        <w:t>Vraag 7</w:t>
      </w:r>
      <w:r w:rsidRPr="00E84269">
        <w:rPr>
          <w:szCs w:val="18"/>
        </w:rPr>
        <w:br/>
        <w:t>Kunt u aangeven hoeveel van de personen die zijn begonnen met het aflossen van hun studieschuld daarvan het volledige wettelijke maandbedrag betalen en hoeveel gebruik maken van de draagkrachtregeling en daardoor een lager maandbedrag betalen?</w:t>
      </w:r>
    </w:p>
    <w:p w:rsidR="00E84269" w:rsidP="00750982" w:rsidRDefault="00E84269" w14:paraId="16DD94A0" w14:textId="77777777">
      <w:pPr>
        <w:rPr>
          <w:szCs w:val="18"/>
        </w:rPr>
      </w:pPr>
    </w:p>
    <w:p w:rsidR="00E84269" w:rsidP="00750982" w:rsidRDefault="00E84269" w14:paraId="510BE28C" w14:textId="0B8E0169">
      <w:pPr>
        <w:rPr>
          <w:szCs w:val="18"/>
        </w:rPr>
      </w:pPr>
      <w:r>
        <w:rPr>
          <w:szCs w:val="18"/>
        </w:rPr>
        <w:t>Antwoord 7</w:t>
      </w:r>
    </w:p>
    <w:p w:rsidR="00E84269" w:rsidP="00E84269" w:rsidRDefault="002A4675" w14:paraId="53094906" w14:textId="64625E62">
      <w:pPr>
        <w:rPr>
          <w:szCs w:val="18"/>
        </w:rPr>
      </w:pPr>
      <w:r w:rsidRPr="00E84269">
        <w:rPr>
          <w:szCs w:val="18"/>
        </w:rPr>
        <w:t>Onderstaande tabel geeft het aantal personen weer dat aan het aflossen is</w:t>
      </w:r>
      <w:r>
        <w:rPr>
          <w:szCs w:val="18"/>
        </w:rPr>
        <w:t xml:space="preserve"> en of zij onder draagkracht vallen</w:t>
      </w:r>
      <w:r w:rsidRPr="00E84269" w:rsidR="00E84269">
        <w:rPr>
          <w:szCs w:val="18"/>
        </w:rPr>
        <w:t xml:space="preserve">. </w:t>
      </w:r>
      <w:r w:rsidR="00E84269">
        <w:rPr>
          <w:szCs w:val="18"/>
        </w:rPr>
        <w:t>Dit</w:t>
      </w:r>
      <w:r w:rsidR="009955A4">
        <w:rPr>
          <w:szCs w:val="18"/>
        </w:rPr>
        <w:t xml:space="preserve"> aantal wijkt af van het totaal aantal personen in de aflosfase</w:t>
      </w:r>
      <w:r w:rsidR="00BF5295">
        <w:rPr>
          <w:szCs w:val="18"/>
        </w:rPr>
        <w:t>,</w:t>
      </w:r>
      <w:r w:rsidR="009955A4">
        <w:rPr>
          <w:szCs w:val="18"/>
        </w:rPr>
        <w:t xml:space="preserve"> omdat in deze tabel alleen debiteuren zijn meegenomen waarvoor in december 2025 </w:t>
      </w:r>
      <w:r w:rsidR="00305FE9">
        <w:rPr>
          <w:szCs w:val="18"/>
        </w:rPr>
        <w:t xml:space="preserve">door DUO </w:t>
      </w:r>
      <w:r w:rsidR="009955A4">
        <w:rPr>
          <w:szCs w:val="18"/>
        </w:rPr>
        <w:t xml:space="preserve">een termijn in rekening is gebracht. </w:t>
      </w:r>
      <w:r w:rsidRPr="009955A4" w:rsidR="009955A4">
        <w:rPr>
          <w:szCs w:val="18"/>
        </w:rPr>
        <w:t>Personen die zich in de aanloop</w:t>
      </w:r>
      <w:r w:rsidR="00305FE9">
        <w:rPr>
          <w:szCs w:val="18"/>
        </w:rPr>
        <w:t>- of studie</w:t>
      </w:r>
      <w:r w:rsidRPr="009955A4" w:rsidR="009955A4">
        <w:rPr>
          <w:szCs w:val="18"/>
        </w:rPr>
        <w:t>fase bevinden, een schorsing of stopzetting hebben, in een aflossingsperiode zitten of onder de schuldsanering vallen, zijn niet in de tabel opgenomen</w:t>
      </w:r>
      <w:r w:rsidR="009955A4">
        <w:rPr>
          <w:szCs w:val="18"/>
        </w:rPr>
        <w:t>.</w:t>
      </w:r>
    </w:p>
    <w:p w:rsidRPr="00E84269" w:rsidR="00E84269" w:rsidP="00E84269" w:rsidRDefault="00E84269" w14:paraId="507581D0" w14:textId="77777777">
      <w:pPr>
        <w:rPr>
          <w:szCs w:val="18"/>
        </w:rPr>
      </w:pPr>
    </w:p>
    <w:tbl>
      <w:tblPr>
        <w:tblW w:w="7120" w:type="dxa"/>
        <w:tblInd w:w="75" w:type="dxa"/>
        <w:tblCellMar>
          <w:left w:w="70" w:type="dxa"/>
          <w:right w:w="70" w:type="dxa"/>
        </w:tblCellMar>
        <w:tblLook w:val="04A0" w:firstRow="1" w:lastRow="0" w:firstColumn="1" w:lastColumn="0" w:noHBand="0" w:noVBand="1"/>
      </w:tblPr>
      <w:tblGrid>
        <w:gridCol w:w="1920"/>
        <w:gridCol w:w="2300"/>
        <w:gridCol w:w="2900"/>
      </w:tblGrid>
      <w:tr w:rsidRPr="00435DAD" w:rsidR="00435DAD" w:rsidTr="00435DAD" w14:paraId="32C5A5D5" w14:textId="77777777">
        <w:trPr>
          <w:trHeight w:val="440"/>
        </w:trPr>
        <w:tc>
          <w:tcPr>
            <w:tcW w:w="192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435DAD" w:rsidR="00435DAD" w:rsidP="00435DAD" w:rsidRDefault="00435DAD" w14:paraId="6DF2902C" w14:textId="77777777">
            <w:pPr>
              <w:spacing w:line="240" w:lineRule="auto"/>
              <w:rPr>
                <w:b/>
                <w:bCs/>
                <w:color w:val="000000"/>
                <w:sz w:val="17"/>
                <w:szCs w:val="17"/>
              </w:rPr>
            </w:pPr>
            <w:r w:rsidRPr="00435DAD">
              <w:rPr>
                <w:b/>
                <w:bCs/>
                <w:color w:val="000000"/>
                <w:sz w:val="17"/>
                <w:szCs w:val="17"/>
              </w:rPr>
              <w:t>Totaal aantal aflossers</w:t>
            </w:r>
          </w:p>
        </w:tc>
        <w:tc>
          <w:tcPr>
            <w:tcW w:w="2300" w:type="dxa"/>
            <w:tcBorders>
              <w:top w:val="single" w:color="auto" w:sz="4" w:space="0"/>
              <w:left w:val="nil"/>
              <w:bottom w:val="single" w:color="auto" w:sz="4" w:space="0"/>
              <w:right w:val="single" w:color="auto" w:sz="4" w:space="0"/>
            </w:tcBorders>
            <w:shd w:val="clear" w:color="000000" w:fill="FFFFFF"/>
            <w:vAlign w:val="bottom"/>
            <w:hideMark/>
          </w:tcPr>
          <w:p w:rsidRPr="00435DAD" w:rsidR="00435DAD" w:rsidP="00435DAD" w:rsidRDefault="00435DAD" w14:paraId="0D91D828" w14:textId="77777777">
            <w:pPr>
              <w:spacing w:line="240" w:lineRule="auto"/>
              <w:rPr>
                <w:b/>
                <w:bCs/>
                <w:color w:val="000000"/>
                <w:sz w:val="17"/>
                <w:szCs w:val="17"/>
              </w:rPr>
            </w:pPr>
            <w:r w:rsidRPr="00435DAD">
              <w:rPr>
                <w:b/>
                <w:bCs/>
                <w:color w:val="000000"/>
                <w:sz w:val="17"/>
                <w:szCs w:val="17"/>
              </w:rPr>
              <w:t>Aantal aflossers onder draagkracht</w:t>
            </w:r>
          </w:p>
        </w:tc>
        <w:tc>
          <w:tcPr>
            <w:tcW w:w="2900" w:type="dxa"/>
            <w:tcBorders>
              <w:top w:val="single" w:color="auto" w:sz="4" w:space="0"/>
              <w:left w:val="nil"/>
              <w:bottom w:val="single" w:color="auto" w:sz="4" w:space="0"/>
              <w:right w:val="single" w:color="auto" w:sz="4" w:space="0"/>
            </w:tcBorders>
            <w:shd w:val="clear" w:color="000000" w:fill="FFFFFF"/>
            <w:vAlign w:val="bottom"/>
            <w:hideMark/>
          </w:tcPr>
          <w:p w:rsidRPr="00435DAD" w:rsidR="00435DAD" w:rsidP="00435DAD" w:rsidRDefault="00E73E00" w14:paraId="2F1E26DD" w14:textId="7935058E">
            <w:pPr>
              <w:spacing w:line="240" w:lineRule="auto"/>
              <w:rPr>
                <w:b/>
                <w:bCs/>
                <w:color w:val="000000"/>
                <w:sz w:val="17"/>
                <w:szCs w:val="17"/>
              </w:rPr>
            </w:pPr>
            <w:r>
              <w:rPr>
                <w:b/>
                <w:bCs/>
                <w:color w:val="000000"/>
                <w:sz w:val="17"/>
                <w:szCs w:val="17"/>
              </w:rPr>
              <w:t>A</w:t>
            </w:r>
            <w:r w:rsidRPr="00435DAD" w:rsidR="00435DAD">
              <w:rPr>
                <w:b/>
                <w:bCs/>
                <w:color w:val="000000"/>
                <w:sz w:val="17"/>
                <w:szCs w:val="17"/>
              </w:rPr>
              <w:t>antal aflossers die niet onder draagkracht vallen</w:t>
            </w:r>
          </w:p>
        </w:tc>
      </w:tr>
      <w:tr w:rsidRPr="00435DAD" w:rsidR="00435DAD" w:rsidTr="00435DAD" w14:paraId="51B756DC" w14:textId="77777777">
        <w:trPr>
          <w:trHeight w:val="270"/>
        </w:trPr>
        <w:tc>
          <w:tcPr>
            <w:tcW w:w="1920" w:type="dxa"/>
            <w:tcBorders>
              <w:top w:val="nil"/>
              <w:left w:val="single" w:color="auto" w:sz="4" w:space="0"/>
              <w:bottom w:val="single" w:color="auto" w:sz="4" w:space="0"/>
              <w:right w:val="single" w:color="auto" w:sz="4" w:space="0"/>
            </w:tcBorders>
            <w:shd w:val="clear" w:color="000000" w:fill="FFFFFF"/>
            <w:noWrap/>
            <w:vAlign w:val="bottom"/>
            <w:hideMark/>
          </w:tcPr>
          <w:p w:rsidRPr="00435DAD" w:rsidR="00435DAD" w:rsidP="00435DAD" w:rsidRDefault="00435DAD" w14:paraId="6377A309" w14:textId="77777777">
            <w:pPr>
              <w:spacing w:line="240" w:lineRule="auto"/>
              <w:jc w:val="right"/>
              <w:rPr>
                <w:color w:val="000000"/>
                <w:sz w:val="17"/>
                <w:szCs w:val="17"/>
              </w:rPr>
            </w:pPr>
            <w:r w:rsidRPr="00435DAD">
              <w:rPr>
                <w:color w:val="000000"/>
                <w:sz w:val="17"/>
                <w:szCs w:val="17"/>
              </w:rPr>
              <w:lastRenderedPageBreak/>
              <w:t>909.748</w:t>
            </w:r>
          </w:p>
        </w:tc>
        <w:tc>
          <w:tcPr>
            <w:tcW w:w="230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7FB6751F" w14:textId="77777777">
            <w:pPr>
              <w:spacing w:line="240" w:lineRule="auto"/>
              <w:jc w:val="right"/>
              <w:rPr>
                <w:color w:val="000000"/>
                <w:sz w:val="17"/>
                <w:szCs w:val="17"/>
              </w:rPr>
            </w:pPr>
            <w:r w:rsidRPr="00435DAD">
              <w:rPr>
                <w:color w:val="000000"/>
                <w:sz w:val="17"/>
                <w:szCs w:val="17"/>
              </w:rPr>
              <w:t>414.682</w:t>
            </w:r>
          </w:p>
        </w:tc>
        <w:tc>
          <w:tcPr>
            <w:tcW w:w="2900" w:type="dxa"/>
            <w:tcBorders>
              <w:top w:val="nil"/>
              <w:left w:val="nil"/>
              <w:bottom w:val="single" w:color="auto" w:sz="4" w:space="0"/>
              <w:right w:val="single" w:color="auto" w:sz="4" w:space="0"/>
            </w:tcBorders>
            <w:shd w:val="clear" w:color="000000" w:fill="FFFFFF"/>
            <w:noWrap/>
            <w:vAlign w:val="bottom"/>
            <w:hideMark/>
          </w:tcPr>
          <w:p w:rsidRPr="00435DAD" w:rsidR="00435DAD" w:rsidP="00435DAD" w:rsidRDefault="00435DAD" w14:paraId="15B812D6" w14:textId="77777777">
            <w:pPr>
              <w:spacing w:line="240" w:lineRule="auto"/>
              <w:jc w:val="right"/>
              <w:rPr>
                <w:color w:val="000000"/>
                <w:sz w:val="17"/>
                <w:szCs w:val="17"/>
              </w:rPr>
            </w:pPr>
            <w:r w:rsidRPr="00435DAD">
              <w:rPr>
                <w:color w:val="000000"/>
                <w:sz w:val="17"/>
                <w:szCs w:val="17"/>
              </w:rPr>
              <w:t>495.066</w:t>
            </w:r>
          </w:p>
        </w:tc>
      </w:tr>
    </w:tbl>
    <w:p w:rsidR="00E84269" w:rsidP="00750982" w:rsidRDefault="00E84269" w14:paraId="1DE38C29" w14:textId="77777777">
      <w:pPr>
        <w:rPr>
          <w:szCs w:val="18"/>
        </w:rPr>
      </w:pPr>
    </w:p>
    <w:p w:rsidR="00441AA3" w:rsidP="00750982" w:rsidRDefault="00441AA3" w14:paraId="33AA006A" w14:textId="0DE91BF9">
      <w:pPr>
        <w:rPr>
          <w:szCs w:val="18"/>
        </w:rPr>
      </w:pPr>
      <w:r>
        <w:rPr>
          <w:szCs w:val="18"/>
        </w:rPr>
        <w:t xml:space="preserve">Een kanttekening bij deze tabel is dat voor debiteuren onder het terugbetaalregime SF15-oud niet automatisch een draagkrachtmeting wordt </w:t>
      </w:r>
      <w:r w:rsidR="001B49FE">
        <w:rPr>
          <w:szCs w:val="18"/>
        </w:rPr>
        <w:t>uitgevoerd dat moeten de debiteuren zelf aanvragen</w:t>
      </w:r>
      <w:r>
        <w:rPr>
          <w:szCs w:val="18"/>
        </w:rPr>
        <w:t>. Voor debiteuren uit SF15-oud die zelf geen draagkracht hebben aangevraagd, is daardoor niet bekend of zij in aanmerking zouden zijn gekomen voor een verlaging van hun wettelijke maandbedrag.</w:t>
      </w:r>
    </w:p>
    <w:p w:rsidRPr="00990DA2" w:rsidR="00E84269" w:rsidP="00750982" w:rsidRDefault="00E84269" w14:paraId="04CBDA11" w14:textId="77777777">
      <w:pPr>
        <w:rPr>
          <w:szCs w:val="18"/>
        </w:rPr>
      </w:pPr>
    </w:p>
    <w:p w:rsidR="00CC1F69" w:rsidP="00CC1F69" w:rsidRDefault="00CC1F69" w14:paraId="641E5CB1" w14:textId="5DC81714">
      <w:pPr>
        <w:rPr>
          <w:szCs w:val="18"/>
        </w:rPr>
      </w:pPr>
      <w:r w:rsidRPr="00990DA2">
        <w:rPr>
          <w:szCs w:val="18"/>
        </w:rPr>
        <w:t xml:space="preserve">Vraag </w:t>
      </w:r>
      <w:r w:rsidR="00E84269">
        <w:rPr>
          <w:szCs w:val="18"/>
        </w:rPr>
        <w:t>8</w:t>
      </w:r>
      <w:r w:rsidRPr="00990DA2">
        <w:rPr>
          <w:szCs w:val="18"/>
        </w:rPr>
        <w:br/>
        <w:t xml:space="preserve">Wat is de voornaamste opleidingsrichting van personen met een studieschuld van € 50.000 of meer? Gaat het voornamelijk om </w:t>
      </w:r>
      <w:proofErr w:type="spellStart"/>
      <w:r w:rsidRPr="00990DA2">
        <w:rPr>
          <w:szCs w:val="18"/>
        </w:rPr>
        <w:t>alphastudies</w:t>
      </w:r>
      <w:proofErr w:type="spellEnd"/>
      <w:r w:rsidRPr="00990DA2">
        <w:rPr>
          <w:szCs w:val="18"/>
        </w:rPr>
        <w:t xml:space="preserve">, </w:t>
      </w:r>
      <w:proofErr w:type="spellStart"/>
      <w:r w:rsidRPr="00990DA2">
        <w:rPr>
          <w:szCs w:val="18"/>
        </w:rPr>
        <w:t>betastudies</w:t>
      </w:r>
      <w:proofErr w:type="spellEnd"/>
      <w:r w:rsidRPr="00990DA2">
        <w:rPr>
          <w:szCs w:val="18"/>
        </w:rPr>
        <w:t xml:space="preserve"> of gammastudies?</w:t>
      </w:r>
      <w:r w:rsidRPr="00990DA2">
        <w:rPr>
          <w:szCs w:val="18"/>
        </w:rPr>
        <w:br/>
      </w:r>
    </w:p>
    <w:p w:rsidR="00E84269" w:rsidP="00964197" w:rsidRDefault="00E84269" w14:paraId="70C76E00" w14:textId="574869A2">
      <w:pPr>
        <w:rPr>
          <w:lang w:eastAsia="en-US"/>
        </w:rPr>
      </w:pPr>
      <w:r>
        <w:rPr>
          <w:lang w:eastAsia="en-US"/>
        </w:rPr>
        <w:t>Antwoord 8</w:t>
      </w:r>
    </w:p>
    <w:p w:rsidR="002A4675" w:rsidP="002A4675" w:rsidRDefault="002A4675" w14:paraId="5373F1AE" w14:textId="42E2E271">
      <w:r w:rsidRPr="00E84269">
        <w:t>Het is</w:t>
      </w:r>
      <w:r>
        <w:t xml:space="preserve"> niet mogelijk om de gevraagde gegevens te leveren, omdat DUO de opleidingsrichting van studenten niet registreert in het studiefinancieringssysteem. Dit gegeven is</w:t>
      </w:r>
      <w:r w:rsidR="001B49FE">
        <w:t xml:space="preserve"> namelijk</w:t>
      </w:r>
      <w:r>
        <w:t xml:space="preserve"> niet noodzakelijk voor de uitvoering van de studiefinancieringswetgeving. Voor de </w:t>
      </w:r>
      <w:r w:rsidR="00BF5295">
        <w:t>benodigde</w:t>
      </w:r>
      <w:r>
        <w:t xml:space="preserve"> koppeling tussen gegevensbestanden is</w:t>
      </w:r>
      <w:r w:rsidR="001B49FE">
        <w:t xml:space="preserve"> daarom</w:t>
      </w:r>
      <w:r>
        <w:t xml:space="preserve"> geen grondslag</w:t>
      </w:r>
      <w:r w:rsidR="001B49FE">
        <w:t xml:space="preserve"> in de wet</w:t>
      </w:r>
      <w:r>
        <w:t xml:space="preserve">. </w:t>
      </w:r>
      <w:r w:rsidR="00BF5295">
        <w:t>D</w:t>
      </w:r>
      <w:r>
        <w:t>e overheid</w:t>
      </w:r>
      <w:r w:rsidR="00BF5295">
        <w:t xml:space="preserve"> moet </w:t>
      </w:r>
      <w:r>
        <w:t>b</w:t>
      </w:r>
      <w:r w:rsidRPr="002E4E13">
        <w:t>ij het koppelen van gegevensbestanden zorgvuldig te werk gaan</w:t>
      </w:r>
      <w:r>
        <w:t>.</w:t>
      </w:r>
      <w:r w:rsidRPr="002E4E13">
        <w:t xml:space="preserve"> </w:t>
      </w:r>
      <w:r>
        <w:t>D</w:t>
      </w:r>
      <w:r w:rsidRPr="002E4E13">
        <w:t xml:space="preserve">e inbreuk op de persoonlijke levenssfeer en de bescherming van de persoonsgegevens van betrokkenen </w:t>
      </w:r>
      <w:r>
        <w:t xml:space="preserve">moet daarbij </w:t>
      </w:r>
      <w:r w:rsidRPr="002E4E13">
        <w:t>in verhouding staan tot de noodzaak van deze koppeling.</w:t>
      </w:r>
    </w:p>
    <w:p w:rsidR="002A4675" w:rsidP="002A4675" w:rsidRDefault="002A4675" w14:paraId="2A215302" w14:textId="28D0204D">
      <w:r>
        <w:t xml:space="preserve"> </w:t>
      </w:r>
    </w:p>
    <w:p w:rsidRPr="00E84269" w:rsidR="00E84269" w:rsidP="00E84269" w:rsidRDefault="001B49FE" w14:paraId="2AF90DA9" w14:textId="17CED234">
      <w:r>
        <w:t xml:space="preserve">Voorts merk ik op dat </w:t>
      </w:r>
      <w:r w:rsidR="002E4E13">
        <w:t xml:space="preserve">er </w:t>
      </w:r>
      <w:r w:rsidRPr="00E84269" w:rsidR="00E84269">
        <w:t>veel verschillende factoren invloed hebben op de hoogte van een studieschuld</w:t>
      </w:r>
      <w:r w:rsidR="002E4E13">
        <w:t>,</w:t>
      </w:r>
      <w:r>
        <w:t xml:space="preserve"> waardoor</w:t>
      </w:r>
      <w:r w:rsidR="002E4E13">
        <w:t xml:space="preserve"> er </w:t>
      </w:r>
      <w:r w:rsidR="002A4675">
        <w:t>geen causaal verband</w:t>
      </w:r>
      <w:r>
        <w:t xml:space="preserve"> kan</w:t>
      </w:r>
      <w:r w:rsidR="002A4675">
        <w:t xml:space="preserve"> worden gelegd tussen</w:t>
      </w:r>
      <w:r w:rsidR="00CD66D3">
        <w:t xml:space="preserve"> enkel</w:t>
      </w:r>
      <w:r w:rsidRPr="00D468DF" w:rsidR="00D468DF">
        <w:t xml:space="preserve"> het type studie dat een debiteur heeft gevolgd en de hoogte van diens studieschuld</w:t>
      </w:r>
      <w:r w:rsidR="00331C6B">
        <w:t>.</w:t>
      </w:r>
      <w:r w:rsidR="002E4E13">
        <w:t xml:space="preserve"> </w:t>
      </w:r>
      <w:r w:rsidR="00C309E6">
        <w:t xml:space="preserve">Door deze complexiteit van factoren zie ik geen overtuigende reden om deze koppeling van gegevensbestanden te realiseren. </w:t>
      </w:r>
    </w:p>
    <w:p w:rsidR="00F01557" w:rsidP="003A7160" w:rsidRDefault="00F01557" w14:paraId="08D03CFE" w14:textId="6B55D247"/>
    <w:p w:rsidRPr="00820DDA" w:rsidR="00820DDA" w:rsidP="00215964" w:rsidRDefault="00820DDA" w14:paraId="009043B7" w14:textId="77777777">
      <w:pPr>
        <w:spacing w:line="240" w:lineRule="auto"/>
      </w:pPr>
    </w:p>
    <w:sectPr w:rsidRPr="00820DDA" w:rsidR="00820DDA" w:rsidSect="00A53833">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9635" w14:textId="77777777" w:rsidR="00DC691C" w:rsidRDefault="00040E65">
      <w:r>
        <w:separator/>
      </w:r>
    </w:p>
    <w:p w14:paraId="2F2D2F78" w14:textId="77777777" w:rsidR="00DC691C" w:rsidRDefault="00DC691C"/>
  </w:endnote>
  <w:endnote w:type="continuationSeparator" w:id="0">
    <w:p w14:paraId="7E30321B" w14:textId="77777777" w:rsidR="00DC691C" w:rsidRDefault="00040E65">
      <w:r>
        <w:continuationSeparator/>
      </w:r>
    </w:p>
    <w:p w14:paraId="19FF43C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FA8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B80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926F8" w14:paraId="167BF34D" w14:textId="77777777" w:rsidTr="004C7E1D">
      <w:trPr>
        <w:trHeight w:hRule="exact" w:val="357"/>
      </w:trPr>
      <w:tc>
        <w:tcPr>
          <w:tcW w:w="7603" w:type="dxa"/>
        </w:tcPr>
        <w:p w14:paraId="468FB684" w14:textId="77777777" w:rsidR="002F71BB" w:rsidRPr="004C7E1D" w:rsidRDefault="002F71BB" w:rsidP="004C7E1D">
          <w:pPr>
            <w:spacing w:line="180" w:lineRule="exact"/>
            <w:rPr>
              <w:sz w:val="13"/>
              <w:szCs w:val="13"/>
            </w:rPr>
          </w:pPr>
        </w:p>
      </w:tc>
      <w:tc>
        <w:tcPr>
          <w:tcW w:w="2172" w:type="dxa"/>
        </w:tcPr>
        <w:p w14:paraId="1259B4DB" w14:textId="7E90225B" w:rsidR="002F71BB" w:rsidRPr="004C7E1D" w:rsidRDefault="00040E6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D1C62">
            <w:rPr>
              <w:szCs w:val="13"/>
            </w:rPr>
            <w:t>6</w:t>
          </w:r>
          <w:r w:rsidRPr="004C7E1D">
            <w:rPr>
              <w:szCs w:val="13"/>
            </w:rPr>
            <w:fldChar w:fldCharType="end"/>
          </w:r>
        </w:p>
      </w:tc>
    </w:tr>
  </w:tbl>
  <w:p w14:paraId="2C319E3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926F8" w14:paraId="141A6B5E" w14:textId="77777777" w:rsidTr="004C7E1D">
      <w:trPr>
        <w:trHeight w:hRule="exact" w:val="357"/>
      </w:trPr>
      <w:tc>
        <w:tcPr>
          <w:tcW w:w="7709" w:type="dxa"/>
        </w:tcPr>
        <w:p w14:paraId="5F45062C" w14:textId="77777777" w:rsidR="00D17084" w:rsidRPr="004C7E1D" w:rsidRDefault="00D17084" w:rsidP="004C7E1D">
          <w:pPr>
            <w:spacing w:line="180" w:lineRule="exact"/>
            <w:rPr>
              <w:sz w:val="13"/>
              <w:szCs w:val="13"/>
            </w:rPr>
          </w:pPr>
        </w:p>
      </w:tc>
      <w:tc>
        <w:tcPr>
          <w:tcW w:w="2060" w:type="dxa"/>
        </w:tcPr>
        <w:p w14:paraId="760AB6F9" w14:textId="397BA441" w:rsidR="00D17084" w:rsidRPr="004C7E1D" w:rsidRDefault="00040E6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1D97">
            <w:rPr>
              <w:szCs w:val="13"/>
            </w:rPr>
            <w:t>6</w:t>
          </w:r>
          <w:r w:rsidRPr="004C7E1D">
            <w:rPr>
              <w:szCs w:val="13"/>
            </w:rPr>
            <w:fldChar w:fldCharType="end"/>
          </w:r>
        </w:p>
      </w:tc>
    </w:tr>
  </w:tbl>
  <w:p w14:paraId="5495A0D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2B97" w14:textId="77777777" w:rsidR="00DC691C" w:rsidRDefault="00040E65">
      <w:r>
        <w:separator/>
      </w:r>
    </w:p>
    <w:p w14:paraId="7A6E27DA" w14:textId="77777777" w:rsidR="00DC691C" w:rsidRDefault="00DC691C"/>
  </w:footnote>
  <w:footnote w:type="continuationSeparator" w:id="0">
    <w:p w14:paraId="4F09510B" w14:textId="77777777" w:rsidR="00DC691C" w:rsidRDefault="00040E65">
      <w:r>
        <w:continuationSeparator/>
      </w:r>
    </w:p>
    <w:p w14:paraId="3376E259" w14:textId="77777777" w:rsidR="00DC691C" w:rsidRDefault="00DC691C"/>
  </w:footnote>
  <w:footnote w:id="1">
    <w:p w14:paraId="3BC02EFC" w14:textId="77777777" w:rsidR="00497CA8" w:rsidRDefault="00497CA8" w:rsidP="00497CA8">
      <w:pPr>
        <w:pStyle w:val="Voetnoottekst"/>
      </w:pPr>
      <w:r>
        <w:rPr>
          <w:rStyle w:val="Voetnootmarkering"/>
        </w:rPr>
        <w:footnoteRef/>
      </w:r>
      <w:r>
        <w:t xml:space="preserve"> </w:t>
      </w:r>
      <w:r w:rsidRPr="00A33264">
        <w:t>CPB, </w:t>
      </w:r>
      <w:r w:rsidRPr="00A33264">
        <w:rPr>
          <w:i/>
          <w:iCs/>
        </w:rPr>
        <w:t>Gemiddelde aflossing en inkomenseffecten sociaal leenstelsel</w:t>
      </w:r>
      <w:r w:rsidRPr="00A33264">
        <w:t>, 22 mei 2014. Zie Kamerstukken II 2013/14, </w:t>
      </w:r>
      <w:hyperlink r:id="rId1" w:tooltip="link naar publicatie kst-24724-131" w:history="1">
        <w:r w:rsidRPr="00A33264">
          <w:rPr>
            <w:rStyle w:val="Hyperlink"/>
          </w:rPr>
          <w:t>24 724, nr. 131</w:t>
        </w:r>
      </w:hyperlink>
      <w:r w:rsidRPr="00A33264">
        <w:t>, p. 15.</w:t>
      </w:r>
    </w:p>
  </w:footnote>
  <w:footnote w:id="2">
    <w:p w14:paraId="146DDB80" w14:textId="2F610BCF" w:rsidR="007C50F9" w:rsidRDefault="007C50F9">
      <w:pPr>
        <w:pStyle w:val="Voetnoottekst"/>
      </w:pPr>
      <w:r>
        <w:rPr>
          <w:rStyle w:val="Voetnootmarkering"/>
        </w:rPr>
        <w:footnoteRef/>
      </w:r>
      <w:r>
        <w:t xml:space="preserve"> </w:t>
      </w:r>
      <w:r w:rsidRPr="007C50F9">
        <w:t>Oud-studenten die niet binnen tien jaar hun diploma behalen, moeten de ontvangen prestatiebeurs terugbetalen. In bepaalde gevallen kan een oud-student echter in aanmerking komen voor kwijtschelding van de aanvullende beurs. Een van de voorwaarden hiervoor is dat de oud-student voldoet aan specifieke inkomenseisen.</w:t>
      </w:r>
    </w:p>
  </w:footnote>
  <w:footnote w:id="3">
    <w:p w14:paraId="65D358F6" w14:textId="7D5A22B2" w:rsidR="00B400F7" w:rsidRDefault="00B400F7">
      <w:pPr>
        <w:pStyle w:val="Voetnoottekst"/>
      </w:pPr>
      <w:r>
        <w:rPr>
          <w:rStyle w:val="Voetnootmarkering"/>
        </w:rPr>
        <w:footnoteRef/>
      </w:r>
      <w:r>
        <w:t xml:space="preserve"> Wanneer een student moet stoppen met zijn opleiding vanwege een functiebeperking of chronische ziekten, dan kan de student volledig nieuwe aanspraak op studiefinanciering krijgen. </w:t>
      </w:r>
      <w:r w:rsidRPr="00B400F7">
        <w:t xml:space="preserve">De prestatiebeurslening van de oude opleiding </w:t>
      </w:r>
      <w:r>
        <w:t>wordt dan kwijtgeschol</w:t>
      </w:r>
      <w:r w:rsidR="0093090F">
        <w:t>d</w:t>
      </w:r>
      <w:r>
        <w:t>en</w:t>
      </w:r>
      <w:r w:rsidRPr="00B400F7">
        <w:t>, inclusief de lening van het studentenreisproduct.</w:t>
      </w:r>
    </w:p>
  </w:footnote>
  <w:footnote w:id="4">
    <w:p w14:paraId="520B785E" w14:textId="77777777" w:rsidR="00512495" w:rsidRDefault="00512495" w:rsidP="00512495">
      <w:pPr>
        <w:pStyle w:val="Voetnoottekst"/>
      </w:pPr>
      <w:r>
        <w:rPr>
          <w:rStyle w:val="Voetnootmarkering"/>
        </w:rPr>
        <w:footnoteRef/>
      </w:r>
      <w:r>
        <w:t xml:space="preserve"> Binnen het studiefinancieringsstelsel zijn er meerdere terugbetaalregimes. De terugbetaalregimes zijn SF15-oud, SF15 en SF35.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27F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926F8" w14:paraId="4002EBB8" w14:textId="77777777" w:rsidTr="006D2D53">
      <w:trPr>
        <w:trHeight w:hRule="exact" w:val="400"/>
      </w:trPr>
      <w:tc>
        <w:tcPr>
          <w:tcW w:w="7518" w:type="dxa"/>
        </w:tcPr>
        <w:p w14:paraId="593777FC" w14:textId="77777777" w:rsidR="00527BD4" w:rsidRPr="00275984" w:rsidRDefault="00527BD4" w:rsidP="00BF4427">
          <w:pPr>
            <w:pStyle w:val="Huisstijl-Rubricering"/>
          </w:pPr>
        </w:p>
      </w:tc>
    </w:tr>
  </w:tbl>
  <w:p w14:paraId="4B19BE4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926F8" w14:paraId="1FCAA1DA" w14:textId="77777777" w:rsidTr="003B528D">
      <w:tc>
        <w:tcPr>
          <w:tcW w:w="2160" w:type="dxa"/>
        </w:tcPr>
        <w:p w14:paraId="35A54165" w14:textId="77777777" w:rsidR="002F71BB" w:rsidRPr="000407BB" w:rsidRDefault="00040E65" w:rsidP="005D283A">
          <w:pPr>
            <w:pStyle w:val="Colofonkop"/>
            <w:framePr w:hSpace="0" w:wrap="auto" w:vAnchor="margin" w:hAnchor="text" w:xAlign="left" w:yAlign="inline"/>
          </w:pPr>
          <w:r>
            <w:t>Onze referentie</w:t>
          </w:r>
        </w:p>
      </w:tc>
    </w:tr>
    <w:tr w:rsidR="00B926F8" w14:paraId="64406A84" w14:textId="77777777" w:rsidTr="002F71BB">
      <w:trPr>
        <w:trHeight w:val="259"/>
      </w:trPr>
      <w:tc>
        <w:tcPr>
          <w:tcW w:w="2160" w:type="dxa"/>
        </w:tcPr>
        <w:p w14:paraId="3BAFD9B9" w14:textId="77777777" w:rsidR="00E35CF4" w:rsidRPr="005D283A" w:rsidRDefault="00040E65" w:rsidP="0049501A">
          <w:pPr>
            <w:spacing w:line="180" w:lineRule="exact"/>
            <w:rPr>
              <w:sz w:val="13"/>
              <w:szCs w:val="13"/>
            </w:rPr>
          </w:pPr>
          <w:r>
            <w:rPr>
              <w:sz w:val="13"/>
              <w:szCs w:val="13"/>
            </w:rPr>
            <w:t>62583598</w:t>
          </w:r>
        </w:p>
      </w:tc>
    </w:tr>
  </w:tbl>
  <w:p w14:paraId="164341C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26F8" w14:paraId="270BEF49" w14:textId="77777777" w:rsidTr="001377D4">
      <w:trPr>
        <w:trHeight w:val="2636"/>
      </w:trPr>
      <w:tc>
        <w:tcPr>
          <w:tcW w:w="737" w:type="dxa"/>
        </w:tcPr>
        <w:p w14:paraId="56E9BC8E" w14:textId="77777777" w:rsidR="00704845" w:rsidRDefault="00704845" w:rsidP="0047126E">
          <w:pPr>
            <w:framePr w:w="6339" w:h="2750" w:hRule="exact" w:hSpace="181" w:wrap="around" w:vAnchor="page" w:hAnchor="page" w:x="5586" w:y="1"/>
            <w:spacing w:line="240" w:lineRule="auto"/>
          </w:pPr>
        </w:p>
      </w:tc>
      <w:tc>
        <w:tcPr>
          <w:tcW w:w="5156" w:type="dxa"/>
        </w:tcPr>
        <w:p w14:paraId="5FF36F99" w14:textId="77777777" w:rsidR="00704845" w:rsidRDefault="00040E65" w:rsidP="0047126E">
          <w:pPr>
            <w:framePr w:w="3873" w:h="2625" w:hRule="exact" w:wrap="around" w:vAnchor="page" w:hAnchor="page" w:x="6323" w:y="1"/>
          </w:pPr>
          <w:r>
            <w:rPr>
              <w:noProof/>
              <w:lang w:val="en-US" w:eastAsia="en-US"/>
            </w:rPr>
            <w:drawing>
              <wp:inline distT="0" distB="0" distL="0" distR="0" wp14:anchorId="0DB5F1A4" wp14:editId="1803DAF3">
                <wp:extent cx="2447925" cy="1657350"/>
                <wp:effectExtent l="0" t="0" r="0" b="0"/>
                <wp:docPr id="18708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0D1C86" w14:textId="77777777" w:rsidR="00483ECA" w:rsidRDefault="00483ECA" w:rsidP="00D037A9"/>
      </w:tc>
    </w:tr>
  </w:tbl>
  <w:p w14:paraId="0FE79C9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926F8" w14:paraId="36BFE334" w14:textId="77777777" w:rsidTr="0008539E">
      <w:trPr>
        <w:trHeight w:hRule="exact" w:val="572"/>
      </w:trPr>
      <w:tc>
        <w:tcPr>
          <w:tcW w:w="7520" w:type="dxa"/>
        </w:tcPr>
        <w:p w14:paraId="436FE563" w14:textId="77777777" w:rsidR="00527BD4" w:rsidRPr="00963440" w:rsidRDefault="00040E65" w:rsidP="00210BA3">
          <w:pPr>
            <w:pStyle w:val="Huisstijl-Adres"/>
            <w:spacing w:after="0"/>
          </w:pPr>
          <w:r w:rsidRPr="009E3B07">
            <w:t>&gt;Retouradres </w:t>
          </w:r>
          <w:r>
            <w:t>Postbus 16375 2500 BJ Den Haag</w:t>
          </w:r>
          <w:r w:rsidRPr="009E3B07">
            <w:t xml:space="preserve"> </w:t>
          </w:r>
        </w:p>
      </w:tc>
    </w:tr>
    <w:tr w:rsidR="00B926F8" w14:paraId="03F3611F" w14:textId="77777777" w:rsidTr="00E776C6">
      <w:trPr>
        <w:cantSplit/>
        <w:trHeight w:hRule="exact" w:val="238"/>
      </w:trPr>
      <w:tc>
        <w:tcPr>
          <w:tcW w:w="7520" w:type="dxa"/>
        </w:tcPr>
        <w:p w14:paraId="7A7C0C5E" w14:textId="77777777" w:rsidR="00093ABC" w:rsidRPr="00963440" w:rsidRDefault="00093ABC" w:rsidP="00963440"/>
      </w:tc>
    </w:tr>
    <w:tr w:rsidR="00B926F8" w14:paraId="2B4B848F" w14:textId="77777777" w:rsidTr="00E776C6">
      <w:trPr>
        <w:cantSplit/>
        <w:trHeight w:hRule="exact" w:val="1520"/>
      </w:trPr>
      <w:tc>
        <w:tcPr>
          <w:tcW w:w="7520" w:type="dxa"/>
        </w:tcPr>
        <w:p w14:paraId="2AE19630" w14:textId="77777777" w:rsidR="00A604D3" w:rsidRPr="00963440" w:rsidRDefault="00A604D3" w:rsidP="00963440"/>
      </w:tc>
    </w:tr>
    <w:tr w:rsidR="00B926F8" w14:paraId="4421B182" w14:textId="77777777" w:rsidTr="00E776C6">
      <w:trPr>
        <w:trHeight w:hRule="exact" w:val="1077"/>
      </w:trPr>
      <w:tc>
        <w:tcPr>
          <w:tcW w:w="7520" w:type="dxa"/>
        </w:tcPr>
        <w:p w14:paraId="0B29229E" w14:textId="77777777" w:rsidR="00892BA5" w:rsidRPr="00035E67" w:rsidRDefault="00892BA5" w:rsidP="00892BA5">
          <w:pPr>
            <w:tabs>
              <w:tab w:val="left" w:pos="740"/>
            </w:tabs>
            <w:autoSpaceDE w:val="0"/>
            <w:autoSpaceDN w:val="0"/>
            <w:adjustRightInd w:val="0"/>
            <w:rPr>
              <w:rFonts w:cs="Verdana"/>
              <w:szCs w:val="18"/>
            </w:rPr>
          </w:pPr>
        </w:p>
      </w:tc>
    </w:tr>
  </w:tbl>
  <w:p w14:paraId="5BA3A536" w14:textId="77777777" w:rsidR="006F273B" w:rsidRDefault="006F273B" w:rsidP="00BC4AE3">
    <w:pPr>
      <w:pStyle w:val="Koptekst"/>
    </w:pPr>
  </w:p>
  <w:p w14:paraId="3005F26B" w14:textId="77777777" w:rsidR="00153BD0" w:rsidRDefault="00153BD0" w:rsidP="00BC4AE3">
    <w:pPr>
      <w:pStyle w:val="Koptekst"/>
    </w:pPr>
  </w:p>
  <w:p w14:paraId="6F31B8A0" w14:textId="77777777" w:rsidR="0044605E" w:rsidRDefault="0044605E" w:rsidP="00BC4AE3">
    <w:pPr>
      <w:pStyle w:val="Koptekst"/>
    </w:pPr>
  </w:p>
  <w:p w14:paraId="6184D672" w14:textId="77777777" w:rsidR="0044605E" w:rsidRDefault="0044605E" w:rsidP="00BC4AE3">
    <w:pPr>
      <w:pStyle w:val="Koptekst"/>
    </w:pPr>
  </w:p>
  <w:p w14:paraId="4023CB3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505946">
      <w:start w:val="1"/>
      <w:numFmt w:val="bullet"/>
      <w:pStyle w:val="Lijstopsomteken"/>
      <w:lvlText w:val="•"/>
      <w:lvlJc w:val="left"/>
      <w:pPr>
        <w:tabs>
          <w:tab w:val="num" w:pos="227"/>
        </w:tabs>
        <w:ind w:left="227" w:hanging="227"/>
      </w:pPr>
      <w:rPr>
        <w:rFonts w:ascii="Verdana" w:hAnsi="Verdana" w:hint="default"/>
        <w:sz w:val="18"/>
        <w:szCs w:val="18"/>
      </w:rPr>
    </w:lvl>
    <w:lvl w:ilvl="1" w:tplc="50F08F44" w:tentative="1">
      <w:start w:val="1"/>
      <w:numFmt w:val="bullet"/>
      <w:lvlText w:val="o"/>
      <w:lvlJc w:val="left"/>
      <w:pPr>
        <w:tabs>
          <w:tab w:val="num" w:pos="1440"/>
        </w:tabs>
        <w:ind w:left="1440" w:hanging="360"/>
      </w:pPr>
      <w:rPr>
        <w:rFonts w:ascii="Courier New" w:hAnsi="Courier New" w:cs="Courier New" w:hint="default"/>
      </w:rPr>
    </w:lvl>
    <w:lvl w:ilvl="2" w:tplc="92E497CA" w:tentative="1">
      <w:start w:val="1"/>
      <w:numFmt w:val="bullet"/>
      <w:lvlText w:val=""/>
      <w:lvlJc w:val="left"/>
      <w:pPr>
        <w:tabs>
          <w:tab w:val="num" w:pos="2160"/>
        </w:tabs>
        <w:ind w:left="2160" w:hanging="360"/>
      </w:pPr>
      <w:rPr>
        <w:rFonts w:ascii="Wingdings" w:hAnsi="Wingdings" w:hint="default"/>
      </w:rPr>
    </w:lvl>
    <w:lvl w:ilvl="3" w:tplc="A3A6A0C8" w:tentative="1">
      <w:start w:val="1"/>
      <w:numFmt w:val="bullet"/>
      <w:lvlText w:val=""/>
      <w:lvlJc w:val="left"/>
      <w:pPr>
        <w:tabs>
          <w:tab w:val="num" w:pos="2880"/>
        </w:tabs>
        <w:ind w:left="2880" w:hanging="360"/>
      </w:pPr>
      <w:rPr>
        <w:rFonts w:ascii="Symbol" w:hAnsi="Symbol" w:hint="default"/>
      </w:rPr>
    </w:lvl>
    <w:lvl w:ilvl="4" w:tplc="A1B8BCD0" w:tentative="1">
      <w:start w:val="1"/>
      <w:numFmt w:val="bullet"/>
      <w:lvlText w:val="o"/>
      <w:lvlJc w:val="left"/>
      <w:pPr>
        <w:tabs>
          <w:tab w:val="num" w:pos="3600"/>
        </w:tabs>
        <w:ind w:left="3600" w:hanging="360"/>
      </w:pPr>
      <w:rPr>
        <w:rFonts w:ascii="Courier New" w:hAnsi="Courier New" w:cs="Courier New" w:hint="default"/>
      </w:rPr>
    </w:lvl>
    <w:lvl w:ilvl="5" w:tplc="14D0D76C" w:tentative="1">
      <w:start w:val="1"/>
      <w:numFmt w:val="bullet"/>
      <w:lvlText w:val=""/>
      <w:lvlJc w:val="left"/>
      <w:pPr>
        <w:tabs>
          <w:tab w:val="num" w:pos="4320"/>
        </w:tabs>
        <w:ind w:left="4320" w:hanging="360"/>
      </w:pPr>
      <w:rPr>
        <w:rFonts w:ascii="Wingdings" w:hAnsi="Wingdings" w:hint="default"/>
      </w:rPr>
    </w:lvl>
    <w:lvl w:ilvl="6" w:tplc="01022AF0" w:tentative="1">
      <w:start w:val="1"/>
      <w:numFmt w:val="bullet"/>
      <w:lvlText w:val=""/>
      <w:lvlJc w:val="left"/>
      <w:pPr>
        <w:tabs>
          <w:tab w:val="num" w:pos="5040"/>
        </w:tabs>
        <w:ind w:left="5040" w:hanging="360"/>
      </w:pPr>
      <w:rPr>
        <w:rFonts w:ascii="Symbol" w:hAnsi="Symbol" w:hint="default"/>
      </w:rPr>
    </w:lvl>
    <w:lvl w:ilvl="7" w:tplc="BE5AFB2C" w:tentative="1">
      <w:start w:val="1"/>
      <w:numFmt w:val="bullet"/>
      <w:lvlText w:val="o"/>
      <w:lvlJc w:val="left"/>
      <w:pPr>
        <w:tabs>
          <w:tab w:val="num" w:pos="5760"/>
        </w:tabs>
        <w:ind w:left="5760" w:hanging="360"/>
      </w:pPr>
      <w:rPr>
        <w:rFonts w:ascii="Courier New" w:hAnsi="Courier New" w:cs="Courier New" w:hint="default"/>
      </w:rPr>
    </w:lvl>
    <w:lvl w:ilvl="8" w:tplc="6DA009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600D9"/>
    <w:multiLevelType w:val="hybridMultilevel"/>
    <w:tmpl w:val="034CB414"/>
    <w:lvl w:ilvl="0" w:tplc="77CEB590">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262A7C7C">
      <w:start w:val="1"/>
      <w:numFmt w:val="bullet"/>
      <w:pStyle w:val="Lijstopsomteken2"/>
      <w:lvlText w:val="–"/>
      <w:lvlJc w:val="left"/>
      <w:pPr>
        <w:tabs>
          <w:tab w:val="num" w:pos="227"/>
        </w:tabs>
        <w:ind w:left="227" w:firstLine="0"/>
      </w:pPr>
      <w:rPr>
        <w:rFonts w:ascii="Verdana" w:hAnsi="Verdana" w:hint="default"/>
      </w:rPr>
    </w:lvl>
    <w:lvl w:ilvl="1" w:tplc="4552B060" w:tentative="1">
      <w:start w:val="1"/>
      <w:numFmt w:val="bullet"/>
      <w:lvlText w:val="o"/>
      <w:lvlJc w:val="left"/>
      <w:pPr>
        <w:tabs>
          <w:tab w:val="num" w:pos="1440"/>
        </w:tabs>
        <w:ind w:left="1440" w:hanging="360"/>
      </w:pPr>
      <w:rPr>
        <w:rFonts w:ascii="Courier New" w:hAnsi="Courier New" w:cs="Courier New" w:hint="default"/>
      </w:rPr>
    </w:lvl>
    <w:lvl w:ilvl="2" w:tplc="08FCFC46" w:tentative="1">
      <w:start w:val="1"/>
      <w:numFmt w:val="bullet"/>
      <w:lvlText w:val=""/>
      <w:lvlJc w:val="left"/>
      <w:pPr>
        <w:tabs>
          <w:tab w:val="num" w:pos="2160"/>
        </w:tabs>
        <w:ind w:left="2160" w:hanging="360"/>
      </w:pPr>
      <w:rPr>
        <w:rFonts w:ascii="Wingdings" w:hAnsi="Wingdings" w:hint="default"/>
      </w:rPr>
    </w:lvl>
    <w:lvl w:ilvl="3" w:tplc="926EF04C" w:tentative="1">
      <w:start w:val="1"/>
      <w:numFmt w:val="bullet"/>
      <w:lvlText w:val=""/>
      <w:lvlJc w:val="left"/>
      <w:pPr>
        <w:tabs>
          <w:tab w:val="num" w:pos="2880"/>
        </w:tabs>
        <w:ind w:left="2880" w:hanging="360"/>
      </w:pPr>
      <w:rPr>
        <w:rFonts w:ascii="Symbol" w:hAnsi="Symbol" w:hint="default"/>
      </w:rPr>
    </w:lvl>
    <w:lvl w:ilvl="4" w:tplc="22125F0E" w:tentative="1">
      <w:start w:val="1"/>
      <w:numFmt w:val="bullet"/>
      <w:lvlText w:val="o"/>
      <w:lvlJc w:val="left"/>
      <w:pPr>
        <w:tabs>
          <w:tab w:val="num" w:pos="3600"/>
        </w:tabs>
        <w:ind w:left="3600" w:hanging="360"/>
      </w:pPr>
      <w:rPr>
        <w:rFonts w:ascii="Courier New" w:hAnsi="Courier New" w:cs="Courier New" w:hint="default"/>
      </w:rPr>
    </w:lvl>
    <w:lvl w:ilvl="5" w:tplc="391C3852" w:tentative="1">
      <w:start w:val="1"/>
      <w:numFmt w:val="bullet"/>
      <w:lvlText w:val=""/>
      <w:lvlJc w:val="left"/>
      <w:pPr>
        <w:tabs>
          <w:tab w:val="num" w:pos="4320"/>
        </w:tabs>
        <w:ind w:left="4320" w:hanging="360"/>
      </w:pPr>
      <w:rPr>
        <w:rFonts w:ascii="Wingdings" w:hAnsi="Wingdings" w:hint="default"/>
      </w:rPr>
    </w:lvl>
    <w:lvl w:ilvl="6" w:tplc="1A68885A" w:tentative="1">
      <w:start w:val="1"/>
      <w:numFmt w:val="bullet"/>
      <w:lvlText w:val=""/>
      <w:lvlJc w:val="left"/>
      <w:pPr>
        <w:tabs>
          <w:tab w:val="num" w:pos="5040"/>
        </w:tabs>
        <w:ind w:left="5040" w:hanging="360"/>
      </w:pPr>
      <w:rPr>
        <w:rFonts w:ascii="Symbol" w:hAnsi="Symbol" w:hint="default"/>
      </w:rPr>
    </w:lvl>
    <w:lvl w:ilvl="7" w:tplc="4F9CA8B2" w:tentative="1">
      <w:start w:val="1"/>
      <w:numFmt w:val="bullet"/>
      <w:lvlText w:val="o"/>
      <w:lvlJc w:val="left"/>
      <w:pPr>
        <w:tabs>
          <w:tab w:val="num" w:pos="5760"/>
        </w:tabs>
        <w:ind w:left="5760" w:hanging="360"/>
      </w:pPr>
      <w:rPr>
        <w:rFonts w:ascii="Courier New" w:hAnsi="Courier New" w:cs="Courier New" w:hint="default"/>
      </w:rPr>
    </w:lvl>
    <w:lvl w:ilvl="8" w:tplc="542EF6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9134585">
    <w:abstractNumId w:val="10"/>
  </w:num>
  <w:num w:numId="2" w16cid:durableId="1157837818">
    <w:abstractNumId w:val="7"/>
  </w:num>
  <w:num w:numId="3" w16cid:durableId="1957904013">
    <w:abstractNumId w:val="6"/>
  </w:num>
  <w:num w:numId="4" w16cid:durableId="568544440">
    <w:abstractNumId w:val="5"/>
  </w:num>
  <w:num w:numId="5" w16cid:durableId="1466266827">
    <w:abstractNumId w:val="4"/>
  </w:num>
  <w:num w:numId="6" w16cid:durableId="1305503257">
    <w:abstractNumId w:val="8"/>
  </w:num>
  <w:num w:numId="7" w16cid:durableId="1660648728">
    <w:abstractNumId w:val="3"/>
  </w:num>
  <w:num w:numId="8" w16cid:durableId="474100886">
    <w:abstractNumId w:val="2"/>
  </w:num>
  <w:num w:numId="9" w16cid:durableId="1465269449">
    <w:abstractNumId w:val="1"/>
  </w:num>
  <w:num w:numId="10" w16cid:durableId="1791583755">
    <w:abstractNumId w:val="0"/>
  </w:num>
  <w:num w:numId="11" w16cid:durableId="2066760388">
    <w:abstractNumId w:val="9"/>
  </w:num>
  <w:num w:numId="12" w16cid:durableId="1506359829">
    <w:abstractNumId w:val="11"/>
  </w:num>
  <w:num w:numId="13" w16cid:durableId="1252663899">
    <w:abstractNumId w:val="14"/>
  </w:num>
  <w:num w:numId="14" w16cid:durableId="1546990224">
    <w:abstractNumId w:val="13"/>
  </w:num>
  <w:num w:numId="15" w16cid:durableId="10579019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370"/>
    <w:rsid w:val="00003185"/>
    <w:rsid w:val="00006C55"/>
    <w:rsid w:val="00013862"/>
    <w:rsid w:val="00014599"/>
    <w:rsid w:val="00016012"/>
    <w:rsid w:val="00020189"/>
    <w:rsid w:val="00020EE4"/>
    <w:rsid w:val="00020FCB"/>
    <w:rsid w:val="000217E8"/>
    <w:rsid w:val="00023E9A"/>
    <w:rsid w:val="00025A42"/>
    <w:rsid w:val="00030BDD"/>
    <w:rsid w:val="00033CDD"/>
    <w:rsid w:val="00034A84"/>
    <w:rsid w:val="00034D28"/>
    <w:rsid w:val="00035E67"/>
    <w:rsid w:val="000366F3"/>
    <w:rsid w:val="000407BB"/>
    <w:rsid w:val="00040E65"/>
    <w:rsid w:val="0005404B"/>
    <w:rsid w:val="0005447D"/>
    <w:rsid w:val="000546DE"/>
    <w:rsid w:val="0006024D"/>
    <w:rsid w:val="00062055"/>
    <w:rsid w:val="00065462"/>
    <w:rsid w:val="00071F28"/>
    <w:rsid w:val="00074079"/>
    <w:rsid w:val="000765B6"/>
    <w:rsid w:val="0008289C"/>
    <w:rsid w:val="00083552"/>
    <w:rsid w:val="0008539E"/>
    <w:rsid w:val="00092799"/>
    <w:rsid w:val="00092A99"/>
    <w:rsid w:val="00092C5F"/>
    <w:rsid w:val="00093ABC"/>
    <w:rsid w:val="00094909"/>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40F4"/>
    <w:rsid w:val="000D6399"/>
    <w:rsid w:val="000E5886"/>
    <w:rsid w:val="000E6621"/>
    <w:rsid w:val="000E7895"/>
    <w:rsid w:val="000F161D"/>
    <w:rsid w:val="000F1B4E"/>
    <w:rsid w:val="000F1FFF"/>
    <w:rsid w:val="000F521E"/>
    <w:rsid w:val="00100203"/>
    <w:rsid w:val="00104B4D"/>
    <w:rsid w:val="00105677"/>
    <w:rsid w:val="001068DC"/>
    <w:rsid w:val="001122B2"/>
    <w:rsid w:val="001177B4"/>
    <w:rsid w:val="001203C8"/>
    <w:rsid w:val="00122CF9"/>
    <w:rsid w:val="00123704"/>
    <w:rsid w:val="001270C7"/>
    <w:rsid w:val="00132540"/>
    <w:rsid w:val="001377D4"/>
    <w:rsid w:val="00142E41"/>
    <w:rsid w:val="0014786A"/>
    <w:rsid w:val="001516A4"/>
    <w:rsid w:val="00151E5F"/>
    <w:rsid w:val="00153BD0"/>
    <w:rsid w:val="001569AB"/>
    <w:rsid w:val="00161ED8"/>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A7BD5"/>
    <w:rsid w:val="001B2BBA"/>
    <w:rsid w:val="001B35FA"/>
    <w:rsid w:val="001B49FE"/>
    <w:rsid w:val="001C006F"/>
    <w:rsid w:val="001C2C36"/>
    <w:rsid w:val="001C32EC"/>
    <w:rsid w:val="001C38BD"/>
    <w:rsid w:val="001C4D5A"/>
    <w:rsid w:val="001E0256"/>
    <w:rsid w:val="001E34C6"/>
    <w:rsid w:val="001E5581"/>
    <w:rsid w:val="001F3C70"/>
    <w:rsid w:val="001F52E7"/>
    <w:rsid w:val="00200541"/>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2E08"/>
    <w:rsid w:val="0029422B"/>
    <w:rsid w:val="00294DCB"/>
    <w:rsid w:val="0029779E"/>
    <w:rsid w:val="002A06CE"/>
    <w:rsid w:val="002A1426"/>
    <w:rsid w:val="002A37B5"/>
    <w:rsid w:val="002A4675"/>
    <w:rsid w:val="002A6722"/>
    <w:rsid w:val="002B153C"/>
    <w:rsid w:val="002B52FC"/>
    <w:rsid w:val="002C26D0"/>
    <w:rsid w:val="002C2830"/>
    <w:rsid w:val="002C3CE0"/>
    <w:rsid w:val="002C40AF"/>
    <w:rsid w:val="002C5D87"/>
    <w:rsid w:val="002C64DF"/>
    <w:rsid w:val="002D001A"/>
    <w:rsid w:val="002D28E2"/>
    <w:rsid w:val="002D317B"/>
    <w:rsid w:val="002D3587"/>
    <w:rsid w:val="002D3F4E"/>
    <w:rsid w:val="002D502D"/>
    <w:rsid w:val="002D6C72"/>
    <w:rsid w:val="002E0F69"/>
    <w:rsid w:val="002E1572"/>
    <w:rsid w:val="002E2142"/>
    <w:rsid w:val="002E2DA3"/>
    <w:rsid w:val="002E4CF2"/>
    <w:rsid w:val="002E4E13"/>
    <w:rsid w:val="002E6FC0"/>
    <w:rsid w:val="002F258D"/>
    <w:rsid w:val="002F3F37"/>
    <w:rsid w:val="002F493B"/>
    <w:rsid w:val="002F4ED5"/>
    <w:rsid w:val="002F5147"/>
    <w:rsid w:val="002F5A0B"/>
    <w:rsid w:val="002F71BB"/>
    <w:rsid w:val="002F7ABD"/>
    <w:rsid w:val="00305FE9"/>
    <w:rsid w:val="00307B3C"/>
    <w:rsid w:val="00310EF2"/>
    <w:rsid w:val="003115A6"/>
    <w:rsid w:val="00312597"/>
    <w:rsid w:val="00322836"/>
    <w:rsid w:val="00322A9E"/>
    <w:rsid w:val="00331C6B"/>
    <w:rsid w:val="00334154"/>
    <w:rsid w:val="003341D0"/>
    <w:rsid w:val="003372C4"/>
    <w:rsid w:val="00341FA0"/>
    <w:rsid w:val="00342374"/>
    <w:rsid w:val="00344F3D"/>
    <w:rsid w:val="00345299"/>
    <w:rsid w:val="00351A8D"/>
    <w:rsid w:val="003526BB"/>
    <w:rsid w:val="00352BCF"/>
    <w:rsid w:val="00353932"/>
    <w:rsid w:val="0035464B"/>
    <w:rsid w:val="0035640C"/>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59E5"/>
    <w:rsid w:val="003A7160"/>
    <w:rsid w:val="003B0155"/>
    <w:rsid w:val="003B0996"/>
    <w:rsid w:val="003B09DB"/>
    <w:rsid w:val="003B2367"/>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5DAD"/>
    <w:rsid w:val="00441AA3"/>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1B1D"/>
    <w:rsid w:val="00483ECA"/>
    <w:rsid w:val="00483F0B"/>
    <w:rsid w:val="004942B6"/>
    <w:rsid w:val="0049501A"/>
    <w:rsid w:val="00496319"/>
    <w:rsid w:val="0049657E"/>
    <w:rsid w:val="00497279"/>
    <w:rsid w:val="00497CA8"/>
    <w:rsid w:val="004A010B"/>
    <w:rsid w:val="004A2E30"/>
    <w:rsid w:val="004A3186"/>
    <w:rsid w:val="004A419C"/>
    <w:rsid w:val="004A670A"/>
    <w:rsid w:val="004B2A13"/>
    <w:rsid w:val="004B5465"/>
    <w:rsid w:val="004B6487"/>
    <w:rsid w:val="004B70F0"/>
    <w:rsid w:val="004C0035"/>
    <w:rsid w:val="004C1299"/>
    <w:rsid w:val="004C17AB"/>
    <w:rsid w:val="004C7E1D"/>
    <w:rsid w:val="004D065C"/>
    <w:rsid w:val="004D33FE"/>
    <w:rsid w:val="004D39A8"/>
    <w:rsid w:val="004D4703"/>
    <w:rsid w:val="004D505E"/>
    <w:rsid w:val="004D67E8"/>
    <w:rsid w:val="004D72CA"/>
    <w:rsid w:val="004E1F0C"/>
    <w:rsid w:val="004E2242"/>
    <w:rsid w:val="004E501C"/>
    <w:rsid w:val="004F0F6D"/>
    <w:rsid w:val="004F2483"/>
    <w:rsid w:val="004F42FF"/>
    <w:rsid w:val="004F44C2"/>
    <w:rsid w:val="00503ED3"/>
    <w:rsid w:val="00505262"/>
    <w:rsid w:val="005107B1"/>
    <w:rsid w:val="00512495"/>
    <w:rsid w:val="00516022"/>
    <w:rsid w:val="00521CEE"/>
    <w:rsid w:val="00527BD4"/>
    <w:rsid w:val="00533061"/>
    <w:rsid w:val="00533FA1"/>
    <w:rsid w:val="00534C77"/>
    <w:rsid w:val="005403C8"/>
    <w:rsid w:val="00541AD9"/>
    <w:rsid w:val="005429DC"/>
    <w:rsid w:val="00554FCF"/>
    <w:rsid w:val="005565F9"/>
    <w:rsid w:val="005639D2"/>
    <w:rsid w:val="00565739"/>
    <w:rsid w:val="00570CA5"/>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7BF9"/>
    <w:rsid w:val="005C09E1"/>
    <w:rsid w:val="005C34E1"/>
    <w:rsid w:val="005C3FE0"/>
    <w:rsid w:val="005C4C82"/>
    <w:rsid w:val="005C740C"/>
    <w:rsid w:val="005D13F5"/>
    <w:rsid w:val="005D283A"/>
    <w:rsid w:val="005D2D3F"/>
    <w:rsid w:val="005D4B1C"/>
    <w:rsid w:val="005D625B"/>
    <w:rsid w:val="005E3322"/>
    <w:rsid w:val="005E436C"/>
    <w:rsid w:val="005E64E2"/>
    <w:rsid w:val="005F45D5"/>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175C"/>
    <w:rsid w:val="00635031"/>
    <w:rsid w:val="0064192A"/>
    <w:rsid w:val="00642768"/>
    <w:rsid w:val="006448E4"/>
    <w:rsid w:val="00645414"/>
    <w:rsid w:val="0065244E"/>
    <w:rsid w:val="006534D0"/>
    <w:rsid w:val="00653606"/>
    <w:rsid w:val="00657034"/>
    <w:rsid w:val="006610E9"/>
    <w:rsid w:val="00661591"/>
    <w:rsid w:val="00662A78"/>
    <w:rsid w:val="00663187"/>
    <w:rsid w:val="0066632F"/>
    <w:rsid w:val="006745DB"/>
    <w:rsid w:val="00674A89"/>
    <w:rsid w:val="00674F3D"/>
    <w:rsid w:val="00682E02"/>
    <w:rsid w:val="00685545"/>
    <w:rsid w:val="006864B3"/>
    <w:rsid w:val="00686AED"/>
    <w:rsid w:val="00687511"/>
    <w:rsid w:val="00692BA9"/>
    <w:rsid w:val="00692C30"/>
    <w:rsid w:val="00692D64"/>
    <w:rsid w:val="006A10F8"/>
    <w:rsid w:val="006A2100"/>
    <w:rsid w:val="006A2FB1"/>
    <w:rsid w:val="006B0BF3"/>
    <w:rsid w:val="006B0F5E"/>
    <w:rsid w:val="006B1521"/>
    <w:rsid w:val="006B2A77"/>
    <w:rsid w:val="006B421D"/>
    <w:rsid w:val="006B66A3"/>
    <w:rsid w:val="006B775E"/>
    <w:rsid w:val="006B7B87"/>
    <w:rsid w:val="006B7BC7"/>
    <w:rsid w:val="006C0013"/>
    <w:rsid w:val="006C2093"/>
    <w:rsid w:val="006C2278"/>
    <w:rsid w:val="006C2535"/>
    <w:rsid w:val="006C311B"/>
    <w:rsid w:val="006C441E"/>
    <w:rsid w:val="006C4B90"/>
    <w:rsid w:val="006C54E0"/>
    <w:rsid w:val="006C5836"/>
    <w:rsid w:val="006C6CF8"/>
    <w:rsid w:val="006D1016"/>
    <w:rsid w:val="006D17F2"/>
    <w:rsid w:val="006D2D53"/>
    <w:rsid w:val="006E3546"/>
    <w:rsid w:val="006E3FA9"/>
    <w:rsid w:val="006E7D82"/>
    <w:rsid w:val="006F038F"/>
    <w:rsid w:val="006F0F93"/>
    <w:rsid w:val="006F273B"/>
    <w:rsid w:val="006F31F2"/>
    <w:rsid w:val="00704845"/>
    <w:rsid w:val="00706AB3"/>
    <w:rsid w:val="00707794"/>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0982"/>
    <w:rsid w:val="00751A6A"/>
    <w:rsid w:val="00754AD6"/>
    <w:rsid w:val="00754FBF"/>
    <w:rsid w:val="007615AC"/>
    <w:rsid w:val="007639F5"/>
    <w:rsid w:val="00764585"/>
    <w:rsid w:val="00767FEF"/>
    <w:rsid w:val="007709EF"/>
    <w:rsid w:val="00783559"/>
    <w:rsid w:val="007846ED"/>
    <w:rsid w:val="007851C4"/>
    <w:rsid w:val="00785C3B"/>
    <w:rsid w:val="00797AA5"/>
    <w:rsid w:val="007A26BD"/>
    <w:rsid w:val="007A4105"/>
    <w:rsid w:val="007A4F0E"/>
    <w:rsid w:val="007A514C"/>
    <w:rsid w:val="007A614C"/>
    <w:rsid w:val="007B0D8E"/>
    <w:rsid w:val="007B4503"/>
    <w:rsid w:val="007C03C9"/>
    <w:rsid w:val="007C16D8"/>
    <w:rsid w:val="007C406E"/>
    <w:rsid w:val="007C50F9"/>
    <w:rsid w:val="007C5183"/>
    <w:rsid w:val="007C6A7D"/>
    <w:rsid w:val="007C7573"/>
    <w:rsid w:val="007D18C2"/>
    <w:rsid w:val="007D1C62"/>
    <w:rsid w:val="007E14E4"/>
    <w:rsid w:val="007E2B20"/>
    <w:rsid w:val="007F5331"/>
    <w:rsid w:val="00800CCA"/>
    <w:rsid w:val="00801D97"/>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170"/>
    <w:rsid w:val="008267CC"/>
    <w:rsid w:val="0083178B"/>
    <w:rsid w:val="00833695"/>
    <w:rsid w:val="008336B7"/>
    <w:rsid w:val="00833A8E"/>
    <w:rsid w:val="00841EDD"/>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2A1A"/>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50E4"/>
    <w:rsid w:val="008E698E"/>
    <w:rsid w:val="008F123F"/>
    <w:rsid w:val="008F2584"/>
    <w:rsid w:val="008F3246"/>
    <w:rsid w:val="008F3C1B"/>
    <w:rsid w:val="008F508C"/>
    <w:rsid w:val="0090271B"/>
    <w:rsid w:val="009056E6"/>
    <w:rsid w:val="00910642"/>
    <w:rsid w:val="00910DDF"/>
    <w:rsid w:val="00921861"/>
    <w:rsid w:val="009219AB"/>
    <w:rsid w:val="00924639"/>
    <w:rsid w:val="0092611E"/>
    <w:rsid w:val="00926F1F"/>
    <w:rsid w:val="00926F4B"/>
    <w:rsid w:val="0093090F"/>
    <w:rsid w:val="00930B13"/>
    <w:rsid w:val="009311C8"/>
    <w:rsid w:val="0093199F"/>
    <w:rsid w:val="00933376"/>
    <w:rsid w:val="00933A2F"/>
    <w:rsid w:val="0094000D"/>
    <w:rsid w:val="00940206"/>
    <w:rsid w:val="00941B16"/>
    <w:rsid w:val="00946703"/>
    <w:rsid w:val="009528B2"/>
    <w:rsid w:val="009607C4"/>
    <w:rsid w:val="00962F2A"/>
    <w:rsid w:val="00963440"/>
    <w:rsid w:val="00964197"/>
    <w:rsid w:val="009716D8"/>
    <w:rsid w:val="009718F9"/>
    <w:rsid w:val="009724E4"/>
    <w:rsid w:val="00972FB9"/>
    <w:rsid w:val="00975112"/>
    <w:rsid w:val="009812EB"/>
    <w:rsid w:val="00981768"/>
    <w:rsid w:val="009838BB"/>
    <w:rsid w:val="00983E8F"/>
    <w:rsid w:val="00992338"/>
    <w:rsid w:val="00994FDA"/>
    <w:rsid w:val="009955A4"/>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0064"/>
    <w:rsid w:val="009F3259"/>
    <w:rsid w:val="009F3FC1"/>
    <w:rsid w:val="009F541F"/>
    <w:rsid w:val="00A004D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3602"/>
    <w:rsid w:val="00A53833"/>
    <w:rsid w:val="00A56850"/>
    <w:rsid w:val="00A56946"/>
    <w:rsid w:val="00A604D3"/>
    <w:rsid w:val="00A6170E"/>
    <w:rsid w:val="00A62617"/>
    <w:rsid w:val="00A63B8C"/>
    <w:rsid w:val="00A67AC7"/>
    <w:rsid w:val="00A715F8"/>
    <w:rsid w:val="00A741BA"/>
    <w:rsid w:val="00A773CC"/>
    <w:rsid w:val="00A77F6F"/>
    <w:rsid w:val="00A80150"/>
    <w:rsid w:val="00A831FD"/>
    <w:rsid w:val="00A83352"/>
    <w:rsid w:val="00A850A2"/>
    <w:rsid w:val="00A91FA3"/>
    <w:rsid w:val="00A927D3"/>
    <w:rsid w:val="00A9429A"/>
    <w:rsid w:val="00AA70B0"/>
    <w:rsid w:val="00AA7FC9"/>
    <w:rsid w:val="00AB237D"/>
    <w:rsid w:val="00AB50E6"/>
    <w:rsid w:val="00AB5933"/>
    <w:rsid w:val="00AC2046"/>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1FD2"/>
    <w:rsid w:val="00B12456"/>
    <w:rsid w:val="00B132B0"/>
    <w:rsid w:val="00B173C6"/>
    <w:rsid w:val="00B20109"/>
    <w:rsid w:val="00B21FF9"/>
    <w:rsid w:val="00B220A5"/>
    <w:rsid w:val="00B2317A"/>
    <w:rsid w:val="00B257D6"/>
    <w:rsid w:val="00B259C8"/>
    <w:rsid w:val="00B26CCF"/>
    <w:rsid w:val="00B30FC2"/>
    <w:rsid w:val="00B31BA0"/>
    <w:rsid w:val="00B331A2"/>
    <w:rsid w:val="00B33CF2"/>
    <w:rsid w:val="00B350A2"/>
    <w:rsid w:val="00B400F7"/>
    <w:rsid w:val="00B425F0"/>
    <w:rsid w:val="00B42DFA"/>
    <w:rsid w:val="00B50571"/>
    <w:rsid w:val="00B531DD"/>
    <w:rsid w:val="00B55014"/>
    <w:rsid w:val="00B62232"/>
    <w:rsid w:val="00B626DD"/>
    <w:rsid w:val="00B63314"/>
    <w:rsid w:val="00B70BF3"/>
    <w:rsid w:val="00B70D24"/>
    <w:rsid w:val="00B70E51"/>
    <w:rsid w:val="00B71DC2"/>
    <w:rsid w:val="00B7576F"/>
    <w:rsid w:val="00B80DB6"/>
    <w:rsid w:val="00B81AD2"/>
    <w:rsid w:val="00B81AEC"/>
    <w:rsid w:val="00B821B8"/>
    <w:rsid w:val="00B85A66"/>
    <w:rsid w:val="00B85ED4"/>
    <w:rsid w:val="00B85F07"/>
    <w:rsid w:val="00B866BC"/>
    <w:rsid w:val="00B868B6"/>
    <w:rsid w:val="00B91CFC"/>
    <w:rsid w:val="00B926F8"/>
    <w:rsid w:val="00B93893"/>
    <w:rsid w:val="00BA439D"/>
    <w:rsid w:val="00BA7E0A"/>
    <w:rsid w:val="00BB61B0"/>
    <w:rsid w:val="00BC0D9E"/>
    <w:rsid w:val="00BC0F75"/>
    <w:rsid w:val="00BC3B53"/>
    <w:rsid w:val="00BC3B96"/>
    <w:rsid w:val="00BC4AE3"/>
    <w:rsid w:val="00BC542F"/>
    <w:rsid w:val="00BC5B28"/>
    <w:rsid w:val="00BC7264"/>
    <w:rsid w:val="00BE17D4"/>
    <w:rsid w:val="00BE2863"/>
    <w:rsid w:val="00BE3F88"/>
    <w:rsid w:val="00BE4756"/>
    <w:rsid w:val="00BE5845"/>
    <w:rsid w:val="00BE5ED9"/>
    <w:rsid w:val="00BE7B41"/>
    <w:rsid w:val="00BF42C6"/>
    <w:rsid w:val="00BF4427"/>
    <w:rsid w:val="00BF46B6"/>
    <w:rsid w:val="00BF5295"/>
    <w:rsid w:val="00BF5675"/>
    <w:rsid w:val="00C00807"/>
    <w:rsid w:val="00C15A91"/>
    <w:rsid w:val="00C16652"/>
    <w:rsid w:val="00C206F1"/>
    <w:rsid w:val="00C2159D"/>
    <w:rsid w:val="00C217E1"/>
    <w:rsid w:val="00C219B1"/>
    <w:rsid w:val="00C231E2"/>
    <w:rsid w:val="00C263FF"/>
    <w:rsid w:val="00C2703D"/>
    <w:rsid w:val="00C309E6"/>
    <w:rsid w:val="00C352B6"/>
    <w:rsid w:val="00C4015B"/>
    <w:rsid w:val="00C4044E"/>
    <w:rsid w:val="00C40C60"/>
    <w:rsid w:val="00C44487"/>
    <w:rsid w:val="00C45F57"/>
    <w:rsid w:val="00C47F04"/>
    <w:rsid w:val="00C50E87"/>
    <w:rsid w:val="00C511CE"/>
    <w:rsid w:val="00C5258E"/>
    <w:rsid w:val="00C5333A"/>
    <w:rsid w:val="00C53BD7"/>
    <w:rsid w:val="00C541D6"/>
    <w:rsid w:val="00C55923"/>
    <w:rsid w:val="00C619A7"/>
    <w:rsid w:val="00C61DD3"/>
    <w:rsid w:val="00C64E34"/>
    <w:rsid w:val="00C6545E"/>
    <w:rsid w:val="00C7097A"/>
    <w:rsid w:val="00C736E8"/>
    <w:rsid w:val="00C73D5F"/>
    <w:rsid w:val="00C87943"/>
    <w:rsid w:val="00C90BEE"/>
    <w:rsid w:val="00C965EF"/>
    <w:rsid w:val="00C97C80"/>
    <w:rsid w:val="00CA1D00"/>
    <w:rsid w:val="00CA35E4"/>
    <w:rsid w:val="00CA47C4"/>
    <w:rsid w:val="00CA47D3"/>
    <w:rsid w:val="00CA6533"/>
    <w:rsid w:val="00CA6A25"/>
    <w:rsid w:val="00CA6A3F"/>
    <w:rsid w:val="00CA7C99"/>
    <w:rsid w:val="00CC15DE"/>
    <w:rsid w:val="00CC1F69"/>
    <w:rsid w:val="00CC6290"/>
    <w:rsid w:val="00CD233D"/>
    <w:rsid w:val="00CD362D"/>
    <w:rsid w:val="00CD3769"/>
    <w:rsid w:val="00CD66D3"/>
    <w:rsid w:val="00CD7B9C"/>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12B"/>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8DF"/>
    <w:rsid w:val="00D510FF"/>
    <w:rsid w:val="00D516BE"/>
    <w:rsid w:val="00D5423B"/>
    <w:rsid w:val="00D54F4E"/>
    <w:rsid w:val="00D604B3"/>
    <w:rsid w:val="00D60BA4"/>
    <w:rsid w:val="00D62419"/>
    <w:rsid w:val="00D62AD8"/>
    <w:rsid w:val="00D65336"/>
    <w:rsid w:val="00D66074"/>
    <w:rsid w:val="00D677F0"/>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2C70"/>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38D5"/>
    <w:rsid w:val="00E307D1"/>
    <w:rsid w:val="00E35710"/>
    <w:rsid w:val="00E35CF4"/>
    <w:rsid w:val="00E3731D"/>
    <w:rsid w:val="00E37811"/>
    <w:rsid w:val="00E468E4"/>
    <w:rsid w:val="00E5019B"/>
    <w:rsid w:val="00E51469"/>
    <w:rsid w:val="00E54114"/>
    <w:rsid w:val="00E62709"/>
    <w:rsid w:val="00E634E3"/>
    <w:rsid w:val="00E63EB9"/>
    <w:rsid w:val="00E717C4"/>
    <w:rsid w:val="00E73E00"/>
    <w:rsid w:val="00E74D10"/>
    <w:rsid w:val="00E776C6"/>
    <w:rsid w:val="00E77F89"/>
    <w:rsid w:val="00E80E71"/>
    <w:rsid w:val="00E81589"/>
    <w:rsid w:val="00E84269"/>
    <w:rsid w:val="00E850D3"/>
    <w:rsid w:val="00E853D6"/>
    <w:rsid w:val="00E8544F"/>
    <w:rsid w:val="00E876B9"/>
    <w:rsid w:val="00E91B40"/>
    <w:rsid w:val="00E91F7C"/>
    <w:rsid w:val="00E94D82"/>
    <w:rsid w:val="00E972A2"/>
    <w:rsid w:val="00EA23C0"/>
    <w:rsid w:val="00EA5BA2"/>
    <w:rsid w:val="00EB2DF3"/>
    <w:rsid w:val="00EB73E0"/>
    <w:rsid w:val="00EC0DFF"/>
    <w:rsid w:val="00EC237D"/>
    <w:rsid w:val="00EC25AB"/>
    <w:rsid w:val="00EC25B9"/>
    <w:rsid w:val="00EC2927"/>
    <w:rsid w:val="00EC4AC7"/>
    <w:rsid w:val="00EC4D0E"/>
    <w:rsid w:val="00EC4E2B"/>
    <w:rsid w:val="00ED072A"/>
    <w:rsid w:val="00ED2F32"/>
    <w:rsid w:val="00ED539E"/>
    <w:rsid w:val="00ED576F"/>
    <w:rsid w:val="00ED5E4D"/>
    <w:rsid w:val="00EE4A1F"/>
    <w:rsid w:val="00EE4C2D"/>
    <w:rsid w:val="00EE55D7"/>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5DC"/>
    <w:rsid w:val="00F17B10"/>
    <w:rsid w:val="00F17BFE"/>
    <w:rsid w:val="00F20147"/>
    <w:rsid w:val="00F21BEF"/>
    <w:rsid w:val="00F225CD"/>
    <w:rsid w:val="00F2315B"/>
    <w:rsid w:val="00F31111"/>
    <w:rsid w:val="00F40F11"/>
    <w:rsid w:val="00F41A6F"/>
    <w:rsid w:val="00F45A25"/>
    <w:rsid w:val="00F45BBC"/>
    <w:rsid w:val="00F50F86"/>
    <w:rsid w:val="00F51A76"/>
    <w:rsid w:val="00F53862"/>
    <w:rsid w:val="00F53C9D"/>
    <w:rsid w:val="00F53F91"/>
    <w:rsid w:val="00F54B9F"/>
    <w:rsid w:val="00F61569"/>
    <w:rsid w:val="00F61A72"/>
    <w:rsid w:val="00F62B67"/>
    <w:rsid w:val="00F66F13"/>
    <w:rsid w:val="00F7145D"/>
    <w:rsid w:val="00F71B5E"/>
    <w:rsid w:val="00F73040"/>
    <w:rsid w:val="00F74073"/>
    <w:rsid w:val="00F75603"/>
    <w:rsid w:val="00F77BE5"/>
    <w:rsid w:val="00F845B4"/>
    <w:rsid w:val="00F8478B"/>
    <w:rsid w:val="00F8713B"/>
    <w:rsid w:val="00F87FC5"/>
    <w:rsid w:val="00F904FB"/>
    <w:rsid w:val="00F93F9E"/>
    <w:rsid w:val="00F950BC"/>
    <w:rsid w:val="00F95EDD"/>
    <w:rsid w:val="00FA2CD7"/>
    <w:rsid w:val="00FA4618"/>
    <w:rsid w:val="00FA5AD5"/>
    <w:rsid w:val="00FA7882"/>
    <w:rsid w:val="00FB06ED"/>
    <w:rsid w:val="00FC08A4"/>
    <w:rsid w:val="00FC202F"/>
    <w:rsid w:val="00FC3165"/>
    <w:rsid w:val="00FC36AB"/>
    <w:rsid w:val="00FC4300"/>
    <w:rsid w:val="00FC7F66"/>
    <w:rsid w:val="00FD3D8C"/>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46FCF"/>
  <w15:docId w15:val="{53C60B5A-BD0F-4C68-BE06-05E69BA3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461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CC1F69"/>
    <w:rPr>
      <w:rFonts w:ascii="Verdana" w:hAnsi="Verdana"/>
      <w:sz w:val="13"/>
      <w:lang w:val="nl-NL" w:eastAsia="nl-NL"/>
    </w:rPr>
  </w:style>
  <w:style w:type="character" w:styleId="Voetnootmarkering">
    <w:name w:val="footnote reference"/>
    <w:basedOn w:val="Standaardalinea-lettertype"/>
    <w:uiPriority w:val="99"/>
    <w:unhideWhenUsed/>
    <w:rsid w:val="00CC1F69"/>
    <w:rPr>
      <w:vertAlign w:val="superscript"/>
    </w:rPr>
  </w:style>
  <w:style w:type="paragraph" w:styleId="Lijstalinea">
    <w:name w:val="List Paragraph"/>
    <w:basedOn w:val="Standaard"/>
    <w:uiPriority w:val="34"/>
    <w:qFormat/>
    <w:rsid w:val="005D4B1C"/>
    <w:pPr>
      <w:ind w:left="720"/>
      <w:contextualSpacing/>
    </w:pPr>
  </w:style>
  <w:style w:type="character" w:styleId="Verwijzingopmerking">
    <w:name w:val="annotation reference"/>
    <w:basedOn w:val="Standaardalinea-lettertype"/>
    <w:rsid w:val="00A004DF"/>
    <w:rPr>
      <w:sz w:val="16"/>
      <w:szCs w:val="16"/>
    </w:rPr>
  </w:style>
  <w:style w:type="paragraph" w:styleId="Tekstopmerking">
    <w:name w:val="annotation text"/>
    <w:basedOn w:val="Standaard"/>
    <w:link w:val="TekstopmerkingChar"/>
    <w:rsid w:val="00A004DF"/>
    <w:pPr>
      <w:spacing w:line="240" w:lineRule="auto"/>
    </w:pPr>
    <w:rPr>
      <w:sz w:val="20"/>
      <w:szCs w:val="20"/>
    </w:rPr>
  </w:style>
  <w:style w:type="character" w:customStyle="1" w:styleId="TekstopmerkingChar">
    <w:name w:val="Tekst opmerking Char"/>
    <w:basedOn w:val="Standaardalinea-lettertype"/>
    <w:link w:val="Tekstopmerking"/>
    <w:rsid w:val="00A004DF"/>
    <w:rPr>
      <w:rFonts w:ascii="Verdana" w:hAnsi="Verdana"/>
      <w:lang w:val="nl-NL" w:eastAsia="nl-NL"/>
    </w:rPr>
  </w:style>
  <w:style w:type="paragraph" w:styleId="Onderwerpvanopmerking">
    <w:name w:val="annotation subject"/>
    <w:basedOn w:val="Tekstopmerking"/>
    <w:next w:val="Tekstopmerking"/>
    <w:link w:val="OnderwerpvanopmerkingChar"/>
    <w:rsid w:val="00A004DF"/>
    <w:rPr>
      <w:b/>
      <w:bCs/>
    </w:rPr>
  </w:style>
  <w:style w:type="character" w:customStyle="1" w:styleId="OnderwerpvanopmerkingChar">
    <w:name w:val="Onderwerp van opmerking Char"/>
    <w:basedOn w:val="TekstopmerkingChar"/>
    <w:link w:val="Onderwerpvanopmerking"/>
    <w:rsid w:val="00A004DF"/>
    <w:rPr>
      <w:rFonts w:ascii="Verdana" w:hAnsi="Verdana"/>
      <w:b/>
      <w:bCs/>
      <w:lang w:val="nl-NL" w:eastAsia="nl-NL"/>
    </w:rPr>
  </w:style>
  <w:style w:type="paragraph" w:styleId="Revisie">
    <w:name w:val="Revision"/>
    <w:hidden/>
    <w:uiPriority w:val="99"/>
    <w:semiHidden/>
    <w:rsid w:val="00A6261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4724-13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1802</ap:Words>
  <ap:Characters>9913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2026-03-25T14:37:00.0000000Z</lastPrinted>
  <dcterms:created xsi:type="dcterms:W3CDTF">2026-03-25T14:40:00.0000000Z</dcterms:created>
  <dcterms:modified xsi:type="dcterms:W3CDTF">2026-03-25T14:40:00.0000000Z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O293VER</vt:lpwstr>
  </property>
  <property fmtid="{D5CDD505-2E9C-101B-9397-08002B2CF9AE}" pid="3" name="Author">
    <vt:lpwstr>O293VER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Claassen (groep Markuszower) over het bericht dat aan het begin van het studiejaar 2024-2025 de totale schuld in Nederland 29 miljard euro bedroeg</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O293VER</vt:lpwstr>
  </property>
</Properties>
</file>