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0EF" w:rsidRDefault="000850EF" w14:paraId="7F0BDD99" w14:textId="77777777"/>
    <w:p w:rsidR="000850EF" w:rsidRDefault="000850EF" w14:paraId="054121A9" w14:textId="77777777"/>
    <w:p w:rsidR="000850EF" w:rsidRDefault="000850EF" w14:paraId="2EB4F33D" w14:textId="77777777"/>
    <w:p w:rsidR="00EA7DB0" w:rsidRDefault="00E20D38" w14:paraId="0F6D5B2F" w14:textId="4B8407DF">
      <w:r>
        <w:t xml:space="preserve">In antwoord op uw brief van </w:t>
      </w:r>
      <w:r w:rsidR="00CF110C">
        <w:t>30 januari 2026</w:t>
      </w:r>
      <w:r>
        <w:t xml:space="preserve"> </w:t>
      </w:r>
      <w:r w:rsidR="00EA7DB0">
        <w:t>worden</w:t>
      </w:r>
      <w:r w:rsidR="00CF110C">
        <w:t>,</w:t>
      </w:r>
      <w:r>
        <w:t xml:space="preserve"> mede</w:t>
      </w:r>
      <w:r w:rsidR="00CF110C">
        <w:t xml:space="preserve"> namens</w:t>
      </w:r>
      <w:r w:rsidRPr="00CF110C" w:rsidR="00CF110C">
        <w:t xml:space="preserve"> de</w:t>
      </w:r>
      <w:r w:rsidR="007B326B">
        <w:t xml:space="preserve"> </w:t>
      </w:r>
      <w:r w:rsidRPr="007D18CC" w:rsidR="007B326B">
        <w:t>minister van Langdurige Zorg, Jeugd en Sport</w:t>
      </w:r>
      <w:r w:rsidR="00CF110C">
        <w:t>,</w:t>
      </w:r>
      <w:r>
        <w:t xml:space="preserve"> de vragen </w:t>
      </w:r>
      <w:bookmarkStart w:name="_Hlk222925197" w:id="0"/>
      <w:r>
        <w:t xml:space="preserve">van </w:t>
      </w:r>
      <w:r w:rsidRPr="00CF110C" w:rsidR="00CF110C">
        <w:t xml:space="preserve">de leden Schilder en </w:t>
      </w:r>
      <w:proofErr w:type="spellStart"/>
      <w:r w:rsidRPr="00CF110C" w:rsidR="00CF110C">
        <w:t>Moinat</w:t>
      </w:r>
      <w:proofErr w:type="spellEnd"/>
      <w:r w:rsidRPr="00CF110C" w:rsidR="00CF110C">
        <w:t xml:space="preserve"> (beiden Groep </w:t>
      </w:r>
      <w:proofErr w:type="spellStart"/>
      <w:r w:rsidRPr="00CF110C" w:rsidR="00CF110C">
        <w:t>Markuszower</w:t>
      </w:r>
      <w:proofErr w:type="spellEnd"/>
      <w:r w:rsidRPr="00CF110C" w:rsidR="00CF110C">
        <w:t>)</w:t>
      </w:r>
      <w:bookmarkEnd w:id="0"/>
      <w:r w:rsidR="007B326B">
        <w:t xml:space="preserve"> </w:t>
      </w:r>
      <w:r w:rsidRPr="00CF110C" w:rsidR="00CF110C">
        <w:t>over het bericht 'Jongeren vatbaar voor ‘snel geld’'</w:t>
      </w:r>
      <w:r>
        <w:t xml:space="preserve">, </w:t>
      </w:r>
    </w:p>
    <w:p w:rsidR="000850EF" w:rsidRDefault="00E20D38" w14:paraId="6EE43064" w14:textId="209501A8">
      <w:r>
        <w:t>beantwoord zoals aangegeven in de bijlage bij deze brief. </w:t>
      </w:r>
    </w:p>
    <w:p w:rsidR="000850EF" w:rsidRDefault="00E20D38" w14:paraId="4321663D" w14:textId="77777777">
      <w:r>
        <w:t> </w:t>
      </w:r>
    </w:p>
    <w:p w:rsidR="000850EF" w:rsidRDefault="00E20D38" w14:paraId="2A934CB6" w14:textId="77777777">
      <w:r>
        <w:t> </w:t>
      </w:r>
    </w:p>
    <w:p w:rsidR="000850EF" w:rsidRDefault="00E20D38" w14:paraId="6FF2B343" w14:textId="77777777">
      <w:r>
        <w:t>De Minister van Justitie en Veiligheid,</w:t>
      </w:r>
    </w:p>
    <w:p w:rsidR="000850EF" w:rsidRDefault="000850EF" w14:paraId="4CD406AD" w14:textId="77777777"/>
    <w:p w:rsidR="000850EF" w:rsidRDefault="000850EF" w14:paraId="7D110611" w14:textId="77777777"/>
    <w:p w:rsidR="000850EF" w:rsidRDefault="000850EF" w14:paraId="1122B79C" w14:textId="77777777"/>
    <w:p w:rsidR="000850EF" w:rsidRDefault="000850EF" w14:paraId="7BEA91D7" w14:textId="77777777"/>
    <w:p w:rsidR="000850EF" w:rsidRDefault="00765F5D" w14:paraId="3CAABE75" w14:textId="532D744D">
      <w:r>
        <w:t>D</w:t>
      </w:r>
      <w:r w:rsidR="00E20D38">
        <w:t>.</w:t>
      </w:r>
      <w:r w:rsidR="00FC2E5B">
        <w:t>M.</w:t>
      </w:r>
      <w:r w:rsidR="00E20D38">
        <w:t xml:space="preserve"> van </w:t>
      </w:r>
      <w:r>
        <w:t>Weel</w:t>
      </w:r>
    </w:p>
    <w:p w:rsidR="000C49E8" w:rsidRDefault="000C49E8" w14:paraId="7BE59E88" w14:textId="77777777"/>
    <w:p w:rsidR="000C49E8" w:rsidRDefault="000C49E8" w14:paraId="1934E1DF" w14:textId="77777777"/>
    <w:p w:rsidR="000C49E8" w:rsidRDefault="000C49E8" w14:paraId="0B430A8E" w14:textId="77777777"/>
    <w:p w:rsidR="000C49E8" w:rsidRDefault="000C49E8" w14:paraId="4CCB2AB3" w14:textId="77777777"/>
    <w:p w:rsidR="000850EF" w:rsidRDefault="000850EF" w14:paraId="7D5973A7" w14:textId="77777777"/>
    <w:p w:rsidR="000850EF" w:rsidRDefault="000850EF" w14:paraId="6BB6D61C" w14:textId="77777777"/>
    <w:p w:rsidR="000850EF" w:rsidRDefault="000850EF" w14:paraId="6040E788" w14:textId="77777777"/>
    <w:p w:rsidR="000850EF" w:rsidRDefault="000850EF" w14:paraId="34FF33E2" w14:textId="77777777"/>
    <w:p w:rsidR="000850EF" w:rsidRDefault="000850EF" w14:paraId="3D763906" w14:textId="77777777"/>
    <w:p w:rsidR="000850EF" w:rsidRDefault="000850EF" w14:paraId="7B765F70" w14:textId="77777777"/>
    <w:p w:rsidR="000850EF" w:rsidRDefault="000850EF" w14:paraId="073837BD" w14:textId="77777777"/>
    <w:p w:rsidR="000850EF" w:rsidRDefault="000850EF" w14:paraId="12BEFE71" w14:textId="77777777"/>
    <w:p w:rsidR="000850EF" w:rsidRDefault="000850EF" w14:paraId="4433F20B" w14:textId="77777777"/>
    <w:p w:rsidR="000850EF" w:rsidRDefault="000850EF" w14:paraId="17D9644B" w14:textId="77777777"/>
    <w:p w:rsidR="000850EF" w:rsidRDefault="000850EF" w14:paraId="09E951FD" w14:textId="77777777"/>
    <w:p w:rsidR="000850EF" w:rsidRDefault="000850EF" w14:paraId="56FB07FD" w14:textId="77777777"/>
    <w:p w:rsidR="000850EF" w:rsidRDefault="000850EF" w14:paraId="776E4DC6" w14:textId="77777777"/>
    <w:p w:rsidR="000850EF" w:rsidRDefault="000850EF" w14:paraId="5DAA8F1A" w14:textId="77777777"/>
    <w:p w:rsidR="000850EF" w:rsidRDefault="000850EF" w14:paraId="7340C11E" w14:textId="77777777"/>
    <w:p w:rsidR="000850EF" w:rsidRDefault="000850EF" w14:paraId="163D9296" w14:textId="77777777"/>
    <w:p w:rsidR="000850EF" w:rsidRDefault="000850EF" w14:paraId="532D538A" w14:textId="77777777"/>
    <w:p w:rsidR="00CF110C" w:rsidRDefault="00CF110C" w14:paraId="562443D8" w14:textId="77777777"/>
    <w:p w:rsidR="004E53E6" w:rsidRDefault="004E53E6" w14:paraId="5103DB22" w14:textId="77777777">
      <w:pPr>
        <w:rPr>
          <w:b/>
        </w:rPr>
      </w:pPr>
    </w:p>
    <w:p w:rsidR="000850EF" w:rsidRDefault="00E20D38" w14:paraId="2A633875" w14:textId="7CBF389A">
      <w:r>
        <w:rPr>
          <w:b/>
        </w:rPr>
        <w:t xml:space="preserve">Vragen </w:t>
      </w:r>
      <w:bookmarkStart w:name="_Hlk224204619" w:id="1"/>
      <w:r>
        <w:rPr>
          <w:b/>
        </w:rPr>
        <w:t xml:space="preserve">van </w:t>
      </w:r>
      <w:r w:rsidRPr="00CF110C" w:rsidR="00CF110C">
        <w:rPr>
          <w:b/>
        </w:rPr>
        <w:t xml:space="preserve">de leden Schilder en </w:t>
      </w:r>
      <w:proofErr w:type="spellStart"/>
      <w:r w:rsidRPr="00CF110C" w:rsidR="00CF110C">
        <w:rPr>
          <w:b/>
        </w:rPr>
        <w:t>Moinat</w:t>
      </w:r>
      <w:proofErr w:type="spellEnd"/>
      <w:r w:rsidRPr="00CF110C" w:rsidR="00CF110C">
        <w:rPr>
          <w:b/>
        </w:rPr>
        <w:t xml:space="preserve"> (beiden Groep </w:t>
      </w:r>
      <w:proofErr w:type="spellStart"/>
      <w:r w:rsidRPr="00CF110C" w:rsidR="00CF110C">
        <w:rPr>
          <w:b/>
        </w:rPr>
        <w:t>Markuszower</w:t>
      </w:r>
      <w:proofErr w:type="spellEnd"/>
      <w:r w:rsidRPr="00CF110C" w:rsidR="00CF110C">
        <w:rPr>
          <w:b/>
        </w:rPr>
        <w:t xml:space="preserve">) </w:t>
      </w:r>
      <w:bookmarkEnd w:id="1"/>
      <w:r>
        <w:rPr>
          <w:b/>
        </w:rPr>
        <w:t>aan de minister van Justitie en Veiligheid</w:t>
      </w:r>
      <w:r w:rsidR="009E2880">
        <w:t xml:space="preserve"> </w:t>
      </w:r>
      <w:r w:rsidR="00CF110C">
        <w:rPr>
          <w:b/>
        </w:rPr>
        <w:t xml:space="preserve">en </w:t>
      </w:r>
      <w:r w:rsidRPr="00CF110C" w:rsidR="00CF110C">
        <w:rPr>
          <w:b/>
        </w:rPr>
        <w:t>de staatssecretaris van Volksgezondheid, Welzijn en Sport over het bericht 'Jongeren vatbaar voor ‘snel geld’'</w:t>
      </w:r>
    </w:p>
    <w:p w:rsidR="000850EF" w:rsidRDefault="00E20D38" w14:paraId="3B79A032" w14:textId="2533AC37">
      <w:pPr>
        <w:pBdr>
          <w:bottom w:val="single" w:color="auto" w:sz="6" w:space="1"/>
        </w:pBdr>
        <w:rPr>
          <w:b/>
        </w:rPr>
      </w:pPr>
      <w:r>
        <w:rPr>
          <w:b/>
        </w:rPr>
        <w:t xml:space="preserve">(ingezonden op </w:t>
      </w:r>
      <w:r w:rsidR="009E2880">
        <w:rPr>
          <w:b/>
        </w:rPr>
        <w:t>30 januari 2026</w:t>
      </w:r>
      <w:r>
        <w:rPr>
          <w:b/>
        </w:rPr>
        <w:t>, 202</w:t>
      </w:r>
      <w:r w:rsidR="009E2880">
        <w:rPr>
          <w:b/>
        </w:rPr>
        <w:t>6</w:t>
      </w:r>
      <w:r>
        <w:rPr>
          <w:b/>
        </w:rPr>
        <w:t>Z</w:t>
      </w:r>
      <w:r w:rsidR="009E2880">
        <w:rPr>
          <w:b/>
        </w:rPr>
        <w:t>01964</w:t>
      </w:r>
      <w:r>
        <w:rPr>
          <w:b/>
        </w:rPr>
        <w:t>)</w:t>
      </w:r>
    </w:p>
    <w:p w:rsidR="009E2880" w:rsidP="00CF110C" w:rsidRDefault="009E2880" w14:paraId="29F29131" w14:textId="77777777">
      <w:pPr>
        <w:rPr>
          <w:b/>
        </w:rPr>
      </w:pPr>
    </w:p>
    <w:p w:rsidR="009E2880" w:rsidP="009E2880" w:rsidRDefault="000C49E8" w14:paraId="030B46F8" w14:textId="19D02176">
      <w:pPr>
        <w:rPr>
          <w:b/>
          <w:bCs/>
        </w:rPr>
      </w:pPr>
      <w:r>
        <w:rPr>
          <w:b/>
          <w:bCs/>
        </w:rPr>
        <w:t xml:space="preserve">Vraag </w:t>
      </w:r>
      <w:r w:rsidRPr="009E2880" w:rsidR="009E2880">
        <w:rPr>
          <w:b/>
          <w:bCs/>
        </w:rPr>
        <w:t xml:space="preserve">1 </w:t>
      </w:r>
    </w:p>
    <w:p w:rsidR="009E2880" w:rsidP="009E2880" w:rsidRDefault="009E2880" w14:paraId="34035570" w14:textId="5928888C">
      <w:pPr>
        <w:rPr>
          <w:b/>
          <w:bCs/>
        </w:rPr>
      </w:pPr>
      <w:r w:rsidRPr="009E2880">
        <w:rPr>
          <w:b/>
          <w:bCs/>
        </w:rPr>
        <w:t>Bent u bekend met het bericht 'Jongeren vatbaar voor ‘snel geld’', waarin wordt beschreven hoe jongeren via sociale media worden geronseld voor criminele activiteiten? 1)</w:t>
      </w:r>
    </w:p>
    <w:p w:rsidR="009E2880" w:rsidP="009E2880" w:rsidRDefault="009E2880" w14:paraId="419A1ECD" w14:textId="77777777">
      <w:pPr>
        <w:rPr>
          <w:b/>
          <w:bCs/>
        </w:rPr>
      </w:pPr>
    </w:p>
    <w:p w:rsidRPr="000C49E8" w:rsidR="000C49E8" w:rsidP="009E2880" w:rsidRDefault="000C49E8" w14:paraId="2592A4AB" w14:textId="77777777">
      <w:pPr>
        <w:rPr>
          <w:b/>
          <w:bCs/>
        </w:rPr>
      </w:pPr>
      <w:r w:rsidRPr="000C49E8">
        <w:rPr>
          <w:b/>
          <w:bCs/>
        </w:rPr>
        <w:t>Antwoord op vraag 1</w:t>
      </w:r>
    </w:p>
    <w:p w:rsidR="005B7985" w:rsidP="009E2880" w:rsidRDefault="005B7985" w14:paraId="5EB7523E" w14:textId="76729A34">
      <w:r>
        <w:t xml:space="preserve">Ja. </w:t>
      </w:r>
    </w:p>
    <w:p w:rsidRPr="005B7985" w:rsidR="005B7985" w:rsidP="009E2880" w:rsidRDefault="005B7985" w14:paraId="4C071558" w14:textId="77777777"/>
    <w:p w:rsidR="009E2880" w:rsidP="009E2880" w:rsidRDefault="000C49E8" w14:paraId="51B30770" w14:textId="5CFF7761">
      <w:pPr>
        <w:rPr>
          <w:b/>
          <w:bCs/>
        </w:rPr>
      </w:pPr>
      <w:bookmarkStart w:name="_Hlk221533405" w:id="2"/>
      <w:bookmarkStart w:name="_Hlk223618966" w:id="3"/>
      <w:r>
        <w:rPr>
          <w:b/>
          <w:bCs/>
        </w:rPr>
        <w:t xml:space="preserve">Vraag </w:t>
      </w:r>
      <w:r w:rsidRPr="009E2880" w:rsidR="009E2880">
        <w:rPr>
          <w:b/>
          <w:bCs/>
        </w:rPr>
        <w:t xml:space="preserve">2 </w:t>
      </w:r>
    </w:p>
    <w:p w:rsidR="009E2880" w:rsidP="009E2880" w:rsidRDefault="009E2880" w14:paraId="7EF1670D" w14:textId="62AE3EFB">
      <w:pPr>
        <w:rPr>
          <w:b/>
          <w:bCs/>
        </w:rPr>
      </w:pPr>
      <w:r w:rsidRPr="009E2880">
        <w:rPr>
          <w:b/>
          <w:bCs/>
        </w:rPr>
        <w:t xml:space="preserve">Deelt u de zorg dat met name kwetsbare jongeren, waaronder jongeren die al in beeld zijn of zouden moeten zijn bij jeugdzorg of wijkteams, extra vatbaar zijn voor deze vorm van online </w:t>
      </w:r>
      <w:proofErr w:type="spellStart"/>
      <w:r w:rsidRPr="009E2880">
        <w:rPr>
          <w:b/>
          <w:bCs/>
        </w:rPr>
        <w:t>ronseling</w:t>
      </w:r>
      <w:proofErr w:type="spellEnd"/>
      <w:r w:rsidRPr="009E2880">
        <w:rPr>
          <w:b/>
          <w:bCs/>
        </w:rPr>
        <w:t>?</w:t>
      </w:r>
    </w:p>
    <w:p w:rsidR="009E2880" w:rsidP="009E2880" w:rsidRDefault="009E2880" w14:paraId="69529BAF" w14:textId="77777777">
      <w:pPr>
        <w:rPr>
          <w:b/>
          <w:bCs/>
        </w:rPr>
      </w:pPr>
    </w:p>
    <w:p w:rsidRPr="000C49E8" w:rsidR="000C49E8" w:rsidP="00743A94" w:rsidRDefault="000C49E8" w14:paraId="39823257" w14:textId="77777777">
      <w:pPr>
        <w:contextualSpacing/>
        <w:rPr>
          <w:b/>
          <w:bCs/>
        </w:rPr>
      </w:pPr>
      <w:r w:rsidRPr="000C49E8">
        <w:rPr>
          <w:b/>
          <w:bCs/>
        </w:rPr>
        <w:t>Antwoord op vraag 2</w:t>
      </w:r>
    </w:p>
    <w:p w:rsidRPr="00743A94" w:rsidR="00743A94" w:rsidP="00743A94" w:rsidRDefault="00A57560" w14:paraId="1257C8BA" w14:textId="696742FF">
      <w:pPr>
        <w:contextualSpacing/>
      </w:pPr>
      <w:r>
        <w:t xml:space="preserve">Ik deel de zorgen over de vatbaarheid van kwetsbare jongeren </w:t>
      </w:r>
      <w:r w:rsidR="00090CA8">
        <w:t>om (online) geronseld te worden</w:t>
      </w:r>
      <w:r>
        <w:t>.</w:t>
      </w:r>
      <w:r w:rsidRPr="00F762EB" w:rsidR="00427FEB">
        <w:t xml:space="preserve"> </w:t>
      </w:r>
      <w:bookmarkEnd w:id="2"/>
      <w:r w:rsidRPr="00743A94" w:rsidR="00743A94">
        <w:t>Jongeren en jongvolwassenen in een kwetsbare positie, zoals jongeren met een licht verstandelijke beperking, hebben een verhoogd risico om in te gaan op verzoeken</w:t>
      </w:r>
      <w:r w:rsidR="00743A94">
        <w:t xml:space="preserve">. </w:t>
      </w:r>
      <w:r w:rsidRPr="00743A94" w:rsidR="00743A94">
        <w:t xml:space="preserve">Veel jongeren overzien de langetermijngevolgen van hun acties nog niet goed. Dit maakt het des te belangrijker dat jongeren, ook online, weerbaar zijn voor dit soort praktijken. Dit vraagt ook om een combinatie van mediawijsheid, alsmede betrokkenheid van ouders bij de online activiteiten van hun kinderen. </w:t>
      </w:r>
    </w:p>
    <w:p w:rsidR="00427FEB" w:rsidP="009E2880" w:rsidRDefault="00427FEB" w14:paraId="68B3CB23" w14:textId="4CBC3A5F">
      <w:pPr>
        <w:contextualSpacing/>
      </w:pPr>
    </w:p>
    <w:bookmarkEnd w:id="3"/>
    <w:p w:rsidR="009E2880" w:rsidP="009E2880" w:rsidRDefault="000C49E8" w14:paraId="18DB6923" w14:textId="766A0A80">
      <w:pPr>
        <w:rPr>
          <w:b/>
          <w:bCs/>
        </w:rPr>
      </w:pPr>
      <w:r>
        <w:rPr>
          <w:b/>
          <w:bCs/>
        </w:rPr>
        <w:t xml:space="preserve">Vraag </w:t>
      </w:r>
      <w:r w:rsidRPr="009E2880" w:rsidR="009E2880">
        <w:rPr>
          <w:b/>
          <w:bCs/>
        </w:rPr>
        <w:t xml:space="preserve">3 </w:t>
      </w:r>
    </w:p>
    <w:p w:rsidRPr="009E2880" w:rsidR="009E2880" w:rsidP="009E2880" w:rsidRDefault="009E2880" w14:paraId="0E0B54DD" w14:textId="212B6556">
      <w:pPr>
        <w:rPr>
          <w:b/>
          <w:bCs/>
        </w:rPr>
      </w:pPr>
      <w:r w:rsidRPr="009E2880">
        <w:rPr>
          <w:b/>
          <w:bCs/>
        </w:rPr>
        <w:t xml:space="preserve">In hoeverre heeft u gezamenlijk zicht op de omvang van online </w:t>
      </w:r>
      <w:proofErr w:type="spellStart"/>
      <w:r w:rsidRPr="009E2880">
        <w:rPr>
          <w:b/>
          <w:bCs/>
        </w:rPr>
        <w:t>ronseling</w:t>
      </w:r>
      <w:proofErr w:type="spellEnd"/>
      <w:r w:rsidRPr="009E2880">
        <w:rPr>
          <w:b/>
          <w:bCs/>
        </w:rPr>
        <w:t xml:space="preserve"> van minderjarigen voor criminele activiteiten?</w:t>
      </w:r>
    </w:p>
    <w:p w:rsidR="009E2880" w:rsidP="009E2880" w:rsidRDefault="009E2880" w14:paraId="76E72F93" w14:textId="77777777">
      <w:pPr>
        <w:rPr>
          <w:b/>
          <w:bCs/>
        </w:rPr>
      </w:pPr>
    </w:p>
    <w:p w:rsidRPr="000C49E8" w:rsidR="000C49E8" w:rsidP="00CC1EDB" w:rsidRDefault="000C49E8" w14:paraId="762C650D" w14:textId="77777777">
      <w:pPr>
        <w:rPr>
          <w:b/>
          <w:bCs/>
        </w:rPr>
      </w:pPr>
      <w:r w:rsidRPr="000C49E8">
        <w:rPr>
          <w:b/>
          <w:bCs/>
        </w:rPr>
        <w:t>Antwoord op vraag 3</w:t>
      </w:r>
    </w:p>
    <w:p w:rsidR="00981626" w:rsidP="00CC1EDB" w:rsidRDefault="00CC1EDB" w14:paraId="25D8D487" w14:textId="791D5AAC">
      <w:r w:rsidRPr="00F762EB">
        <w:t xml:space="preserve">Er is </w:t>
      </w:r>
      <w:r w:rsidR="00981626">
        <w:t>momenteel</w:t>
      </w:r>
      <w:r w:rsidR="00B33968">
        <w:t xml:space="preserve">, bijvoorbeeld </w:t>
      </w:r>
      <w:r w:rsidRPr="008A6602" w:rsidR="00B33968">
        <w:t>bij jeugdzorg of lokale wijkteams</w:t>
      </w:r>
      <w:r w:rsidR="00B33968">
        <w:t>,</w:t>
      </w:r>
      <w:r w:rsidR="00981626">
        <w:t xml:space="preserve"> </w:t>
      </w:r>
      <w:r w:rsidRPr="00F762EB">
        <w:t xml:space="preserve">geen </w:t>
      </w:r>
      <w:r w:rsidR="0046636A">
        <w:t xml:space="preserve">gezamenlijk </w:t>
      </w:r>
      <w:r w:rsidRPr="00F762EB">
        <w:t>zicht op hoeveel jongeren</w:t>
      </w:r>
      <w:r w:rsidR="0046636A">
        <w:t xml:space="preserve"> </w:t>
      </w:r>
      <w:r w:rsidRPr="00F762EB">
        <w:t xml:space="preserve">online worden geronseld. </w:t>
      </w:r>
      <w:r w:rsidR="00981626">
        <w:t>R</w:t>
      </w:r>
      <w:r w:rsidRPr="00AD2F68" w:rsidR="00981626">
        <w:t xml:space="preserve">onselaars </w:t>
      </w:r>
      <w:r w:rsidR="00981626">
        <w:t xml:space="preserve">hoeven </w:t>
      </w:r>
      <w:r w:rsidRPr="00AD2F68" w:rsidR="00981626">
        <w:t xml:space="preserve">slechts één oproep te plaatsen om </w:t>
      </w:r>
      <w:r w:rsidR="00265398">
        <w:t>grote aantallen</w:t>
      </w:r>
      <w:r w:rsidRPr="00AD2F68" w:rsidR="00981626">
        <w:t xml:space="preserve"> jongeren te bereiken</w:t>
      </w:r>
      <w:r w:rsidR="002A5E7E">
        <w:t>.</w:t>
      </w:r>
      <w:r w:rsidR="00981626">
        <w:t xml:space="preserve"> </w:t>
      </w:r>
      <w:r w:rsidR="00265398">
        <w:t>Daarbij komt dat j</w:t>
      </w:r>
      <w:r w:rsidR="00981626">
        <w:t xml:space="preserve">ongeren zelf </w:t>
      </w:r>
      <w:r w:rsidRPr="00F762EB" w:rsidR="00981626">
        <w:t xml:space="preserve">terughoudend </w:t>
      </w:r>
      <w:r w:rsidR="00265398">
        <w:t xml:space="preserve">zijn </w:t>
      </w:r>
      <w:r w:rsidRPr="00F762EB" w:rsidR="00981626">
        <w:t>in het melden van criminele uitbuiting bij de politie of andere instanties.</w:t>
      </w:r>
      <w:r w:rsidR="00981626">
        <w:t xml:space="preserve"> Daarom wordt door het Centrum Kinder</w:t>
      </w:r>
      <w:r w:rsidR="002A5E7E">
        <w:t>handel</w:t>
      </w:r>
      <w:r w:rsidR="00981626">
        <w:t xml:space="preserve"> en Mensenhandel (CKM) een onderzoek uitgevoerd naar de meldingsbereidheid van slachtoffers van criminele uitbuiting. De eerste inzichten uit dit onderzoek worden in de zomer van 2026 opgeleverd</w:t>
      </w:r>
      <w:r w:rsidR="005D4ABA">
        <w:t xml:space="preserve"> en gedeeld met gemeenten en andere partners binnen het preventieveld via bijvoorbeeld de digitale vindplaats van </w:t>
      </w:r>
      <w:r w:rsidR="001F2975">
        <w:t>Preventie met Gezag (PmG)</w:t>
      </w:r>
      <w:r w:rsidR="005D4ABA">
        <w:t xml:space="preserve"> en het Centrum voor Criminaliteitspreventie en Veiligheid (CCV)</w:t>
      </w:r>
      <w:r w:rsidR="00981626">
        <w:t xml:space="preserve">.  </w:t>
      </w:r>
    </w:p>
    <w:p w:rsidR="00981626" w:rsidP="00CC1EDB" w:rsidRDefault="00981626" w14:paraId="4FD00E50" w14:textId="77777777"/>
    <w:p w:rsidR="007B3DCB" w:rsidP="007B3DCB" w:rsidRDefault="005771C5" w14:paraId="5F20D186" w14:textId="2BFF0617">
      <w:r>
        <w:t xml:space="preserve">Daarnaast financiert het ministerie van Justitie en Veiligheid vanuit </w:t>
      </w:r>
      <w:r w:rsidR="001F2975">
        <w:t>PmG</w:t>
      </w:r>
      <w:r w:rsidDel="001F2975" w:rsidR="001F2975">
        <w:t xml:space="preserve"> </w:t>
      </w:r>
      <w:r>
        <w:t xml:space="preserve">het online hulpportaal ‘Keerpunt’. Keerpunt biedt online hulpverlening aan jongeren die het slachtoffer zijn van criminele uitbuiting of vastzitten in de criminaliteit. </w:t>
      </w:r>
      <w:r w:rsidR="00FC2E5B">
        <w:t>O</w:t>
      </w:r>
      <w:r>
        <w:t xml:space="preserve">ok </w:t>
      </w:r>
      <w:r w:rsidR="00FC2E5B">
        <w:t xml:space="preserve">kunnen </w:t>
      </w:r>
      <w:r>
        <w:t xml:space="preserve">mensen uit de omgeving van een jongere </w:t>
      </w:r>
      <w:r w:rsidR="00FC2E5B">
        <w:t xml:space="preserve">bij Keerpunt terecht wanneer </w:t>
      </w:r>
      <w:r>
        <w:t>z</w:t>
      </w:r>
      <w:r w:rsidR="00773B50">
        <w:t>ij</w:t>
      </w:r>
      <w:r>
        <w:t xml:space="preserve"> zich</w:t>
      </w:r>
      <w:r w:rsidR="00FC2E5B">
        <w:t xml:space="preserve"> over diegene</w:t>
      </w:r>
      <w:r>
        <w:t xml:space="preserve"> zorgen maken. </w:t>
      </w:r>
      <w:r w:rsidR="0038243D">
        <w:t xml:space="preserve">Uit het </w:t>
      </w:r>
      <w:r w:rsidRPr="00AD2F68" w:rsidR="007B3DCB">
        <w:t xml:space="preserve">jaarrapport van Keerpunt </w:t>
      </w:r>
      <w:r w:rsidR="00336AD8">
        <w:t xml:space="preserve">blijkt </w:t>
      </w:r>
      <w:r w:rsidRPr="00AD2F68" w:rsidR="007B3DCB">
        <w:t xml:space="preserve">dat </w:t>
      </w:r>
      <w:r w:rsidR="007B3DCB">
        <w:t>online rekrutering met name via social</w:t>
      </w:r>
      <w:r w:rsidR="002D142E">
        <w:t>e</w:t>
      </w:r>
      <w:r w:rsidR="007B3DCB">
        <w:t xml:space="preserve"> media platformen zoals </w:t>
      </w:r>
      <w:r w:rsidRPr="00AD2F68" w:rsidR="007B3DCB">
        <w:t>Snapchat, Telegram en Instagram</w:t>
      </w:r>
      <w:r w:rsidR="007B3DCB">
        <w:t xml:space="preserve"> plaatsvindt</w:t>
      </w:r>
      <w:r w:rsidRPr="00AD2F68" w:rsidR="007B3DCB">
        <w:t xml:space="preserve">. Het specifieke aantal </w:t>
      </w:r>
      <w:r w:rsidR="00AD185C">
        <w:t>is</w:t>
      </w:r>
      <w:r w:rsidR="008238EA">
        <w:t>, zoals eerder benoemd,</w:t>
      </w:r>
      <w:r w:rsidRPr="00AD2F68" w:rsidR="007B3DCB">
        <w:t xml:space="preserve"> echter onbekend. </w:t>
      </w:r>
    </w:p>
    <w:p w:rsidR="007B3DCB" w:rsidP="007B3DCB" w:rsidRDefault="007B3DCB" w14:paraId="7CC47263" w14:textId="77777777"/>
    <w:p w:rsidRPr="00AD2F68" w:rsidR="00CC1EDB" w:rsidP="00B26C5C" w:rsidRDefault="007B3DCB" w14:paraId="78BDAB87" w14:textId="638C61D9">
      <w:pPr>
        <w:contextualSpacing/>
      </w:pPr>
      <w:r>
        <w:t xml:space="preserve">Om meer inzicht te krijgen in de modus operandi van online rekruteren </w:t>
      </w:r>
      <w:r w:rsidR="00ED3C6B">
        <w:t xml:space="preserve">wordt op dit moment </w:t>
      </w:r>
      <w:r>
        <w:t>in opdracht van JenV en het CKM een cyclisch onderzoek uit</w:t>
      </w:r>
      <w:r w:rsidR="00ED3C6B">
        <w:t>gevoerd</w:t>
      </w:r>
      <w:r>
        <w:t xml:space="preserve"> op Telegram en Snapchat. Inzichten uit dit onderzoek worden omgezet naar een handzame factsheet en word</w:t>
      </w:r>
      <w:r w:rsidR="00336AD8">
        <w:t>en</w:t>
      </w:r>
      <w:r>
        <w:t xml:space="preserve"> halfjaarlijks gedeeld met de gemeenten, zorg-, sociaal en veiligheidspartners en opsporingsdiensten. De eerste landelijke factsheet wordt voor de zomer van 2026 verwacht.</w:t>
      </w:r>
    </w:p>
    <w:p w:rsidR="00CC1EDB" w:rsidP="009E2880" w:rsidRDefault="00CC1EDB" w14:paraId="5A18894E" w14:textId="77777777">
      <w:pPr>
        <w:rPr>
          <w:b/>
          <w:bCs/>
        </w:rPr>
      </w:pPr>
    </w:p>
    <w:p w:rsidR="009E2880" w:rsidP="009E2880" w:rsidRDefault="000C49E8" w14:paraId="446C1AA3" w14:textId="3E446D0D">
      <w:pPr>
        <w:rPr>
          <w:b/>
          <w:bCs/>
        </w:rPr>
      </w:pPr>
      <w:r>
        <w:rPr>
          <w:b/>
          <w:bCs/>
        </w:rPr>
        <w:t xml:space="preserve">Vraag </w:t>
      </w:r>
      <w:r w:rsidRPr="009E2880" w:rsidR="009E2880">
        <w:rPr>
          <w:b/>
          <w:bCs/>
        </w:rPr>
        <w:t xml:space="preserve">4 </w:t>
      </w:r>
    </w:p>
    <w:p w:rsidRPr="009E2880" w:rsidR="009E2880" w:rsidP="009E2880" w:rsidRDefault="009E2880" w14:paraId="63C34E91" w14:textId="1E191CA1">
      <w:pPr>
        <w:rPr>
          <w:b/>
          <w:bCs/>
        </w:rPr>
      </w:pPr>
      <w:r w:rsidRPr="009E2880">
        <w:rPr>
          <w:b/>
          <w:bCs/>
        </w:rPr>
        <w:t>Klopt het dat jongeren vaak beginnen met ogenschijnlijk kleine en laagdrempelige klusjes, maar vervolgens via druk, chantage en intimidatie worden vastgezet in zwaardere criminaliteit?</w:t>
      </w:r>
    </w:p>
    <w:p w:rsidR="009E2880" w:rsidP="009E2880" w:rsidRDefault="009E2880" w14:paraId="70CE21E1" w14:textId="77777777">
      <w:pPr>
        <w:rPr>
          <w:b/>
          <w:bCs/>
        </w:rPr>
      </w:pPr>
    </w:p>
    <w:p w:rsidRPr="000C49E8" w:rsidR="000C49E8" w:rsidP="00C65FA1" w:rsidRDefault="000C49E8" w14:paraId="250C2F76" w14:textId="77777777">
      <w:pPr>
        <w:rPr>
          <w:b/>
          <w:bCs/>
        </w:rPr>
      </w:pPr>
      <w:r w:rsidRPr="000C49E8">
        <w:rPr>
          <w:b/>
          <w:bCs/>
        </w:rPr>
        <w:t>Antwoord op vraag 4</w:t>
      </w:r>
    </w:p>
    <w:p w:rsidRPr="00C65FA1" w:rsidR="00C65FA1" w:rsidP="00C65FA1" w:rsidRDefault="00D37F8D" w14:paraId="6A5682ED" w14:textId="1116717B">
      <w:r>
        <w:t>Landelijke cijfermatige onderbouwing van deze aanname ontbreekt.</w:t>
      </w:r>
      <w:r w:rsidRPr="00C65FA1" w:rsidR="00C65FA1">
        <w:t xml:space="preserve"> </w:t>
      </w:r>
      <w:r w:rsidR="00336AD8">
        <w:t>De eerdergenoemde onderzoeken zullen hier meer zicht op geven.</w:t>
      </w:r>
    </w:p>
    <w:p w:rsidR="00C65FA1" w:rsidP="009E2880" w:rsidRDefault="00C65FA1" w14:paraId="21F44384" w14:textId="77777777">
      <w:pPr>
        <w:rPr>
          <w:b/>
          <w:bCs/>
        </w:rPr>
      </w:pPr>
    </w:p>
    <w:p w:rsidR="009E2880" w:rsidP="009E2880" w:rsidRDefault="000C49E8" w14:paraId="4A883ECA" w14:textId="6682D05A">
      <w:pPr>
        <w:rPr>
          <w:b/>
          <w:bCs/>
        </w:rPr>
      </w:pPr>
      <w:r>
        <w:rPr>
          <w:b/>
          <w:bCs/>
        </w:rPr>
        <w:t xml:space="preserve">Vraag </w:t>
      </w:r>
      <w:r w:rsidRPr="009E2880" w:rsidR="009E2880">
        <w:rPr>
          <w:b/>
          <w:bCs/>
        </w:rPr>
        <w:t xml:space="preserve">5 </w:t>
      </w:r>
    </w:p>
    <w:p w:rsidRPr="009E2880" w:rsidR="009E2880" w:rsidP="009E2880" w:rsidRDefault="009E2880" w14:paraId="56A9F7ED" w14:textId="2EF6BB9D">
      <w:pPr>
        <w:rPr>
          <w:b/>
          <w:bCs/>
        </w:rPr>
      </w:pPr>
      <w:r w:rsidRPr="009E2880">
        <w:rPr>
          <w:b/>
          <w:bCs/>
        </w:rPr>
        <w:t xml:space="preserve">In hoeverre is het huidige jeugdzorgstelsel zó ingericht dat signalen van criminele verleiding, online </w:t>
      </w:r>
      <w:proofErr w:type="spellStart"/>
      <w:r w:rsidRPr="009E2880">
        <w:rPr>
          <w:b/>
          <w:bCs/>
        </w:rPr>
        <w:t>ronseling</w:t>
      </w:r>
      <w:proofErr w:type="spellEnd"/>
      <w:r w:rsidRPr="009E2880">
        <w:rPr>
          <w:b/>
          <w:bCs/>
        </w:rPr>
        <w:t xml:space="preserve"> en normvervaging bij jongeren structureel en tijdig worden opgepikt en welke randvoorwaarden (zoals informatie-uitwisseling, capaciteit en expertise) spelen daarbij een rol?</w:t>
      </w:r>
    </w:p>
    <w:p w:rsidR="009E2880" w:rsidP="009E2880" w:rsidRDefault="009E2880" w14:paraId="3F3D54AE" w14:textId="77777777">
      <w:pPr>
        <w:rPr>
          <w:b/>
          <w:bCs/>
        </w:rPr>
      </w:pPr>
    </w:p>
    <w:p w:rsidRPr="000C49E8" w:rsidR="000C49E8" w:rsidP="00D44286" w:rsidRDefault="000C49E8" w14:paraId="484D2B46" w14:textId="77777777">
      <w:pPr>
        <w:rPr>
          <w:b/>
          <w:bCs/>
        </w:rPr>
      </w:pPr>
      <w:r w:rsidRPr="000C49E8">
        <w:rPr>
          <w:b/>
          <w:bCs/>
        </w:rPr>
        <w:t>Antwoord op vraag 5</w:t>
      </w:r>
    </w:p>
    <w:p w:rsidR="00D44286" w:rsidP="00D44286" w:rsidRDefault="005B7985" w14:paraId="364513FF" w14:textId="520FEEE8">
      <w:r w:rsidRPr="00111427">
        <w:t xml:space="preserve">Het jeugdzorgstelsel is gedecentraliseerd, waarbij gemeenten op basis van de jeugdwet </w:t>
      </w:r>
      <w:r>
        <w:t xml:space="preserve">volledig </w:t>
      </w:r>
      <w:r w:rsidRPr="00111427">
        <w:t xml:space="preserve">verantwoordelijk zijn voor </w:t>
      </w:r>
      <w:r>
        <w:t xml:space="preserve">de organisatie van alle jeugdhulp, </w:t>
      </w:r>
      <w:r w:rsidRPr="00111427">
        <w:t xml:space="preserve">jeugdbescherming en jeugdreclassering. </w:t>
      </w:r>
      <w:r>
        <w:t xml:space="preserve">De uitvoering gebeurt door het inkopen van zorg bij jeugdhulpaanbieders en gecertificeerde instellingen of via lokale wijkteams. </w:t>
      </w:r>
    </w:p>
    <w:p w:rsidR="00FC2E5B" w:rsidP="00D44286" w:rsidRDefault="00FC2E5B" w14:paraId="366F961B" w14:textId="77777777"/>
    <w:p w:rsidR="00D44286" w:rsidP="00D44286" w:rsidRDefault="00D44286" w14:paraId="131CDC0E" w14:textId="4484D1C0">
      <w:r w:rsidRPr="00111427">
        <w:t xml:space="preserve">Bij </w:t>
      </w:r>
      <w:r w:rsidR="002972A8">
        <w:t xml:space="preserve">bewustwording over en </w:t>
      </w:r>
      <w:r w:rsidRPr="00111427">
        <w:t xml:space="preserve">het signaleren van </w:t>
      </w:r>
      <w:r>
        <w:t xml:space="preserve">normvervaging en </w:t>
      </w:r>
      <w:r w:rsidRPr="00111427">
        <w:t xml:space="preserve">afglijden </w:t>
      </w:r>
      <w:r>
        <w:t xml:space="preserve">van jongeren in een kwetsbare positie </w:t>
      </w:r>
      <w:r w:rsidRPr="00111427">
        <w:t>naar criminaliteit</w:t>
      </w:r>
      <w:r w:rsidR="00DF7E94">
        <w:t xml:space="preserve">, </w:t>
      </w:r>
      <w:r w:rsidRPr="00111427">
        <w:t xml:space="preserve">spelen </w:t>
      </w:r>
      <w:r>
        <w:t>de</w:t>
      </w:r>
      <w:r w:rsidRPr="00111427">
        <w:t xml:space="preserve"> werkgevers </w:t>
      </w:r>
      <w:r>
        <w:t xml:space="preserve">in het jeugdzorgstel </w:t>
      </w:r>
      <w:r w:rsidRPr="00111427">
        <w:t>een belangrijke rol</w:t>
      </w:r>
      <w:r>
        <w:t>, omdat zij verantwoordelijk zijn voor de (bij)scholing en professionalisering van hun werknemers die jongeren begeleiden</w:t>
      </w:r>
      <w:r w:rsidRPr="00111427">
        <w:t xml:space="preserve">. </w:t>
      </w:r>
    </w:p>
    <w:p w:rsidR="00D44286" w:rsidP="00D44286" w:rsidRDefault="00D44286" w14:paraId="5532C453" w14:textId="77777777"/>
    <w:p w:rsidR="00D9152F" w:rsidP="00D44286" w:rsidRDefault="00D44286" w14:paraId="52C79A49" w14:textId="194B5BED">
      <w:r w:rsidRPr="00F02FFC">
        <w:t xml:space="preserve">Jeugdprofessionals worden </w:t>
      </w:r>
      <w:r>
        <w:t>hier</w:t>
      </w:r>
      <w:r w:rsidRPr="00F02FFC">
        <w:t>bij onder ander</w:t>
      </w:r>
      <w:r w:rsidR="00D9152F">
        <w:t>e</w:t>
      </w:r>
      <w:r w:rsidRPr="00F02FFC">
        <w:t xml:space="preserve"> geholpen door het Centrum voor Criminaliteitspreventie en Veiligheid</w:t>
      </w:r>
      <w:r>
        <w:t xml:space="preserve"> (CCV)</w:t>
      </w:r>
      <w:r w:rsidRPr="00F02FFC">
        <w:t xml:space="preserve">. Onlangs </w:t>
      </w:r>
      <w:r>
        <w:t>heeft het CCV</w:t>
      </w:r>
      <w:r w:rsidRPr="00F02FFC">
        <w:t xml:space="preserve"> </w:t>
      </w:r>
      <w:r w:rsidR="006E226D">
        <w:t xml:space="preserve">voor professionals </w:t>
      </w:r>
      <w:r w:rsidRPr="00F02FFC">
        <w:t xml:space="preserve">een lijst met ‘rode vlaggen’ </w:t>
      </w:r>
      <w:r w:rsidR="008F65E5">
        <w:t>gepubliceerd</w:t>
      </w:r>
      <w:r w:rsidR="006E226D">
        <w:t xml:space="preserve">. In deze lijst staan </w:t>
      </w:r>
      <w:r w:rsidR="008F65E5">
        <w:t>risicosignale</w:t>
      </w:r>
      <w:r w:rsidR="00336AD8">
        <w:t>n</w:t>
      </w:r>
      <w:r w:rsidR="00D9152F">
        <w:t>, zowel in de online als offline wereld</w:t>
      </w:r>
      <w:r w:rsidR="00931618">
        <w:t>, die erop kunnen wijzen dat een jongere afglijdt naar de criminaliteit</w:t>
      </w:r>
      <w:r w:rsidR="00D9152F">
        <w:t>.</w:t>
      </w:r>
    </w:p>
    <w:p w:rsidRPr="00AD185C" w:rsidR="00D37F8D" w:rsidP="009E2880" w:rsidRDefault="008F65E5" w14:paraId="4E4A798B" w14:textId="7CDBC4B8">
      <w:r>
        <w:t xml:space="preserve">  </w:t>
      </w:r>
    </w:p>
    <w:p w:rsidR="009E2880" w:rsidP="009E2880" w:rsidRDefault="000C49E8" w14:paraId="5680D471" w14:textId="31E41E30">
      <w:pPr>
        <w:rPr>
          <w:b/>
          <w:bCs/>
        </w:rPr>
      </w:pPr>
      <w:r>
        <w:rPr>
          <w:b/>
          <w:bCs/>
        </w:rPr>
        <w:t xml:space="preserve">Vraag </w:t>
      </w:r>
      <w:r w:rsidRPr="009E2880" w:rsidR="009E2880">
        <w:rPr>
          <w:b/>
          <w:bCs/>
        </w:rPr>
        <w:t xml:space="preserve">6 </w:t>
      </w:r>
    </w:p>
    <w:p w:rsidRPr="009E2880" w:rsidR="009E2880" w:rsidP="009E2880" w:rsidRDefault="009E2880" w14:paraId="5199247A" w14:textId="2EE65CBF">
      <w:pPr>
        <w:rPr>
          <w:b/>
          <w:bCs/>
        </w:rPr>
      </w:pPr>
      <w:r w:rsidRPr="009E2880">
        <w:rPr>
          <w:b/>
          <w:bCs/>
        </w:rPr>
        <w:t xml:space="preserve">In hoeverre worden jeugdzorgprofessionals en andere betrokken hulpverleners structureel geschoold in het herkennen van signalen van criminele uitbuiting en online </w:t>
      </w:r>
      <w:proofErr w:type="spellStart"/>
      <w:r w:rsidRPr="009E2880">
        <w:rPr>
          <w:b/>
          <w:bCs/>
        </w:rPr>
        <w:t>ronseling</w:t>
      </w:r>
      <w:proofErr w:type="spellEnd"/>
      <w:r w:rsidRPr="009E2880">
        <w:rPr>
          <w:b/>
          <w:bCs/>
        </w:rPr>
        <w:t xml:space="preserve"> van jongeren en in hoeverre wordt daarbij aangesloten bij bestaande expertise en werkwijzen, zoals die zijn ontwikkeld in de aanpak van loverboys en mensenhandel?</w:t>
      </w:r>
    </w:p>
    <w:p w:rsidR="00C11261" w:rsidP="00587D1A" w:rsidRDefault="00C11261" w14:paraId="12906745" w14:textId="77777777"/>
    <w:p w:rsidRPr="000C49E8" w:rsidR="000C49E8" w:rsidP="00587D1A" w:rsidRDefault="000C49E8" w14:paraId="22B341A2" w14:textId="77777777">
      <w:pPr>
        <w:rPr>
          <w:b/>
          <w:bCs/>
        </w:rPr>
      </w:pPr>
      <w:r w:rsidRPr="000C49E8">
        <w:rPr>
          <w:b/>
          <w:bCs/>
        </w:rPr>
        <w:t>Antwoord op vraag 6</w:t>
      </w:r>
    </w:p>
    <w:p w:rsidR="00587D1A" w:rsidP="00587D1A" w:rsidRDefault="00587D1A" w14:paraId="5BAFEE94" w14:textId="579FA614">
      <w:r w:rsidRPr="00FA182C">
        <w:t xml:space="preserve">In het </w:t>
      </w:r>
      <w:r>
        <w:t>kader van het A</w:t>
      </w:r>
      <w:r w:rsidRPr="00FA182C">
        <w:t xml:space="preserve">ctieplan Samen tegen Mensenhandel </w:t>
      </w:r>
      <w:r>
        <w:t xml:space="preserve">werken </w:t>
      </w:r>
      <w:proofErr w:type="spellStart"/>
      <w:r w:rsidRPr="002750D2">
        <w:t>Defence</w:t>
      </w:r>
      <w:proofErr w:type="spellEnd"/>
      <w:r w:rsidRPr="002750D2">
        <w:t xml:space="preserve"> </w:t>
      </w:r>
      <w:proofErr w:type="spellStart"/>
      <w:r w:rsidRPr="002750D2">
        <w:t>for</w:t>
      </w:r>
      <w:proofErr w:type="spellEnd"/>
      <w:r w:rsidRPr="002750D2">
        <w:t xml:space="preserve"> </w:t>
      </w:r>
      <w:proofErr w:type="spellStart"/>
      <w:r w:rsidRPr="002750D2">
        <w:t>Children</w:t>
      </w:r>
      <w:proofErr w:type="spellEnd"/>
      <w:r w:rsidRPr="002750D2">
        <w:t xml:space="preserve">-ECPAT, Rode Kruis en FIER </w:t>
      </w:r>
      <w:r>
        <w:t>aan meer inzicht en bewustwording bij professionals gericht op de signalering en</w:t>
      </w:r>
      <w:r w:rsidR="008F65E5">
        <w:t xml:space="preserve"> bewustwording van</w:t>
      </w:r>
      <w:r>
        <w:t xml:space="preserve"> jeugdige slachtoffers van mensenhandel. D</w:t>
      </w:r>
      <w:r w:rsidRPr="00FA182C">
        <w:t xml:space="preserve">oor middel van een campagne, </w:t>
      </w:r>
      <w:r w:rsidRPr="00FA182C">
        <w:rPr>
          <w:i/>
          <w:iCs/>
        </w:rPr>
        <w:t>(#GeenBuit</w:t>
      </w:r>
      <w:r w:rsidRPr="00FA182C">
        <w:t>) e-</w:t>
      </w:r>
      <w:proofErr w:type="spellStart"/>
      <w:r w:rsidRPr="00FA182C">
        <w:t>learning</w:t>
      </w:r>
      <w:proofErr w:type="spellEnd"/>
      <w:r w:rsidRPr="00FA182C">
        <w:t xml:space="preserve"> (</w:t>
      </w:r>
      <w:r w:rsidRPr="00FA182C">
        <w:rPr>
          <w:i/>
          <w:iCs/>
        </w:rPr>
        <w:t>BUIT)</w:t>
      </w:r>
      <w:r w:rsidRPr="00FA182C">
        <w:t xml:space="preserve"> en</w:t>
      </w:r>
      <w:r w:rsidR="008F65E5">
        <w:t xml:space="preserve"> een</w:t>
      </w:r>
      <w:r w:rsidRPr="00FA182C">
        <w:t xml:space="preserve"> verdiepende </w:t>
      </w:r>
      <w:r>
        <w:t xml:space="preserve">(maatwerk) </w:t>
      </w:r>
      <w:r w:rsidRPr="00FA182C">
        <w:t xml:space="preserve">training </w:t>
      </w:r>
      <w:r>
        <w:t xml:space="preserve">zijn in totaal circa 200.000 professionals bereikt </w:t>
      </w:r>
      <w:r w:rsidRPr="00FA182C">
        <w:t>in de jeugdzorg, de migratieketen, politie, welzijn en onderwijs</w:t>
      </w:r>
      <w:r>
        <w:t xml:space="preserve">. </w:t>
      </w:r>
      <w:r w:rsidRPr="00FA182C">
        <w:t xml:space="preserve">Sinds april 2025 is aanvullend ingezet op bewustwording en signalering van mensenhandel op scholen (het voortgezet onderwijs en het middelbaar beroepsonderwijs) onder de noemer </w:t>
      </w:r>
      <w:r w:rsidR="00A7007F">
        <w:t>‘</w:t>
      </w:r>
      <w:r w:rsidRPr="00FA182C">
        <w:t>Uitbuiting (niet) op school</w:t>
      </w:r>
      <w:r w:rsidR="00A7007F">
        <w:t>’</w:t>
      </w:r>
      <w:r w:rsidRPr="00FA182C">
        <w:t>. Het aanbod bestaa</w:t>
      </w:r>
      <w:r w:rsidR="00A7007F">
        <w:t>t</w:t>
      </w:r>
      <w:r w:rsidRPr="00FA182C">
        <w:t xml:space="preserve"> uit een maatwerktraining, </w:t>
      </w:r>
      <w:proofErr w:type="spellStart"/>
      <w:r w:rsidRPr="00FA182C">
        <w:t>toolkit</w:t>
      </w:r>
      <w:proofErr w:type="spellEnd"/>
      <w:r w:rsidRPr="00FA182C">
        <w:t xml:space="preserve"> en vernieuwde signalenkaart</w:t>
      </w:r>
      <w:r w:rsidR="00A7007F">
        <w:t xml:space="preserve">. </w:t>
      </w:r>
    </w:p>
    <w:p w:rsidR="008F65E5" w:rsidP="00587D1A" w:rsidRDefault="008F65E5" w14:paraId="37212AA7" w14:textId="77777777"/>
    <w:p w:rsidRPr="00E335C6" w:rsidR="000F60CC" w:rsidP="009E2880" w:rsidRDefault="008F65E5" w14:paraId="0037324C" w14:textId="2AFF7071">
      <w:pPr>
        <w:rPr>
          <w:bCs/>
        </w:rPr>
      </w:pPr>
      <w:r w:rsidRPr="00341238">
        <w:rPr>
          <w:bCs/>
        </w:rPr>
        <w:t>Deze interventies zij</w:t>
      </w:r>
      <w:r>
        <w:rPr>
          <w:bCs/>
        </w:rPr>
        <w:t>n</w:t>
      </w:r>
      <w:r w:rsidRPr="00341238">
        <w:rPr>
          <w:bCs/>
        </w:rPr>
        <w:t xml:space="preserve"> onderdeel van de brede aanpak van mensenhandel, </w:t>
      </w:r>
      <w:r>
        <w:rPr>
          <w:bCs/>
        </w:rPr>
        <w:t>gecoördineerd vanuit het ministerie van Justitie en Veiligheid. Zo richt de eerder genoemde interventie die zorgt voor inzicht en bewustwording bij professionals op het gebied van jeugdige slachtoffers van mensenhandel zich op zowel criminele uitbuiting als seksuele uitbuiting.</w:t>
      </w:r>
      <w:r w:rsidR="0032798B">
        <w:rPr>
          <w:bCs/>
        </w:rPr>
        <w:t xml:space="preserve"> Op deze manier wordt aansluiting gezocht bij bestaande expertise en werkwijzen.</w:t>
      </w:r>
    </w:p>
    <w:p w:rsidR="00587D1A" w:rsidP="009E2880" w:rsidRDefault="00587D1A" w14:paraId="25FFA6D5" w14:textId="77777777">
      <w:pPr>
        <w:rPr>
          <w:b/>
          <w:bCs/>
        </w:rPr>
      </w:pPr>
    </w:p>
    <w:p w:rsidR="009E2880" w:rsidP="009E2880" w:rsidRDefault="000C49E8" w14:paraId="034D5666" w14:textId="27E0D667">
      <w:pPr>
        <w:rPr>
          <w:b/>
          <w:bCs/>
        </w:rPr>
      </w:pPr>
      <w:r>
        <w:rPr>
          <w:b/>
          <w:bCs/>
        </w:rPr>
        <w:t xml:space="preserve">Vraag </w:t>
      </w:r>
      <w:r w:rsidRPr="009E2880" w:rsidR="009E2880">
        <w:rPr>
          <w:b/>
          <w:bCs/>
        </w:rPr>
        <w:t xml:space="preserve">7 </w:t>
      </w:r>
    </w:p>
    <w:p w:rsidR="009E2880" w:rsidP="009E2880" w:rsidRDefault="009E2880" w14:paraId="7B192CF1" w14:textId="7DCED84F">
      <w:pPr>
        <w:rPr>
          <w:b/>
          <w:bCs/>
        </w:rPr>
      </w:pPr>
      <w:r w:rsidRPr="009E2880">
        <w:rPr>
          <w:b/>
          <w:bCs/>
        </w:rPr>
        <w:t>Hoe is de samenwerking en informatie-uitwisseling georganiseerd tussen politie, jeugdzorg, scholen en jongerenwerk wanneer signalen bestaan dat jongeren online worden benaderd voor criminele activiteiten en waar worden in de praktijk knelpunten ervaren?</w:t>
      </w:r>
    </w:p>
    <w:p w:rsidR="00511ABB" w:rsidP="009E2880" w:rsidRDefault="00511ABB" w14:paraId="600C0D81" w14:textId="77777777">
      <w:pPr>
        <w:rPr>
          <w:b/>
          <w:bCs/>
        </w:rPr>
      </w:pPr>
    </w:p>
    <w:p w:rsidRPr="000C49E8" w:rsidR="000C49E8" w:rsidP="00F53F4D" w:rsidRDefault="000C49E8" w14:paraId="7761F70F" w14:textId="77777777">
      <w:pPr>
        <w:rPr>
          <w:b/>
          <w:bCs/>
        </w:rPr>
      </w:pPr>
      <w:r w:rsidRPr="000C49E8">
        <w:rPr>
          <w:b/>
          <w:bCs/>
        </w:rPr>
        <w:t>Antwoord op vraag 7</w:t>
      </w:r>
    </w:p>
    <w:p w:rsidRPr="00CC1A4E" w:rsidR="00F53F4D" w:rsidP="00F53F4D" w:rsidRDefault="00511ABB" w14:paraId="4353F456" w14:textId="5BFF9773">
      <w:r w:rsidRPr="00CC1A4E">
        <w:t xml:space="preserve">Gemeenten geven </w:t>
      </w:r>
      <w:r w:rsidR="00CC1A4E">
        <w:t>lokaal</w:t>
      </w:r>
      <w:r w:rsidRPr="00CC1A4E">
        <w:t xml:space="preserve"> invulling aan de samenwerking tussen partijen als politie, jeugdzorg, scholen en jongerenwerk. Afhankelijk van de </w:t>
      </w:r>
      <w:r w:rsidR="00CC1A4E">
        <w:t xml:space="preserve">lokale </w:t>
      </w:r>
      <w:r w:rsidRPr="00CC1A4E">
        <w:t xml:space="preserve">verschillen is de samenwerking en informatie-uitwisseling georganiseerd. </w:t>
      </w:r>
      <w:r>
        <w:t xml:space="preserve">Een goede samenwerking en uitwisseling van signalen van bovenstaande partijen is belangrijk om </w:t>
      </w:r>
      <w:r w:rsidR="00CC1A4E">
        <w:t xml:space="preserve">preventief en repressief </w:t>
      </w:r>
      <w:r>
        <w:t>signalen van ronsel</w:t>
      </w:r>
      <w:r w:rsidR="00CC1A4E">
        <w:t>en</w:t>
      </w:r>
      <w:r>
        <w:t xml:space="preserve"> te herkennen</w:t>
      </w:r>
      <w:r w:rsidR="00CC1A4E">
        <w:t>.</w:t>
      </w:r>
    </w:p>
    <w:p w:rsidR="005D4ABA" w:rsidP="00F53F4D" w:rsidRDefault="005D4ABA" w14:paraId="02519DA3" w14:textId="77777777">
      <w:pPr>
        <w:rPr>
          <w:b/>
          <w:bCs/>
        </w:rPr>
      </w:pPr>
    </w:p>
    <w:p w:rsidRPr="00F53F4D" w:rsidR="003F5CB8" w:rsidP="003F5CB8" w:rsidRDefault="00090CA8" w14:paraId="06AB8367" w14:textId="6A513D77">
      <w:r>
        <w:t>PmG draagt bij aan het versterken van de</w:t>
      </w:r>
      <w:r w:rsidRPr="00F53F4D" w:rsidR="003F5CB8">
        <w:t xml:space="preserve"> </w:t>
      </w:r>
      <w:r w:rsidR="008F65E5">
        <w:t xml:space="preserve">lokale </w:t>
      </w:r>
      <w:r w:rsidRPr="00F53F4D" w:rsidR="00DF7E94">
        <w:t>domein</w:t>
      </w:r>
      <w:r w:rsidR="001F2975">
        <w:t>-</w:t>
      </w:r>
      <w:r w:rsidRPr="00F53F4D" w:rsidR="00DF7E94">
        <w:t>overstijgende</w:t>
      </w:r>
      <w:r w:rsidRPr="00F53F4D" w:rsidR="003F5CB8">
        <w:t xml:space="preserve"> samenwerking tussen</w:t>
      </w:r>
      <w:r>
        <w:t xml:space="preserve"> het sociaal domein (</w:t>
      </w:r>
      <w:r w:rsidRPr="00F53F4D" w:rsidR="003F5CB8">
        <w:t>gemeenten</w:t>
      </w:r>
      <w:r w:rsidR="008F65E5">
        <w:t>, zorg- en onderwijspartners</w:t>
      </w:r>
      <w:r>
        <w:t xml:space="preserve">) en justitiepartners </w:t>
      </w:r>
      <w:r w:rsidR="005D4ABA">
        <w:t>op het gebied van preventie</w:t>
      </w:r>
      <w:r w:rsidR="00F33CA7">
        <w:t>.</w:t>
      </w:r>
      <w:r>
        <w:t xml:space="preserve"> Doel is hierbij om te voorkomen dat jongeren in aanraking komen met justitie </w:t>
      </w:r>
      <w:proofErr w:type="spellStart"/>
      <w:r>
        <w:t>danwel</w:t>
      </w:r>
      <w:proofErr w:type="spellEnd"/>
      <w:r>
        <w:t xml:space="preserve"> doorgroeien in de criminaliteit</w:t>
      </w:r>
      <w:r w:rsidRPr="00F53F4D" w:rsidR="003F5CB8">
        <w:t xml:space="preserve">. </w:t>
      </w:r>
      <w:r w:rsidR="006E226D">
        <w:t xml:space="preserve">In iedere PmG-gemeente vinden er </w:t>
      </w:r>
      <w:r w:rsidR="004C512B">
        <w:t>multidisciplinaire</w:t>
      </w:r>
      <w:r w:rsidR="006E226D">
        <w:t xml:space="preserve"> </w:t>
      </w:r>
      <w:proofErr w:type="spellStart"/>
      <w:r w:rsidR="006E226D">
        <w:t>casusoverleggen</w:t>
      </w:r>
      <w:proofErr w:type="spellEnd"/>
      <w:r w:rsidR="006E226D">
        <w:t xml:space="preserve"> plaats, bijvoorbeeld</w:t>
      </w:r>
      <w:r w:rsidR="00E335C6">
        <w:t xml:space="preserve"> s</w:t>
      </w:r>
      <w:r w:rsidRPr="00F53F4D" w:rsidR="003F5CB8">
        <w:t>ignaal</w:t>
      </w:r>
      <w:r w:rsidR="00DF7E94">
        <w:t>-</w:t>
      </w:r>
      <w:r w:rsidRPr="00F53F4D" w:rsidR="003F5CB8">
        <w:t>overleggen op scholen in het kader van de veiligheid rond en om school in gemeenten</w:t>
      </w:r>
      <w:r w:rsidR="003F5CB8">
        <w:t xml:space="preserve">, (preventieve) </w:t>
      </w:r>
      <w:r w:rsidRPr="007F2055" w:rsidR="003F5CB8">
        <w:t>persoonsgerichte aanpakken</w:t>
      </w:r>
      <w:r w:rsidR="003F5CB8">
        <w:t xml:space="preserve"> en/of aanpak van complexe problematiek in een Zorg- en Veiligheidshuis</w:t>
      </w:r>
      <w:r w:rsidRPr="00F53F4D" w:rsidR="003F5CB8">
        <w:t xml:space="preserve">. </w:t>
      </w:r>
      <w:r w:rsidR="00293E87">
        <w:t>A</w:t>
      </w:r>
      <w:r w:rsidR="003F5CB8">
        <w:t xml:space="preserve">fhankelijk van </w:t>
      </w:r>
      <w:r w:rsidR="00293E87">
        <w:t>de casuïstiek</w:t>
      </w:r>
      <w:r w:rsidR="003F5CB8">
        <w:t xml:space="preserve"> </w:t>
      </w:r>
      <w:r w:rsidRPr="00F53F4D" w:rsidR="003F5CB8">
        <w:t>sluiten verschillende partners aan</w:t>
      </w:r>
      <w:r w:rsidR="003F5CB8">
        <w:t>,</w:t>
      </w:r>
      <w:r w:rsidRPr="00F53F4D" w:rsidR="003F5CB8">
        <w:t xml:space="preserve"> zoals jongerenwerkers, school, politie</w:t>
      </w:r>
      <w:r w:rsidR="003F5CB8">
        <w:t>, reclassering</w:t>
      </w:r>
      <w:r w:rsidRPr="00F53F4D" w:rsidR="003F5CB8">
        <w:t xml:space="preserve"> en gemeente. </w:t>
      </w:r>
    </w:p>
    <w:p w:rsidR="00AD185C" w:rsidP="003F5CB8" w:rsidRDefault="00AD185C" w14:paraId="0174B968" w14:textId="77777777"/>
    <w:p w:rsidR="00727C78" w:rsidP="003F5CB8" w:rsidRDefault="00727C78" w14:paraId="603A6274" w14:textId="1616BD9C">
      <w:r w:rsidRPr="00CA6EBA">
        <w:t xml:space="preserve">Het is belangrijk om tijdig signalen te delen om </w:t>
      </w:r>
      <w:r w:rsidR="00917E4F">
        <w:t xml:space="preserve">verder </w:t>
      </w:r>
      <w:r w:rsidRPr="00CA6EBA">
        <w:t xml:space="preserve">afglijden te voorkomen. Om die reden wordt in opdracht van de minister van Justitie en Veiligheid gewerkt aan een handreiking om gemeenten meer houvast te geven bij het organiseren van </w:t>
      </w:r>
      <w:proofErr w:type="spellStart"/>
      <w:r w:rsidRPr="00CA6EBA">
        <w:t>vroegsignalering</w:t>
      </w:r>
      <w:proofErr w:type="spellEnd"/>
      <w:r w:rsidRPr="00CA6EBA">
        <w:t xml:space="preserve"> die rechtmatig, zorgvuldig en met oog voor de rechten van jongeren en hun ouders wordt uitgevoerd. De verwachting is dat deze in de eerste helft van 2026 gereed zal zijn en beschikbaar komt voor alle gemeenten.</w:t>
      </w:r>
    </w:p>
    <w:p w:rsidRPr="00B33968" w:rsidR="00AD185C" w:rsidP="009E2880" w:rsidRDefault="003F5CB8" w14:paraId="7DBB6F2D" w14:textId="12B7B981">
      <w:r>
        <w:t>In antwoord op Kamervragen ten behoeve van het schriftelijk overleg Nationaal Programma Leefbaarheid en Veiligheid van 30 september 2025 is op het punt van het delen van informatie uitgebreid ingegaan.</w:t>
      </w:r>
      <w:r w:rsidR="00D85EC4">
        <w:rPr>
          <w:rStyle w:val="Voetnootmarkering"/>
        </w:rPr>
        <w:footnoteReference w:id="1"/>
      </w:r>
      <w:r>
        <w:t xml:space="preserve"> </w:t>
      </w:r>
      <w:bookmarkStart w:name="_Hlk224204590" w:id="4"/>
    </w:p>
    <w:p w:rsidR="00AD185C" w:rsidP="009E2880" w:rsidRDefault="00AD185C" w14:paraId="46D0804D" w14:textId="77777777">
      <w:pPr>
        <w:rPr>
          <w:b/>
          <w:bCs/>
        </w:rPr>
      </w:pPr>
    </w:p>
    <w:p w:rsidR="009E2880" w:rsidP="009E2880" w:rsidRDefault="000C49E8" w14:paraId="032393B1" w14:textId="327DC3C1">
      <w:pPr>
        <w:rPr>
          <w:b/>
          <w:bCs/>
        </w:rPr>
      </w:pPr>
      <w:r>
        <w:rPr>
          <w:b/>
          <w:bCs/>
        </w:rPr>
        <w:t xml:space="preserve">Vraag </w:t>
      </w:r>
      <w:r w:rsidRPr="009E2880" w:rsidR="009E2880">
        <w:rPr>
          <w:b/>
          <w:bCs/>
        </w:rPr>
        <w:t xml:space="preserve">8 </w:t>
      </w:r>
    </w:p>
    <w:p w:rsidR="009E2880" w:rsidP="009E2880" w:rsidRDefault="009E2880" w14:paraId="0FDE047A" w14:textId="60CF1348">
      <w:pPr>
        <w:rPr>
          <w:b/>
          <w:bCs/>
        </w:rPr>
      </w:pPr>
      <w:r w:rsidRPr="009E2880">
        <w:rPr>
          <w:b/>
          <w:bCs/>
        </w:rPr>
        <w:t>Acht u de huidige strafrechtelijke mogelijkheden en handhavingsinstrumenten voldoende effectief om ronselaars en opdrachtgevers die minderjarigen inzetten voor criminele activiteiten op te sporen en hard aan te pakken? Zo nee, waar schieten deze volgens u tekort?</w:t>
      </w:r>
    </w:p>
    <w:p w:rsidR="008046C6" w:rsidP="009E2880" w:rsidRDefault="008046C6" w14:paraId="483631AF" w14:textId="77777777">
      <w:pPr>
        <w:rPr>
          <w:b/>
          <w:bCs/>
        </w:rPr>
      </w:pPr>
    </w:p>
    <w:p w:rsidRPr="000C49E8" w:rsidR="000C49E8" w:rsidP="00917E4F" w:rsidRDefault="000C49E8" w14:paraId="5F80583D" w14:textId="77777777">
      <w:pPr>
        <w:rPr>
          <w:b/>
          <w:bCs/>
        </w:rPr>
      </w:pPr>
      <w:r w:rsidRPr="000C49E8">
        <w:rPr>
          <w:b/>
          <w:bCs/>
        </w:rPr>
        <w:t>Antwoord op vraag 8</w:t>
      </w:r>
    </w:p>
    <w:p w:rsidRPr="009E2880" w:rsidR="00917E4F" w:rsidP="00917E4F" w:rsidRDefault="00917E4F" w14:paraId="02AA2C59" w14:textId="293E8BA7">
      <w:pPr>
        <w:rPr>
          <w:b/>
          <w:bCs/>
        </w:rPr>
      </w:pPr>
      <w:r>
        <w:t>Voor zover ik nu kan bezien</w:t>
      </w:r>
      <w:r w:rsidR="00DF7E94">
        <w:t>,</w:t>
      </w:r>
      <w:r>
        <w:t xml:space="preserve"> voldoen het strafrecht en de handhaving in de aanpak van criminele ronselaars. </w:t>
      </w:r>
      <w:r w:rsidRPr="00762E33">
        <w:t>Mij zijn geen signalen bekend dat het strafrechtelijk kader in concrete gevallen niet toereikend is om personen die minderjarigen inzetten voor criminele activiteiten strafrechtelijk aan te pakken.</w:t>
      </w:r>
      <w:r w:rsidRPr="00AD185C" w:rsidR="00AD185C">
        <w:t xml:space="preserve"> </w:t>
      </w:r>
      <w:r w:rsidR="00AD185C">
        <w:t>Het OM en de politie bevestigen het beeld</w:t>
      </w:r>
      <w:r w:rsidRPr="00762E33">
        <w:t xml:space="preserve"> </w:t>
      </w:r>
      <w:bookmarkEnd w:id="4"/>
      <w:r w:rsidR="00AD185C">
        <w:t xml:space="preserve">dat zij over </w:t>
      </w:r>
      <w:r w:rsidRPr="00762E33">
        <w:t>voldoende handvatten beschikken om de daders die zich hieraan schuldig maken op te sporen en aan te pakken.</w:t>
      </w:r>
      <w:r w:rsidRPr="00917E4F">
        <w:t xml:space="preserve"> </w:t>
      </w:r>
      <w:r w:rsidRPr="00762E33">
        <w:t xml:space="preserve">Belangrijk is dat de </w:t>
      </w:r>
      <w:r w:rsidR="0032798B">
        <w:t>O</w:t>
      </w:r>
      <w:r w:rsidRPr="00762E33">
        <w:t xml:space="preserve">fficier van </w:t>
      </w:r>
      <w:r w:rsidR="0032798B">
        <w:t>J</w:t>
      </w:r>
      <w:r w:rsidRPr="00762E33">
        <w:t>ustitie per geval bepaalt voor welke feiten vervolging kan worden ingesteld, aan de hand van de individuele omstandigheden</w:t>
      </w:r>
      <w:r w:rsidR="00E335C6">
        <w:t>.</w:t>
      </w:r>
    </w:p>
    <w:p w:rsidR="00E335C6" w:rsidP="008046C6" w:rsidRDefault="00E335C6" w14:paraId="485872FE" w14:textId="77777777">
      <w:pPr>
        <w:rPr>
          <w:b/>
          <w:bCs/>
        </w:rPr>
      </w:pPr>
    </w:p>
    <w:p w:rsidRPr="00762E33" w:rsidR="008046C6" w:rsidP="008046C6" w:rsidRDefault="008046C6" w14:paraId="2D965715" w14:textId="63E44C85">
      <w:r w:rsidRPr="00762E33">
        <w:t>Ronselaars en opdrachtgevers die minderjarigen inzetten voor criminele activiteiten kunnen zich schuldig maken aan criminele uitbuiting, een vorm van mensenhandel die strafbaar is gesteld in artikel 273f, vijfde lid, onder e, Sr, waar specifiek de “uitbuiting van een persoon bij het verrichten van strafbare activiteiten” is opgenomen. Criminele uitbuiting houdt in dat iemand wordt gedwongen tot het begaan van strafbare feiten. Voor mensenhandel is steeds vereist dat de ronselaar of opdrachtgever de intentie had om de jongere bij het uitvoeren van het strafbare feit uit te buiten. Of sprake is van criminele uitbuiting hangt af van de specifieke omstandigheden van het geval, waarbij wordt gekeken naar de aard en duur van de strafbare activiteit, de beperkingen voor de betrokkene en (in mindere mate) het economische voordeel van degene die de jongere heeft aangezet tot het plegen van het strafbare feit.</w:t>
      </w:r>
    </w:p>
    <w:p w:rsidRPr="00762E33" w:rsidR="008046C6" w:rsidP="008046C6" w:rsidRDefault="008046C6" w14:paraId="7B9781E3" w14:textId="77777777"/>
    <w:p w:rsidRPr="00762E33" w:rsidR="008046C6" w:rsidP="008046C6" w:rsidRDefault="008046C6" w14:paraId="7E5EE9AE" w14:textId="77777777">
      <w:r w:rsidRPr="00762E33">
        <w:t xml:space="preserve">Afhankelijk van de omstandigheden zijn er daarnaast verschillende mogelijkheden om deze groep strafrechtelijk aan te pakken. Een ronselaar of opdrachtgever kan een minderjarige opzettelijk uitlokken tot het plegen van een strafbaar feit en is strafbaar als de minderjarige ook daadwerkelijk overgaat tot uitvoering. Een minderjarige kan bijvoorbeeld tegen betaling een explosief in de nabijheid van een woning plaatsen; dan kan sprake zijn van het uitlokken van het opzettelijk teweegbrengen van een ontploffing met gevaar voor personen of goederen, strafbaar op grond van artikel 157 in verbinding met artikel 47 Sr. Ook het </w:t>
      </w:r>
      <w:r>
        <w:t xml:space="preserve">proberen uitlokken van </w:t>
      </w:r>
      <w:r w:rsidRPr="00762E33">
        <w:t>een minderjarige tot het plegen van een misdrijf, ongeacht of het daadwerkelijk heeft plaatsgevonden, is strafbaar op grond van artikel 46a Sr.</w:t>
      </w:r>
    </w:p>
    <w:p w:rsidR="009E2880" w:rsidP="009E2880" w:rsidRDefault="009E2880" w14:paraId="4D504553" w14:textId="6A455E2A">
      <w:pPr>
        <w:rPr>
          <w:b/>
          <w:bCs/>
        </w:rPr>
      </w:pPr>
    </w:p>
    <w:p w:rsidR="009E2880" w:rsidP="009E2880" w:rsidRDefault="000C49E8" w14:paraId="289F57E2" w14:textId="6F009B87">
      <w:pPr>
        <w:rPr>
          <w:b/>
          <w:bCs/>
        </w:rPr>
      </w:pPr>
      <w:r>
        <w:rPr>
          <w:b/>
          <w:bCs/>
        </w:rPr>
        <w:t xml:space="preserve">Vraag </w:t>
      </w:r>
      <w:r w:rsidRPr="009E2880" w:rsidR="009E2880">
        <w:rPr>
          <w:b/>
          <w:bCs/>
        </w:rPr>
        <w:t xml:space="preserve">9 </w:t>
      </w:r>
    </w:p>
    <w:p w:rsidRPr="009E2880" w:rsidR="009E2880" w:rsidP="009E2880" w:rsidRDefault="009E2880" w14:paraId="535E7796" w14:textId="1B806B41">
      <w:pPr>
        <w:rPr>
          <w:b/>
          <w:bCs/>
        </w:rPr>
      </w:pPr>
      <w:r w:rsidRPr="009E2880">
        <w:rPr>
          <w:b/>
          <w:bCs/>
        </w:rPr>
        <w:t>Hoe wordt voorkomen dat geronselde minderjarigen primair repressief worden benaderd, terwijl onderliggende problematiek zoals armoede, schulden, gezinsproblematiek of perspectiefloosheid onbehandeld blijft?</w:t>
      </w:r>
    </w:p>
    <w:p w:rsidR="009E2880" w:rsidP="009E2880" w:rsidRDefault="009E2880" w14:paraId="59CF6E8F" w14:textId="77777777">
      <w:pPr>
        <w:rPr>
          <w:b/>
          <w:bCs/>
        </w:rPr>
      </w:pPr>
    </w:p>
    <w:p w:rsidRPr="000C49E8" w:rsidR="000C49E8" w:rsidP="009E2880" w:rsidRDefault="000C49E8" w14:paraId="1016B2EE" w14:textId="77777777">
      <w:pPr>
        <w:rPr>
          <w:b/>
          <w:bCs/>
        </w:rPr>
      </w:pPr>
      <w:r w:rsidRPr="000C49E8">
        <w:rPr>
          <w:b/>
          <w:bCs/>
        </w:rPr>
        <w:t>Antwoord op vraag 9</w:t>
      </w:r>
    </w:p>
    <w:p w:rsidRPr="00336AD8" w:rsidR="00CC1277" w:rsidP="009E2880" w:rsidRDefault="00917E4F" w14:paraId="2582F8C5" w14:textId="5A4B26A7">
      <w:r>
        <w:t>Het Nationaal Programma Leefbaarheid en Veiligheid</w:t>
      </w:r>
      <w:r w:rsidR="00D81663">
        <w:t xml:space="preserve"> (NPLV)</w:t>
      </w:r>
      <w:r>
        <w:t xml:space="preserve"> en</w:t>
      </w:r>
      <w:r w:rsidR="00090CA8">
        <w:t xml:space="preserve"> </w:t>
      </w:r>
      <w:r w:rsidR="00D81663">
        <w:t>PmG</w:t>
      </w:r>
      <w:r>
        <w:t xml:space="preserve"> </w:t>
      </w:r>
      <w:r w:rsidRPr="00302E34" w:rsidR="003F5CB8">
        <w:t>zet</w:t>
      </w:r>
      <w:r>
        <w:t>ten</w:t>
      </w:r>
      <w:r w:rsidRPr="00302E34" w:rsidR="003F5CB8">
        <w:t xml:space="preserve"> in op het</w:t>
      </w:r>
      <w:r>
        <w:t xml:space="preserve"> mitigeren van risicofactoren en het bevorderen van beschermende factoren</w:t>
      </w:r>
      <w:r w:rsidRPr="00302E34" w:rsidR="003F5CB8">
        <w:t xml:space="preserve"> </w:t>
      </w:r>
      <w:r>
        <w:t>om te</w:t>
      </w:r>
      <w:r w:rsidR="00237A18">
        <w:t xml:space="preserve"> </w:t>
      </w:r>
      <w:r w:rsidRPr="00302E34" w:rsidR="003F5CB8">
        <w:t xml:space="preserve">voorkomen dat jongeren </w:t>
      </w:r>
      <w:r w:rsidR="003F5CB8">
        <w:t xml:space="preserve">in een </w:t>
      </w:r>
      <w:r w:rsidRPr="00302E34" w:rsidR="003F5CB8">
        <w:t xml:space="preserve">kwetsbare </w:t>
      </w:r>
      <w:r w:rsidR="003F5CB8">
        <w:t xml:space="preserve">positie met criminaliteit in aanraking komen, </w:t>
      </w:r>
      <w:r w:rsidRPr="00302E34" w:rsidR="003F5CB8">
        <w:t>afglijden of doorgroeien in de criminaliteit.</w:t>
      </w:r>
      <w:r>
        <w:t xml:space="preserve"> Dit doen we in de meest kwetsbare wijken van Nederland. </w:t>
      </w:r>
      <w:r w:rsidR="00AD185C">
        <w:t>Dit</w:t>
      </w:r>
      <w:r w:rsidR="00090CA8">
        <w:rPr>
          <w:color w:val="000000" w:themeColor="text1"/>
        </w:rPr>
        <w:t xml:space="preserve"> wordt gecombineerd met het stellen van grenzen die aan jongeren die dreigen in de criminaliteit te belanden </w:t>
      </w:r>
      <w:proofErr w:type="spellStart"/>
      <w:r w:rsidR="00090CA8">
        <w:rPr>
          <w:color w:val="000000" w:themeColor="text1"/>
        </w:rPr>
        <w:t>danwel</w:t>
      </w:r>
      <w:proofErr w:type="spellEnd"/>
      <w:r w:rsidR="00090CA8">
        <w:rPr>
          <w:color w:val="000000" w:themeColor="text1"/>
        </w:rPr>
        <w:t xml:space="preserve"> doorgroeien.</w:t>
      </w:r>
      <w:r w:rsidRPr="00302E34" w:rsidR="003F5CB8">
        <w:rPr>
          <w:color w:val="000000" w:themeColor="text1"/>
        </w:rPr>
        <w:t xml:space="preserve"> </w:t>
      </w:r>
      <w:r w:rsidR="00336AD8">
        <w:rPr>
          <w:color w:val="000000" w:themeColor="text1"/>
        </w:rPr>
        <w:t xml:space="preserve">De inzet van </w:t>
      </w:r>
      <w:r w:rsidRPr="00302E34" w:rsidR="003F5CB8">
        <w:rPr>
          <w:color w:val="000000" w:themeColor="text1"/>
        </w:rPr>
        <w:t xml:space="preserve">PmG </w:t>
      </w:r>
      <w:r w:rsidR="00336AD8">
        <w:rPr>
          <w:color w:val="000000" w:themeColor="text1"/>
        </w:rPr>
        <w:t xml:space="preserve">sluit aan </w:t>
      </w:r>
      <w:r w:rsidR="00DF7E94">
        <w:rPr>
          <w:color w:val="000000" w:themeColor="text1"/>
        </w:rPr>
        <w:t xml:space="preserve">op </w:t>
      </w:r>
      <w:r w:rsidR="00336AD8">
        <w:rPr>
          <w:color w:val="000000" w:themeColor="text1"/>
        </w:rPr>
        <w:t>de inzet vanuit</w:t>
      </w:r>
      <w:r w:rsidR="00D81663">
        <w:rPr>
          <w:color w:val="000000" w:themeColor="text1"/>
        </w:rPr>
        <w:t xml:space="preserve"> het NPLV, waar langjarig wordt ingezet op het tegengaan van armoede, het vergroten van de gezondheid en het creëren van veilige en leefbare wijken. </w:t>
      </w:r>
      <w:r w:rsidR="00340217">
        <w:t>De lessen van het NPLV worden breder gedeeld met andere gemeenten</w:t>
      </w:r>
      <w:r w:rsidR="006A36DE">
        <w:t>.</w:t>
      </w:r>
      <w:r w:rsidR="008E34F6">
        <w:t xml:space="preserve"> Zie ook de Kamervragen zoals eerder benoemd.</w:t>
      </w:r>
      <w:r w:rsidR="008E34F6">
        <w:rPr>
          <w:rStyle w:val="Voetnootmarkering"/>
        </w:rPr>
        <w:footnoteReference w:id="2"/>
      </w:r>
      <w:r w:rsidR="006A36DE">
        <w:t xml:space="preserve"> </w:t>
      </w:r>
    </w:p>
    <w:p w:rsidR="00D81663" w:rsidP="009E2880" w:rsidRDefault="00D81663" w14:paraId="6B05B9EC" w14:textId="77777777">
      <w:pPr>
        <w:rPr>
          <w:b/>
          <w:bCs/>
        </w:rPr>
      </w:pPr>
    </w:p>
    <w:p w:rsidR="009E2880" w:rsidP="009E2880" w:rsidRDefault="000C49E8" w14:paraId="4B5570DA" w14:textId="0B437689">
      <w:pPr>
        <w:rPr>
          <w:b/>
          <w:bCs/>
        </w:rPr>
      </w:pPr>
      <w:r>
        <w:rPr>
          <w:b/>
          <w:bCs/>
        </w:rPr>
        <w:t xml:space="preserve">Vraag </w:t>
      </w:r>
      <w:r w:rsidRPr="009E2880" w:rsidR="009E2880">
        <w:rPr>
          <w:b/>
          <w:bCs/>
        </w:rPr>
        <w:t xml:space="preserve">10 </w:t>
      </w:r>
    </w:p>
    <w:p w:rsidRPr="009E2880" w:rsidR="009E2880" w:rsidP="009E2880" w:rsidRDefault="009E2880" w14:paraId="6A1EA954" w14:textId="05D15924">
      <w:pPr>
        <w:rPr>
          <w:b/>
          <w:bCs/>
        </w:rPr>
      </w:pPr>
      <w:r w:rsidRPr="009E2880">
        <w:rPr>
          <w:b/>
          <w:bCs/>
        </w:rPr>
        <w:t>Acht u het wenselijk om preventieve campagnes en opsporingsmethoden, zoals het inzetten van (digitale) lokmiddelen door politie en gemeenten, landelijk te versterken en structureel te maken?</w:t>
      </w:r>
    </w:p>
    <w:p w:rsidR="009E2880" w:rsidP="009E2880" w:rsidRDefault="009E2880" w14:paraId="04D59A8F" w14:textId="77777777">
      <w:pPr>
        <w:rPr>
          <w:b/>
          <w:bCs/>
        </w:rPr>
      </w:pPr>
    </w:p>
    <w:p w:rsidRPr="000C49E8" w:rsidR="000C49E8" w:rsidP="00340217" w:rsidRDefault="000C49E8" w14:paraId="44C0FA1C" w14:textId="77777777">
      <w:pPr>
        <w:rPr>
          <w:b/>
          <w:bCs/>
        </w:rPr>
      </w:pPr>
      <w:r w:rsidRPr="000C49E8">
        <w:rPr>
          <w:b/>
          <w:bCs/>
        </w:rPr>
        <w:t>Antwoord op vraag 10</w:t>
      </w:r>
    </w:p>
    <w:p w:rsidR="003844E6" w:rsidP="00340217" w:rsidRDefault="00340217" w14:paraId="2348B6FD" w14:textId="5CD7255B">
      <w:r>
        <w:t>De auteurs van het landelijk kwaliteitskader ‘</w:t>
      </w:r>
      <w:r>
        <w:rPr>
          <w:i/>
          <w:iCs/>
        </w:rPr>
        <w:t>E</w:t>
      </w:r>
      <w:r w:rsidRPr="002B607E">
        <w:rPr>
          <w:i/>
          <w:iCs/>
        </w:rPr>
        <w:t>ffectieve jeugdinterventies voor preventie van jeugdcriminaliteit’</w:t>
      </w:r>
      <w:r>
        <w:t xml:space="preserve"> concluderen dat er weinig tot geen wetenschappelijk bewijs is dat universele voorlichtings- en educatieprogramma’s bijdragen aan het voorkomen van criminaliteit onder jongeren, terwijl de kans op schadelijke effecten relatief groot is.</w:t>
      </w:r>
      <w:r>
        <w:rPr>
          <w:rStyle w:val="Voetnootmarkering"/>
        </w:rPr>
        <w:footnoteReference w:id="3"/>
      </w:r>
      <w:r>
        <w:t xml:space="preserve"> </w:t>
      </w:r>
      <w:r w:rsidRPr="003844E6" w:rsidR="003844E6">
        <w:t xml:space="preserve">Daarom is terughoudendheid bij de inzet van </w:t>
      </w:r>
      <w:r w:rsidR="0077702D">
        <w:t xml:space="preserve">(brede) </w:t>
      </w:r>
      <w:r w:rsidRPr="003844E6" w:rsidR="003844E6">
        <w:t>campagnes op zijn plaats</w:t>
      </w:r>
      <w:r w:rsidR="00265546">
        <w:t>.</w:t>
      </w:r>
    </w:p>
    <w:p w:rsidR="00C24142" w:rsidP="00340217" w:rsidRDefault="00C24142" w14:paraId="4780C345" w14:textId="77777777"/>
    <w:p w:rsidRPr="00AD185C" w:rsidR="00F33CA7" w:rsidP="009E2880" w:rsidRDefault="000F6C75" w14:paraId="285217E8" w14:textId="6EA410B7">
      <w:r w:rsidRPr="000F6C75">
        <w:t xml:space="preserve">Lokmiddelen zijn zware opsporingsmiddelen. Het werken met een lokmiddel of lokpersoon is complex en vergt veel capaciteit. Bovendien bestaat het risico dat bij de inzet van lokmiddelen de grens tussen lokken en uitlokken wordt overschreden. Vanuit proportionaliteit en </w:t>
      </w:r>
      <w:r w:rsidRPr="00F33CA7">
        <w:t>subsidiariteit zet</w:t>
      </w:r>
      <w:r w:rsidR="00F33CA7">
        <w:t xml:space="preserve">ten opsporingsdiensten </w:t>
      </w:r>
      <w:r w:rsidRPr="00F33CA7">
        <w:t>ze</w:t>
      </w:r>
      <w:r w:rsidRPr="000F6C75">
        <w:t xml:space="preserve"> daarom terughoudend in, vooral wanneer andere methoden onvoldoende resultaat oplevere</w:t>
      </w:r>
      <w:r w:rsidR="00C24142">
        <w:t>n.</w:t>
      </w:r>
    </w:p>
    <w:p w:rsidR="00F33CA7" w:rsidP="009E2880" w:rsidRDefault="00F33CA7" w14:paraId="7801DA49" w14:textId="77777777">
      <w:pPr>
        <w:rPr>
          <w:b/>
          <w:bCs/>
        </w:rPr>
      </w:pPr>
    </w:p>
    <w:p w:rsidR="000C49E8" w:rsidP="009E2880" w:rsidRDefault="000C49E8" w14:paraId="746190A3" w14:textId="77777777">
      <w:pPr>
        <w:rPr>
          <w:b/>
          <w:bCs/>
        </w:rPr>
      </w:pPr>
    </w:p>
    <w:p w:rsidR="009E2880" w:rsidP="009E2880" w:rsidRDefault="000C49E8" w14:paraId="6C8BE5DC" w14:textId="464E8261">
      <w:pPr>
        <w:rPr>
          <w:b/>
          <w:bCs/>
        </w:rPr>
      </w:pPr>
      <w:r>
        <w:rPr>
          <w:b/>
          <w:bCs/>
        </w:rPr>
        <w:t xml:space="preserve">Vraag </w:t>
      </w:r>
      <w:r w:rsidRPr="009E2880" w:rsidR="009E2880">
        <w:rPr>
          <w:b/>
          <w:bCs/>
        </w:rPr>
        <w:t xml:space="preserve">11 </w:t>
      </w:r>
    </w:p>
    <w:p w:rsidRPr="009E2880" w:rsidR="009E2880" w:rsidP="009E2880" w:rsidRDefault="009E2880" w14:paraId="3552F4AD" w14:textId="1197184C">
      <w:pPr>
        <w:rPr>
          <w:b/>
          <w:bCs/>
        </w:rPr>
      </w:pPr>
      <w:r w:rsidRPr="009E2880">
        <w:rPr>
          <w:b/>
          <w:bCs/>
        </w:rPr>
        <w:t>Bent u bereid te onderzoeken of de huidige wet- en regelgeving binnen zowel het strafrecht als de jeugdzorg voldoende ruimte biedt voor vroegtijdig ingrijpen en de Kamer hierover te informeren?</w:t>
      </w:r>
    </w:p>
    <w:p w:rsidR="00985263" w:rsidP="009E2880" w:rsidRDefault="00985263" w14:paraId="5DEA8CF3" w14:textId="77777777"/>
    <w:p w:rsidRPr="000C49E8" w:rsidR="000C49E8" w:rsidP="000D5DE3" w:rsidRDefault="000C49E8" w14:paraId="7E5FD23E" w14:textId="77777777">
      <w:pPr>
        <w:rPr>
          <w:b/>
          <w:bCs/>
        </w:rPr>
      </w:pPr>
      <w:r w:rsidRPr="000C49E8">
        <w:rPr>
          <w:b/>
          <w:bCs/>
        </w:rPr>
        <w:t>Antwoord op vraag 11</w:t>
      </w:r>
    </w:p>
    <w:p w:rsidR="00586A68" w:rsidP="000D5DE3" w:rsidRDefault="00090CA8" w14:paraId="1F041F8F" w14:textId="0E6972A5">
      <w:pPr>
        <w:rPr>
          <w:color w:val="000000" w:themeColor="text1"/>
          <w:lang w:eastAsia="en-US"/>
        </w:rPr>
      </w:pPr>
      <w:r>
        <w:t>W</w:t>
      </w:r>
      <w:r w:rsidR="0087530D">
        <w:t xml:space="preserve">e hebben momenteel voldoende instrumenten in handen om samen te kunnen werken, zowel aan de preventieve als aan de strafrechtelijke kant. </w:t>
      </w:r>
      <w:r w:rsidRPr="000D5DE3" w:rsidR="000D5DE3">
        <w:t xml:space="preserve">Gemeenten zetten in om zo vroeg mogelijk kinderen, jongeren en gezinnen in een kwetsbare positie kansen te bieden. </w:t>
      </w:r>
      <w:r w:rsidRPr="00AC0CF9" w:rsidR="00586A68">
        <w:rPr>
          <w:color w:val="000000" w:themeColor="text1"/>
          <w:lang w:eastAsia="en-US"/>
        </w:rPr>
        <w:t>Waar nodig bieden zij passende jeugdhulp. Denk hierbij bijvoorbeeld aan opvoedondersteuning aan ouders en forensische jeugdhulp aan jeugdigen. Het is aan gemeenten om te zorgen voor voldoende passend aanbod. Professionals kunnen bij de keuze voor een passende interventies o.a. gebruik maken van de Richtlijn Ernstige gedragsproblemen</w:t>
      </w:r>
      <w:r w:rsidR="00586A68">
        <w:rPr>
          <w:color w:val="000000" w:themeColor="text1"/>
          <w:lang w:eastAsia="en-US"/>
        </w:rPr>
        <w:t>.</w:t>
      </w:r>
      <w:r w:rsidR="00586A68">
        <w:rPr>
          <w:rStyle w:val="Voetnootmarkering"/>
          <w:color w:val="000000" w:themeColor="text1"/>
          <w:lang w:eastAsia="en-US"/>
        </w:rPr>
        <w:footnoteReference w:id="4"/>
      </w:r>
    </w:p>
    <w:p w:rsidR="00586A68" w:rsidP="000D5DE3" w:rsidRDefault="00586A68" w14:paraId="11EC68B5" w14:textId="77777777">
      <w:pPr>
        <w:rPr>
          <w:color w:val="000000" w:themeColor="text1"/>
          <w:lang w:eastAsia="en-US"/>
        </w:rPr>
      </w:pPr>
    </w:p>
    <w:p w:rsidRPr="000D5DE3" w:rsidR="000D5DE3" w:rsidP="000D5DE3" w:rsidRDefault="000D5DE3" w14:paraId="1D019247" w14:textId="0B66AAF1">
      <w:r w:rsidRPr="000D5DE3">
        <w:t xml:space="preserve">Het strafrecht wordt pas ingezet op het moment dat er een strafrechtelijk feit is begaan. In geval van </w:t>
      </w:r>
      <w:proofErr w:type="spellStart"/>
      <w:r w:rsidRPr="000D5DE3">
        <w:t>vroegsignalering</w:t>
      </w:r>
      <w:proofErr w:type="spellEnd"/>
      <w:r w:rsidRPr="000D5DE3">
        <w:t xml:space="preserve"> is hier geen sprake van. Politie kan wel signalen opvangen dat jongeren afglijden in de criminaliteit. Zij kunnen ook samenwerken met scholen of</w:t>
      </w:r>
      <w:r w:rsidR="00306E37">
        <w:t xml:space="preserve"> (preventief)</w:t>
      </w:r>
      <w:r w:rsidRPr="000D5DE3">
        <w:t xml:space="preserve"> doorverwijzen </w:t>
      </w:r>
      <w:r w:rsidR="007C4857">
        <w:t>naar</w:t>
      </w:r>
      <w:r w:rsidRPr="000D5DE3">
        <w:t xml:space="preserve"> </w:t>
      </w:r>
      <w:r w:rsidR="00F67AB5">
        <w:t>jeugdhulp</w:t>
      </w:r>
      <w:r w:rsidRPr="000D5DE3">
        <w:t>, gemeenten en reclassering. </w:t>
      </w:r>
      <w:r w:rsidR="0087530D">
        <w:t>Ik werk voortdurend aan de verbetering van deze samenwerking, bijvoorbeeld door knelpunten in de gegevensdeling tussen gemeenten en justitiepartners op te lossen met de Taskforce Gegevensdeling.</w:t>
      </w:r>
      <w:r w:rsidRPr="000D5DE3">
        <w:t xml:space="preserve">   </w:t>
      </w:r>
    </w:p>
    <w:p w:rsidR="000D5DE3" w:rsidP="009E2880" w:rsidRDefault="000D5DE3" w14:paraId="79B6D4C2" w14:textId="77777777"/>
    <w:p w:rsidR="000C49E8" w:rsidP="009E2880" w:rsidRDefault="000C49E8" w14:paraId="67F92481" w14:textId="77777777"/>
    <w:p w:rsidR="00985263" w:rsidP="009E2880" w:rsidRDefault="00985263" w14:paraId="5847F42E" w14:textId="77777777"/>
    <w:p w:rsidR="000850EF" w:rsidP="008E34F6" w:rsidRDefault="009E2880" w14:paraId="50A47820" w14:textId="4F62C6FA">
      <w:r>
        <w:t>1) Telegraaf, 30 januari 2026</w:t>
      </w:r>
    </w:p>
    <w:p w:rsidR="000850EF" w:rsidRDefault="000850EF" w14:paraId="50A1488D" w14:textId="77777777"/>
    <w:p w:rsidR="000850EF" w:rsidRDefault="000850EF" w14:paraId="1E4CE221" w14:textId="77777777"/>
    <w:sectPr w:rsidR="000850E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BBF0" w14:textId="77777777" w:rsidR="00FA59E2" w:rsidRDefault="00FA59E2">
      <w:pPr>
        <w:spacing w:line="240" w:lineRule="auto"/>
      </w:pPr>
      <w:r>
        <w:separator/>
      </w:r>
    </w:p>
  </w:endnote>
  <w:endnote w:type="continuationSeparator" w:id="0">
    <w:p w14:paraId="57BDC086" w14:textId="77777777" w:rsidR="00FA59E2" w:rsidRDefault="00FA5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7FA8" w14:textId="77777777" w:rsidR="00FA59E2" w:rsidRDefault="00FA59E2">
      <w:pPr>
        <w:spacing w:line="240" w:lineRule="auto"/>
      </w:pPr>
      <w:r>
        <w:separator/>
      </w:r>
    </w:p>
  </w:footnote>
  <w:footnote w:type="continuationSeparator" w:id="0">
    <w:p w14:paraId="5DCB3A75" w14:textId="77777777" w:rsidR="00FA59E2" w:rsidRDefault="00FA59E2">
      <w:pPr>
        <w:spacing w:line="240" w:lineRule="auto"/>
      </w:pPr>
      <w:r>
        <w:continuationSeparator/>
      </w:r>
    </w:p>
  </w:footnote>
  <w:footnote w:id="1">
    <w:p w14:paraId="35610418" w14:textId="2219423C" w:rsidR="00D85EC4" w:rsidRDefault="00D85EC4">
      <w:pPr>
        <w:pStyle w:val="Voetnoottekst"/>
      </w:pPr>
      <w:r>
        <w:rPr>
          <w:rStyle w:val="Voetnootmarkering"/>
        </w:rPr>
        <w:footnoteRef/>
      </w:r>
      <w:r>
        <w:t xml:space="preserve"> </w:t>
      </w:r>
      <w:r w:rsidR="00423AC4" w:rsidRPr="00983AEA">
        <w:rPr>
          <w:sz w:val="18"/>
          <w:szCs w:val="18"/>
        </w:rPr>
        <w:t xml:space="preserve">Kamervragen over het Nationaal Programma Leefbaarheid en Veiligheid </w:t>
      </w:r>
      <w:r w:rsidR="00983AEA">
        <w:rPr>
          <w:sz w:val="18"/>
          <w:szCs w:val="18"/>
        </w:rPr>
        <w:t xml:space="preserve">30 september 2025. </w:t>
      </w:r>
      <w:hyperlink r:id="rId1" w:history="1">
        <w:r w:rsidR="00983AEA" w:rsidRPr="00983AEA">
          <w:rPr>
            <w:rStyle w:val="Hyperlink"/>
            <w:sz w:val="18"/>
            <w:szCs w:val="18"/>
          </w:rPr>
          <w:t>Antwoorden op Kamervragen over het Nationaal Programma Leefbaarheid en Veiligheid | Kamerstuk | Rijksoverheid.nl</w:t>
        </w:r>
      </w:hyperlink>
    </w:p>
  </w:footnote>
  <w:footnote w:id="2">
    <w:p w14:paraId="499A3C69" w14:textId="77777777" w:rsidR="008E34F6" w:rsidRDefault="008E34F6" w:rsidP="008E34F6">
      <w:pPr>
        <w:pStyle w:val="Voetnoottekst"/>
      </w:pPr>
      <w:r>
        <w:rPr>
          <w:rStyle w:val="Voetnootmarkering"/>
        </w:rPr>
        <w:footnoteRef/>
      </w:r>
      <w:r>
        <w:t xml:space="preserve"> </w:t>
      </w:r>
      <w:r w:rsidRPr="00983AEA">
        <w:rPr>
          <w:sz w:val="18"/>
          <w:szCs w:val="18"/>
        </w:rPr>
        <w:t xml:space="preserve">Kamervragen over het Nationaal Programma Leefbaarheid en Veiligheid </w:t>
      </w:r>
      <w:r>
        <w:rPr>
          <w:sz w:val="18"/>
          <w:szCs w:val="18"/>
        </w:rPr>
        <w:t xml:space="preserve">30 september 2025. </w:t>
      </w:r>
      <w:hyperlink r:id="rId2" w:history="1">
        <w:r w:rsidRPr="00983AEA">
          <w:rPr>
            <w:rStyle w:val="Hyperlink"/>
            <w:sz w:val="18"/>
            <w:szCs w:val="18"/>
          </w:rPr>
          <w:t>Antwoorden op Kamervragen over het Nationaal Programma Leefbaarheid en Veiligheid | Kamerstuk | Rijksoverheid.nl</w:t>
        </w:r>
      </w:hyperlink>
    </w:p>
    <w:p w14:paraId="44C0489A" w14:textId="3D0C7192" w:rsidR="008E34F6" w:rsidRDefault="008E34F6">
      <w:pPr>
        <w:pStyle w:val="Voetnoottekst"/>
      </w:pPr>
    </w:p>
  </w:footnote>
  <w:footnote w:id="3">
    <w:p w14:paraId="3240EF9B" w14:textId="77777777" w:rsidR="00340217" w:rsidRPr="00423AC4" w:rsidRDefault="00340217" w:rsidP="00340217">
      <w:pPr>
        <w:pStyle w:val="Voetnoottekst"/>
      </w:pPr>
      <w:r>
        <w:rPr>
          <w:rStyle w:val="Voetnootmarkering"/>
        </w:rPr>
        <w:footnoteRef/>
      </w:r>
      <w:r>
        <w:t xml:space="preserve"> </w:t>
      </w:r>
      <w:r w:rsidRPr="00423AC4">
        <w:t xml:space="preserve"> </w:t>
      </w:r>
      <w:r w:rsidRPr="005A587B">
        <w:rPr>
          <w:sz w:val="18"/>
          <w:szCs w:val="18"/>
        </w:rPr>
        <w:t>Kamerstukken II, 2023–2024, 28 741, nr. 116.</w:t>
      </w:r>
    </w:p>
  </w:footnote>
  <w:footnote w:id="4">
    <w:p w14:paraId="1B2BBACE" w14:textId="18AFE9F6" w:rsidR="00586A68" w:rsidRDefault="00586A68">
      <w:pPr>
        <w:pStyle w:val="Voetnoottekst"/>
      </w:pPr>
      <w:r w:rsidRPr="005A587B">
        <w:rPr>
          <w:rStyle w:val="Voetnootmarkering"/>
          <w:sz w:val="18"/>
          <w:szCs w:val="18"/>
        </w:rPr>
        <w:footnoteRef/>
      </w:r>
      <w:r w:rsidRPr="005A587B">
        <w:rPr>
          <w:sz w:val="18"/>
          <w:szCs w:val="18"/>
        </w:rPr>
        <w:t xml:space="preserve"> </w:t>
      </w:r>
      <w:r w:rsidRPr="005A587B">
        <w:rPr>
          <w:color w:val="1F497D"/>
          <w:sz w:val="18"/>
          <w:szCs w:val="18"/>
          <w:lang w:eastAsia="en-US"/>
        </w:rPr>
        <w:t xml:space="preserve">https//www.richtlijnenjeugdhulp.nl/ernstige-gedragsproblemen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C1C3" w14:textId="77777777" w:rsidR="000850EF" w:rsidRDefault="00E20D38">
    <w:r>
      <w:rPr>
        <w:noProof/>
      </w:rPr>
      <mc:AlternateContent>
        <mc:Choice Requires="wps">
          <w:drawing>
            <wp:anchor distT="0" distB="0" distL="0" distR="0" simplePos="0" relativeHeight="251652096" behindDoc="0" locked="1" layoutInCell="1" allowOverlap="1" wp14:anchorId="5E71B384" wp14:editId="4B00BA5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EFA581" w14:textId="77777777" w:rsidR="00BF668B" w:rsidRDefault="00BF668B"/>
                      </w:txbxContent>
                    </wps:txbx>
                    <wps:bodyPr vert="horz" wrap="square" lIns="0" tIns="0" rIns="0" bIns="0" anchor="t" anchorCtr="0"/>
                  </wps:wsp>
                </a:graphicData>
              </a:graphic>
            </wp:anchor>
          </w:drawing>
        </mc:Choice>
        <mc:Fallback>
          <w:pict>
            <v:shapetype w14:anchorId="5E71B38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8EFA581" w14:textId="77777777" w:rsidR="00BF668B" w:rsidRDefault="00BF66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F8E727" wp14:editId="68C8BDA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8106C4" w14:textId="77777777" w:rsidR="000850EF" w:rsidRDefault="00E20D38">
                          <w:pPr>
                            <w:pStyle w:val="Referentiegegevensbold"/>
                          </w:pPr>
                          <w:r>
                            <w:t>Directoraat-Generaal Ondermijning</w:t>
                          </w:r>
                        </w:p>
                        <w:p w14:paraId="1EED5416" w14:textId="77777777" w:rsidR="000850EF" w:rsidRDefault="000850EF">
                          <w:pPr>
                            <w:pStyle w:val="WitregelW2"/>
                          </w:pPr>
                        </w:p>
                        <w:p w14:paraId="11BFA364" w14:textId="77777777" w:rsidR="000850EF" w:rsidRDefault="00E20D38">
                          <w:pPr>
                            <w:pStyle w:val="Referentiegegevensbold"/>
                          </w:pPr>
                          <w:r>
                            <w:t>Datum</w:t>
                          </w:r>
                        </w:p>
                        <w:p w14:paraId="7FEBED2B" w14:textId="5CCEA47C" w:rsidR="000850EF" w:rsidRDefault="00FA59E2">
                          <w:pPr>
                            <w:pStyle w:val="Referentiegegevens"/>
                          </w:pPr>
                          <w:sdt>
                            <w:sdtPr>
                              <w:id w:val="1603453674"/>
                              <w:date w:fullDate="2026-03-26T00:00:00Z">
                                <w:dateFormat w:val="d MMMM yyyy"/>
                                <w:lid w:val="nl"/>
                                <w:storeMappedDataAs w:val="dateTime"/>
                                <w:calendar w:val="gregorian"/>
                              </w:date>
                            </w:sdtPr>
                            <w:sdtEndPr/>
                            <w:sdtContent>
                              <w:r w:rsidR="000C49E8">
                                <w:rPr>
                                  <w:lang w:val="nl"/>
                                </w:rPr>
                                <w:t>26 maart 2026</w:t>
                              </w:r>
                            </w:sdtContent>
                          </w:sdt>
                        </w:p>
                        <w:p w14:paraId="18F69385" w14:textId="77777777" w:rsidR="000850EF" w:rsidRDefault="000850EF">
                          <w:pPr>
                            <w:pStyle w:val="WitregelW1"/>
                          </w:pPr>
                        </w:p>
                        <w:p w14:paraId="46860366" w14:textId="77777777" w:rsidR="000850EF" w:rsidRDefault="00E20D38">
                          <w:pPr>
                            <w:pStyle w:val="Referentiegegevensbold"/>
                          </w:pPr>
                          <w:r>
                            <w:t>Onze referentie</w:t>
                          </w:r>
                        </w:p>
                        <w:p w14:paraId="1E3D2EBB" w14:textId="77777777" w:rsidR="000850EF" w:rsidRDefault="00E20D38">
                          <w:pPr>
                            <w:pStyle w:val="Referentiegegevens"/>
                          </w:pPr>
                          <w:r>
                            <w:t>7159538</w:t>
                          </w:r>
                        </w:p>
                      </w:txbxContent>
                    </wps:txbx>
                    <wps:bodyPr vert="horz" wrap="square" lIns="0" tIns="0" rIns="0" bIns="0" anchor="t" anchorCtr="0"/>
                  </wps:wsp>
                </a:graphicData>
              </a:graphic>
            </wp:anchor>
          </w:drawing>
        </mc:Choice>
        <mc:Fallback>
          <w:pict>
            <v:shape w14:anchorId="75F8E72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68106C4" w14:textId="77777777" w:rsidR="000850EF" w:rsidRDefault="00E20D38">
                    <w:pPr>
                      <w:pStyle w:val="Referentiegegevensbold"/>
                    </w:pPr>
                    <w:r>
                      <w:t>Directoraat-Generaal Ondermijning</w:t>
                    </w:r>
                  </w:p>
                  <w:p w14:paraId="1EED5416" w14:textId="77777777" w:rsidR="000850EF" w:rsidRDefault="000850EF">
                    <w:pPr>
                      <w:pStyle w:val="WitregelW2"/>
                    </w:pPr>
                  </w:p>
                  <w:p w14:paraId="11BFA364" w14:textId="77777777" w:rsidR="000850EF" w:rsidRDefault="00E20D38">
                    <w:pPr>
                      <w:pStyle w:val="Referentiegegevensbold"/>
                    </w:pPr>
                    <w:r>
                      <w:t>Datum</w:t>
                    </w:r>
                  </w:p>
                  <w:p w14:paraId="7FEBED2B" w14:textId="5CCEA47C" w:rsidR="000850EF" w:rsidRDefault="00FA59E2">
                    <w:pPr>
                      <w:pStyle w:val="Referentiegegevens"/>
                    </w:pPr>
                    <w:sdt>
                      <w:sdtPr>
                        <w:id w:val="1603453674"/>
                        <w:date w:fullDate="2026-03-26T00:00:00Z">
                          <w:dateFormat w:val="d MMMM yyyy"/>
                          <w:lid w:val="nl"/>
                          <w:storeMappedDataAs w:val="dateTime"/>
                          <w:calendar w:val="gregorian"/>
                        </w:date>
                      </w:sdtPr>
                      <w:sdtEndPr/>
                      <w:sdtContent>
                        <w:r w:rsidR="000C49E8">
                          <w:rPr>
                            <w:lang w:val="nl"/>
                          </w:rPr>
                          <w:t>26 maart 2026</w:t>
                        </w:r>
                      </w:sdtContent>
                    </w:sdt>
                  </w:p>
                  <w:p w14:paraId="18F69385" w14:textId="77777777" w:rsidR="000850EF" w:rsidRDefault="000850EF">
                    <w:pPr>
                      <w:pStyle w:val="WitregelW1"/>
                    </w:pPr>
                  </w:p>
                  <w:p w14:paraId="46860366" w14:textId="77777777" w:rsidR="000850EF" w:rsidRDefault="00E20D38">
                    <w:pPr>
                      <w:pStyle w:val="Referentiegegevensbold"/>
                    </w:pPr>
                    <w:r>
                      <w:t>Onze referentie</w:t>
                    </w:r>
                  </w:p>
                  <w:p w14:paraId="1E3D2EBB" w14:textId="77777777" w:rsidR="000850EF" w:rsidRDefault="00E20D38">
                    <w:pPr>
                      <w:pStyle w:val="Referentiegegevens"/>
                    </w:pPr>
                    <w:r>
                      <w:t>7159538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216F16" wp14:editId="35AF85A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8470F7" w14:textId="77777777" w:rsidR="00BF668B" w:rsidRDefault="00BF668B"/>
                      </w:txbxContent>
                    </wps:txbx>
                    <wps:bodyPr vert="horz" wrap="square" lIns="0" tIns="0" rIns="0" bIns="0" anchor="t" anchorCtr="0"/>
                  </wps:wsp>
                </a:graphicData>
              </a:graphic>
            </wp:anchor>
          </w:drawing>
        </mc:Choice>
        <mc:Fallback>
          <w:pict>
            <v:shape w14:anchorId="78216F1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8470F7" w14:textId="77777777" w:rsidR="00BF668B" w:rsidRDefault="00BF66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A6DF16" wp14:editId="01C9282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1E5BAD" w14:textId="77777777" w:rsidR="000850EF" w:rsidRDefault="00E20D38">
                          <w:pPr>
                            <w:pStyle w:val="Referentiegegevens"/>
                          </w:pPr>
                          <w:r>
                            <w:t xml:space="preserve">Pagina </w:t>
                          </w:r>
                          <w:r>
                            <w:fldChar w:fldCharType="begin"/>
                          </w:r>
                          <w:r>
                            <w:instrText>PAGE</w:instrText>
                          </w:r>
                          <w:r>
                            <w:fldChar w:fldCharType="separate"/>
                          </w:r>
                          <w:r w:rsidR="005A639F">
                            <w:rPr>
                              <w:noProof/>
                            </w:rPr>
                            <w:t>2</w:t>
                          </w:r>
                          <w:r>
                            <w:fldChar w:fldCharType="end"/>
                          </w:r>
                          <w:r>
                            <w:t xml:space="preserve"> van </w:t>
                          </w:r>
                          <w:r>
                            <w:fldChar w:fldCharType="begin"/>
                          </w:r>
                          <w:r>
                            <w:instrText>NUMPAGES</w:instrText>
                          </w:r>
                          <w:r>
                            <w:fldChar w:fldCharType="separate"/>
                          </w:r>
                          <w:r w:rsidR="005A639F">
                            <w:rPr>
                              <w:noProof/>
                            </w:rPr>
                            <w:t>2</w:t>
                          </w:r>
                          <w:r>
                            <w:fldChar w:fldCharType="end"/>
                          </w:r>
                        </w:p>
                      </w:txbxContent>
                    </wps:txbx>
                    <wps:bodyPr vert="horz" wrap="square" lIns="0" tIns="0" rIns="0" bIns="0" anchor="t" anchorCtr="0"/>
                  </wps:wsp>
                </a:graphicData>
              </a:graphic>
            </wp:anchor>
          </w:drawing>
        </mc:Choice>
        <mc:Fallback>
          <w:pict>
            <v:shape w14:anchorId="29A6DF1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1E5BAD" w14:textId="77777777" w:rsidR="000850EF" w:rsidRDefault="00E20D38">
                    <w:pPr>
                      <w:pStyle w:val="Referentiegegevens"/>
                    </w:pPr>
                    <w:r>
                      <w:t xml:space="preserve">Pagina </w:t>
                    </w:r>
                    <w:r>
                      <w:fldChar w:fldCharType="begin"/>
                    </w:r>
                    <w:r>
                      <w:instrText>PAGE</w:instrText>
                    </w:r>
                    <w:r>
                      <w:fldChar w:fldCharType="separate"/>
                    </w:r>
                    <w:r w:rsidR="005A639F">
                      <w:rPr>
                        <w:noProof/>
                      </w:rPr>
                      <w:t>2</w:t>
                    </w:r>
                    <w:r>
                      <w:fldChar w:fldCharType="end"/>
                    </w:r>
                    <w:r>
                      <w:t xml:space="preserve"> van </w:t>
                    </w:r>
                    <w:r>
                      <w:fldChar w:fldCharType="begin"/>
                    </w:r>
                    <w:r>
                      <w:instrText>NUMPAGES</w:instrText>
                    </w:r>
                    <w:r>
                      <w:fldChar w:fldCharType="separate"/>
                    </w:r>
                    <w:r w:rsidR="005A639F">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A96D" w14:textId="77777777" w:rsidR="000850EF" w:rsidRDefault="00E20D38">
    <w:pPr>
      <w:spacing w:after="6377" w:line="14" w:lineRule="exact"/>
    </w:pPr>
    <w:r>
      <w:rPr>
        <w:noProof/>
      </w:rPr>
      <mc:AlternateContent>
        <mc:Choice Requires="wps">
          <w:drawing>
            <wp:anchor distT="0" distB="0" distL="0" distR="0" simplePos="0" relativeHeight="251656192" behindDoc="0" locked="1" layoutInCell="1" allowOverlap="1" wp14:anchorId="1D166638" wp14:editId="7F5C241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BCE898" w14:textId="77777777" w:rsidR="000850EF" w:rsidRDefault="00E20D38">
                          <w:pPr>
                            <w:spacing w:line="240" w:lineRule="auto"/>
                          </w:pPr>
                          <w:r>
                            <w:rPr>
                              <w:noProof/>
                            </w:rPr>
                            <w:drawing>
                              <wp:inline distT="0" distB="0" distL="0" distR="0" wp14:anchorId="08E35684" wp14:editId="147AA98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16663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BCE898" w14:textId="77777777" w:rsidR="000850EF" w:rsidRDefault="00E20D38">
                    <w:pPr>
                      <w:spacing w:line="240" w:lineRule="auto"/>
                    </w:pPr>
                    <w:r>
                      <w:rPr>
                        <w:noProof/>
                      </w:rPr>
                      <w:drawing>
                        <wp:inline distT="0" distB="0" distL="0" distR="0" wp14:anchorId="08E35684" wp14:editId="147AA98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E1B4F1" wp14:editId="49E73DB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F0A591" w14:textId="77777777" w:rsidR="000850EF" w:rsidRDefault="00E20D38">
                          <w:pPr>
                            <w:spacing w:line="240" w:lineRule="auto"/>
                          </w:pPr>
                          <w:r>
                            <w:rPr>
                              <w:noProof/>
                            </w:rPr>
                            <w:drawing>
                              <wp:inline distT="0" distB="0" distL="0" distR="0" wp14:anchorId="40C71E0D" wp14:editId="31D8A96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E1B4F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8F0A591" w14:textId="77777777" w:rsidR="000850EF" w:rsidRDefault="00E20D38">
                    <w:pPr>
                      <w:spacing w:line="240" w:lineRule="auto"/>
                    </w:pPr>
                    <w:r>
                      <w:rPr>
                        <w:noProof/>
                      </w:rPr>
                      <w:drawing>
                        <wp:inline distT="0" distB="0" distL="0" distR="0" wp14:anchorId="40C71E0D" wp14:editId="31D8A96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379037" wp14:editId="39A455B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C99AD9" w14:textId="77777777" w:rsidR="000850EF" w:rsidRDefault="00E20D3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37903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3C99AD9" w14:textId="77777777" w:rsidR="000850EF" w:rsidRDefault="00E20D3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781441" wp14:editId="49AE013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F5A2B1" w14:textId="77777777" w:rsidR="005A639F" w:rsidRDefault="00E20D38">
                          <w:r>
                            <w:t xml:space="preserve">Aan de voorzitter van de Tweede Kamer </w:t>
                          </w:r>
                        </w:p>
                        <w:p w14:paraId="0BE52FEB" w14:textId="6F1F11AA" w:rsidR="000850EF" w:rsidRDefault="00E20D38">
                          <w:r>
                            <w:t>der Staten-Generaal</w:t>
                          </w:r>
                        </w:p>
                        <w:p w14:paraId="726C0E7A" w14:textId="77777777" w:rsidR="000850EF" w:rsidRDefault="00E20D38">
                          <w:r>
                            <w:t xml:space="preserve">Postbus 20018 </w:t>
                          </w:r>
                        </w:p>
                        <w:p w14:paraId="367462CB" w14:textId="77777777" w:rsidR="000850EF" w:rsidRDefault="00E20D38">
                          <w:r>
                            <w:t>2500 EA  DEN HAAG</w:t>
                          </w:r>
                        </w:p>
                      </w:txbxContent>
                    </wps:txbx>
                    <wps:bodyPr vert="horz" wrap="square" lIns="0" tIns="0" rIns="0" bIns="0" anchor="t" anchorCtr="0"/>
                  </wps:wsp>
                </a:graphicData>
              </a:graphic>
            </wp:anchor>
          </w:drawing>
        </mc:Choice>
        <mc:Fallback>
          <w:pict>
            <v:shape w14:anchorId="7078144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F5A2B1" w14:textId="77777777" w:rsidR="005A639F" w:rsidRDefault="00E20D38">
                    <w:r>
                      <w:t xml:space="preserve">Aan de voorzitter van de Tweede Kamer </w:t>
                    </w:r>
                  </w:p>
                  <w:p w14:paraId="0BE52FEB" w14:textId="6F1F11AA" w:rsidR="000850EF" w:rsidRDefault="00E20D38">
                    <w:r>
                      <w:t>der Staten-Generaal</w:t>
                    </w:r>
                  </w:p>
                  <w:p w14:paraId="726C0E7A" w14:textId="77777777" w:rsidR="000850EF" w:rsidRDefault="00E20D38">
                    <w:r>
                      <w:t xml:space="preserve">Postbus 20018 </w:t>
                    </w:r>
                  </w:p>
                  <w:p w14:paraId="367462CB" w14:textId="77777777" w:rsidR="000850EF" w:rsidRDefault="00E20D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7181B5" wp14:editId="2489D7B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50EF" w14:paraId="205AC4BB" w14:textId="77777777">
                            <w:trPr>
                              <w:trHeight w:val="240"/>
                            </w:trPr>
                            <w:tc>
                              <w:tcPr>
                                <w:tcW w:w="1140" w:type="dxa"/>
                              </w:tcPr>
                              <w:p w14:paraId="3CBB9FC7" w14:textId="77777777" w:rsidR="000850EF" w:rsidRDefault="00E20D38">
                                <w:r>
                                  <w:t>Datum</w:t>
                                </w:r>
                              </w:p>
                            </w:tc>
                            <w:tc>
                              <w:tcPr>
                                <w:tcW w:w="5918" w:type="dxa"/>
                              </w:tcPr>
                              <w:p w14:paraId="04ED5822" w14:textId="2DC79BB5" w:rsidR="000850EF" w:rsidRDefault="00FA59E2">
                                <w:sdt>
                                  <w:sdtPr>
                                    <w:id w:val="-862666077"/>
                                    <w:date w:fullDate="2026-03-26T00:00:00Z">
                                      <w:dateFormat w:val="d MMMM yyyy"/>
                                      <w:lid w:val="nl"/>
                                      <w:storeMappedDataAs w:val="dateTime"/>
                                      <w:calendar w:val="gregorian"/>
                                    </w:date>
                                  </w:sdtPr>
                                  <w:sdtEndPr/>
                                  <w:sdtContent>
                                    <w:r w:rsidR="000C49E8">
                                      <w:rPr>
                                        <w:lang w:val="nl"/>
                                      </w:rPr>
                                      <w:t>26 maart 2026</w:t>
                                    </w:r>
                                  </w:sdtContent>
                                </w:sdt>
                              </w:p>
                            </w:tc>
                          </w:tr>
                          <w:tr w:rsidR="000850EF" w14:paraId="6040712C" w14:textId="77777777">
                            <w:trPr>
                              <w:trHeight w:val="240"/>
                            </w:trPr>
                            <w:tc>
                              <w:tcPr>
                                <w:tcW w:w="1140" w:type="dxa"/>
                              </w:tcPr>
                              <w:p w14:paraId="5539EC22" w14:textId="77777777" w:rsidR="000850EF" w:rsidRDefault="00E20D38">
                                <w:r>
                                  <w:t>Betreft</w:t>
                                </w:r>
                              </w:p>
                            </w:tc>
                            <w:tc>
                              <w:tcPr>
                                <w:tcW w:w="5918" w:type="dxa"/>
                              </w:tcPr>
                              <w:p w14:paraId="2A24C904" w14:textId="77777777" w:rsidR="000850EF" w:rsidRDefault="00E20D38">
                                <w:r>
                                  <w:t>Antwoorden Kamervragen over het bericht 'Jongeren vatbaar voor ‘snel geld’</w:t>
                                </w:r>
                              </w:p>
                            </w:tc>
                          </w:tr>
                        </w:tbl>
                        <w:p w14:paraId="23429335" w14:textId="77777777" w:rsidR="00BF668B" w:rsidRDefault="00BF668B"/>
                      </w:txbxContent>
                    </wps:txbx>
                    <wps:bodyPr vert="horz" wrap="square" lIns="0" tIns="0" rIns="0" bIns="0" anchor="t" anchorCtr="0"/>
                  </wps:wsp>
                </a:graphicData>
              </a:graphic>
            </wp:anchor>
          </w:drawing>
        </mc:Choice>
        <mc:Fallback>
          <w:pict>
            <v:shape w14:anchorId="337181B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50EF" w14:paraId="205AC4BB" w14:textId="77777777">
                      <w:trPr>
                        <w:trHeight w:val="240"/>
                      </w:trPr>
                      <w:tc>
                        <w:tcPr>
                          <w:tcW w:w="1140" w:type="dxa"/>
                        </w:tcPr>
                        <w:p w14:paraId="3CBB9FC7" w14:textId="77777777" w:rsidR="000850EF" w:rsidRDefault="00E20D38">
                          <w:r>
                            <w:t>Datum</w:t>
                          </w:r>
                        </w:p>
                      </w:tc>
                      <w:tc>
                        <w:tcPr>
                          <w:tcW w:w="5918" w:type="dxa"/>
                        </w:tcPr>
                        <w:p w14:paraId="04ED5822" w14:textId="2DC79BB5" w:rsidR="000850EF" w:rsidRDefault="00FA59E2">
                          <w:sdt>
                            <w:sdtPr>
                              <w:id w:val="-862666077"/>
                              <w:date w:fullDate="2026-03-26T00:00:00Z">
                                <w:dateFormat w:val="d MMMM yyyy"/>
                                <w:lid w:val="nl"/>
                                <w:storeMappedDataAs w:val="dateTime"/>
                                <w:calendar w:val="gregorian"/>
                              </w:date>
                            </w:sdtPr>
                            <w:sdtEndPr/>
                            <w:sdtContent>
                              <w:r w:rsidR="000C49E8">
                                <w:rPr>
                                  <w:lang w:val="nl"/>
                                </w:rPr>
                                <w:t>26 maart 2026</w:t>
                              </w:r>
                            </w:sdtContent>
                          </w:sdt>
                        </w:p>
                      </w:tc>
                    </w:tr>
                    <w:tr w:rsidR="000850EF" w14:paraId="6040712C" w14:textId="77777777">
                      <w:trPr>
                        <w:trHeight w:val="240"/>
                      </w:trPr>
                      <w:tc>
                        <w:tcPr>
                          <w:tcW w:w="1140" w:type="dxa"/>
                        </w:tcPr>
                        <w:p w14:paraId="5539EC22" w14:textId="77777777" w:rsidR="000850EF" w:rsidRDefault="00E20D38">
                          <w:r>
                            <w:t>Betreft</w:t>
                          </w:r>
                        </w:p>
                      </w:tc>
                      <w:tc>
                        <w:tcPr>
                          <w:tcW w:w="5918" w:type="dxa"/>
                        </w:tcPr>
                        <w:p w14:paraId="2A24C904" w14:textId="77777777" w:rsidR="000850EF" w:rsidRDefault="00E20D38">
                          <w:r>
                            <w:t>Antwoorden Kamervragen over het bericht 'Jongeren vatbaar voor ‘snel geld’</w:t>
                          </w:r>
                        </w:p>
                      </w:tc>
                    </w:tr>
                  </w:tbl>
                  <w:p w14:paraId="23429335" w14:textId="77777777" w:rsidR="00BF668B" w:rsidRDefault="00BF66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2574F3" wp14:editId="5304769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E969CE" w14:textId="77777777" w:rsidR="000850EF" w:rsidRDefault="00E20D38">
                          <w:pPr>
                            <w:pStyle w:val="Referentiegegevensbold"/>
                          </w:pPr>
                          <w:r>
                            <w:t>Directoraat-Generaal Ondermijning</w:t>
                          </w:r>
                        </w:p>
                        <w:p w14:paraId="668CC4DF" w14:textId="77777777" w:rsidR="000850EF" w:rsidRDefault="000850EF">
                          <w:pPr>
                            <w:pStyle w:val="WitregelW1"/>
                          </w:pPr>
                        </w:p>
                        <w:p w14:paraId="41699254" w14:textId="77777777" w:rsidR="000850EF" w:rsidRDefault="00E20D38">
                          <w:pPr>
                            <w:pStyle w:val="Referentiegegevens"/>
                          </w:pPr>
                          <w:r>
                            <w:t>Turfmarkt 147</w:t>
                          </w:r>
                        </w:p>
                        <w:p w14:paraId="0A1F68E6" w14:textId="77777777" w:rsidR="000850EF" w:rsidRDefault="00E20D38">
                          <w:pPr>
                            <w:pStyle w:val="Referentiegegevens"/>
                          </w:pPr>
                          <w:r>
                            <w:t>2511 DP  Den Haag</w:t>
                          </w:r>
                        </w:p>
                        <w:p w14:paraId="720804DC" w14:textId="77777777" w:rsidR="000850EF" w:rsidRPr="000D5DE3" w:rsidRDefault="00E20D38">
                          <w:pPr>
                            <w:pStyle w:val="Referentiegegevens"/>
                            <w:rPr>
                              <w:lang w:val="de-DE"/>
                            </w:rPr>
                          </w:pPr>
                          <w:r w:rsidRPr="000D5DE3">
                            <w:rPr>
                              <w:lang w:val="de-DE"/>
                            </w:rPr>
                            <w:t>Postbus 20301</w:t>
                          </w:r>
                        </w:p>
                        <w:p w14:paraId="38AF6CCD" w14:textId="77777777" w:rsidR="000850EF" w:rsidRPr="000D5DE3" w:rsidRDefault="00E20D38">
                          <w:pPr>
                            <w:pStyle w:val="Referentiegegevens"/>
                            <w:rPr>
                              <w:lang w:val="de-DE"/>
                            </w:rPr>
                          </w:pPr>
                          <w:r w:rsidRPr="000D5DE3">
                            <w:rPr>
                              <w:lang w:val="de-DE"/>
                            </w:rPr>
                            <w:t>2500 EH  Den Haag</w:t>
                          </w:r>
                        </w:p>
                        <w:p w14:paraId="763F0056" w14:textId="3EC1D59A" w:rsidR="000850EF" w:rsidRPr="000D5DE3" w:rsidRDefault="00E20D38" w:rsidP="005A639F">
                          <w:pPr>
                            <w:pStyle w:val="Referentiegegevens"/>
                            <w:rPr>
                              <w:lang w:val="de-DE"/>
                            </w:rPr>
                          </w:pPr>
                          <w:r w:rsidRPr="000D5DE3">
                            <w:rPr>
                              <w:lang w:val="de-DE"/>
                            </w:rPr>
                            <w:t>www.rijksoverheid.nl/jenv</w:t>
                          </w:r>
                        </w:p>
                        <w:p w14:paraId="69FCD8BA" w14:textId="77777777" w:rsidR="000850EF" w:rsidRPr="000D5DE3" w:rsidRDefault="000850EF">
                          <w:pPr>
                            <w:pStyle w:val="WitregelW2"/>
                            <w:rPr>
                              <w:lang w:val="de-DE"/>
                            </w:rPr>
                          </w:pPr>
                        </w:p>
                        <w:p w14:paraId="24135095" w14:textId="77777777" w:rsidR="000850EF" w:rsidRDefault="00E20D38">
                          <w:pPr>
                            <w:pStyle w:val="Referentiegegevensbold"/>
                          </w:pPr>
                          <w:r>
                            <w:t>Onze referentie</w:t>
                          </w:r>
                        </w:p>
                        <w:p w14:paraId="14072505" w14:textId="77777777" w:rsidR="000850EF" w:rsidRDefault="00E20D38">
                          <w:pPr>
                            <w:pStyle w:val="Referentiegegevens"/>
                          </w:pPr>
                          <w:r>
                            <w:t>7159538</w:t>
                          </w:r>
                        </w:p>
                        <w:p w14:paraId="7123EFD4" w14:textId="77777777" w:rsidR="000850EF" w:rsidRDefault="000850EF">
                          <w:pPr>
                            <w:pStyle w:val="WitregelW1"/>
                          </w:pPr>
                        </w:p>
                        <w:p w14:paraId="0AB48F01" w14:textId="77777777" w:rsidR="000850EF" w:rsidRDefault="00E20D38">
                          <w:pPr>
                            <w:pStyle w:val="Referentiegegevensbold"/>
                          </w:pPr>
                          <w:r>
                            <w:t>Uw referentie</w:t>
                          </w:r>
                        </w:p>
                        <w:p w14:paraId="4BDEDDEC" w14:textId="77777777" w:rsidR="000850EF" w:rsidRDefault="00FA59E2">
                          <w:pPr>
                            <w:pStyle w:val="Referentiegegevens"/>
                          </w:pPr>
                          <w:sdt>
                            <w:sdtPr>
                              <w:id w:val="1186102752"/>
                              <w:dataBinding w:prefixMappings="xmlns:ns0='docgen-assistant'" w:xpath="/ns0:CustomXml[1]/ns0:Variables[1]/ns0:Variable[1]/ns0:Value[1]" w:storeItemID="{69D6EEC8-C9E1-4904-8281-341938F2DEB0}"/>
                              <w:text/>
                            </w:sdtPr>
                            <w:sdtEndPr/>
                            <w:sdtContent>
                              <w:r w:rsidR="00BC5727">
                                <w:t>2026Z01964</w:t>
                              </w:r>
                            </w:sdtContent>
                          </w:sdt>
                        </w:p>
                      </w:txbxContent>
                    </wps:txbx>
                    <wps:bodyPr vert="horz" wrap="square" lIns="0" tIns="0" rIns="0" bIns="0" anchor="t" anchorCtr="0"/>
                  </wps:wsp>
                </a:graphicData>
              </a:graphic>
            </wp:anchor>
          </w:drawing>
        </mc:Choice>
        <mc:Fallback>
          <w:pict>
            <v:shape w14:anchorId="572574F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E969CE" w14:textId="77777777" w:rsidR="000850EF" w:rsidRDefault="00E20D38">
                    <w:pPr>
                      <w:pStyle w:val="Referentiegegevensbold"/>
                    </w:pPr>
                    <w:r>
                      <w:t>Directoraat-Generaal Ondermijning</w:t>
                    </w:r>
                  </w:p>
                  <w:p w14:paraId="668CC4DF" w14:textId="77777777" w:rsidR="000850EF" w:rsidRDefault="000850EF">
                    <w:pPr>
                      <w:pStyle w:val="WitregelW1"/>
                    </w:pPr>
                  </w:p>
                  <w:p w14:paraId="41699254" w14:textId="77777777" w:rsidR="000850EF" w:rsidRDefault="00E20D38">
                    <w:pPr>
                      <w:pStyle w:val="Referentiegegevens"/>
                    </w:pPr>
                    <w:r>
                      <w:t>Turfmarkt 147</w:t>
                    </w:r>
                  </w:p>
                  <w:p w14:paraId="0A1F68E6" w14:textId="77777777" w:rsidR="000850EF" w:rsidRDefault="00E20D38">
                    <w:pPr>
                      <w:pStyle w:val="Referentiegegevens"/>
                    </w:pPr>
                    <w:r>
                      <w:t>2511 DP  Den Haag</w:t>
                    </w:r>
                  </w:p>
                  <w:p w14:paraId="720804DC" w14:textId="77777777" w:rsidR="000850EF" w:rsidRPr="000D5DE3" w:rsidRDefault="00E20D38">
                    <w:pPr>
                      <w:pStyle w:val="Referentiegegevens"/>
                      <w:rPr>
                        <w:lang w:val="de-DE"/>
                      </w:rPr>
                    </w:pPr>
                    <w:r w:rsidRPr="000D5DE3">
                      <w:rPr>
                        <w:lang w:val="de-DE"/>
                      </w:rPr>
                      <w:t>Postbus 20301</w:t>
                    </w:r>
                  </w:p>
                  <w:p w14:paraId="38AF6CCD" w14:textId="77777777" w:rsidR="000850EF" w:rsidRPr="000D5DE3" w:rsidRDefault="00E20D38">
                    <w:pPr>
                      <w:pStyle w:val="Referentiegegevens"/>
                      <w:rPr>
                        <w:lang w:val="de-DE"/>
                      </w:rPr>
                    </w:pPr>
                    <w:r w:rsidRPr="000D5DE3">
                      <w:rPr>
                        <w:lang w:val="de-DE"/>
                      </w:rPr>
                      <w:t>2500 EH  Den Haag</w:t>
                    </w:r>
                  </w:p>
                  <w:p w14:paraId="763F0056" w14:textId="3EC1D59A" w:rsidR="000850EF" w:rsidRPr="000D5DE3" w:rsidRDefault="00E20D38" w:rsidP="005A639F">
                    <w:pPr>
                      <w:pStyle w:val="Referentiegegevens"/>
                      <w:rPr>
                        <w:lang w:val="de-DE"/>
                      </w:rPr>
                    </w:pPr>
                    <w:r w:rsidRPr="000D5DE3">
                      <w:rPr>
                        <w:lang w:val="de-DE"/>
                      </w:rPr>
                      <w:t>www.rijksoverheid.nl/jenv</w:t>
                    </w:r>
                  </w:p>
                  <w:p w14:paraId="69FCD8BA" w14:textId="77777777" w:rsidR="000850EF" w:rsidRPr="000D5DE3" w:rsidRDefault="000850EF">
                    <w:pPr>
                      <w:pStyle w:val="WitregelW2"/>
                      <w:rPr>
                        <w:lang w:val="de-DE"/>
                      </w:rPr>
                    </w:pPr>
                  </w:p>
                  <w:p w14:paraId="24135095" w14:textId="77777777" w:rsidR="000850EF" w:rsidRDefault="00E20D38">
                    <w:pPr>
                      <w:pStyle w:val="Referentiegegevensbold"/>
                    </w:pPr>
                    <w:r>
                      <w:t>Onze referentie</w:t>
                    </w:r>
                  </w:p>
                  <w:p w14:paraId="14072505" w14:textId="77777777" w:rsidR="000850EF" w:rsidRDefault="00E20D38">
                    <w:pPr>
                      <w:pStyle w:val="Referentiegegevens"/>
                    </w:pPr>
                    <w:r>
                      <w:t>7159538</w:t>
                    </w:r>
                  </w:p>
                  <w:p w14:paraId="7123EFD4" w14:textId="77777777" w:rsidR="000850EF" w:rsidRDefault="000850EF">
                    <w:pPr>
                      <w:pStyle w:val="WitregelW1"/>
                    </w:pPr>
                  </w:p>
                  <w:p w14:paraId="0AB48F01" w14:textId="77777777" w:rsidR="000850EF" w:rsidRDefault="00E20D38">
                    <w:pPr>
                      <w:pStyle w:val="Referentiegegevensbold"/>
                    </w:pPr>
                    <w:r>
                      <w:t>Uw referentie</w:t>
                    </w:r>
                  </w:p>
                  <w:p w14:paraId="4BDEDDEC" w14:textId="77777777" w:rsidR="000850EF" w:rsidRDefault="00FA59E2">
                    <w:pPr>
                      <w:pStyle w:val="Referentiegegevens"/>
                    </w:pPr>
                    <w:sdt>
                      <w:sdtPr>
                        <w:id w:val="1186102752"/>
                        <w:dataBinding w:prefixMappings="xmlns:ns0='docgen-assistant'" w:xpath="/ns0:CustomXml[1]/ns0:Variables[1]/ns0:Variable[1]/ns0:Value[1]" w:storeItemID="{69D6EEC8-C9E1-4904-8281-341938F2DEB0}"/>
                        <w:text/>
                      </w:sdtPr>
                      <w:sdtEndPr/>
                      <w:sdtContent>
                        <w:r w:rsidR="00BC5727">
                          <w:t>2026Z01964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45DF9C" wp14:editId="2CA0475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1D6BC1" w14:textId="77777777" w:rsidR="000850EF" w:rsidRDefault="00E20D38">
                          <w:pPr>
                            <w:pStyle w:val="Referentiegegevens"/>
                          </w:pPr>
                          <w:r>
                            <w:t xml:space="preserve">Pagina </w:t>
                          </w:r>
                          <w:r>
                            <w:fldChar w:fldCharType="begin"/>
                          </w:r>
                          <w:r>
                            <w:instrText>PAGE</w:instrText>
                          </w:r>
                          <w:r>
                            <w:fldChar w:fldCharType="separate"/>
                          </w:r>
                          <w:r w:rsidR="005A639F">
                            <w:rPr>
                              <w:noProof/>
                            </w:rPr>
                            <w:t>1</w:t>
                          </w:r>
                          <w:r>
                            <w:fldChar w:fldCharType="end"/>
                          </w:r>
                          <w:r>
                            <w:t xml:space="preserve"> van </w:t>
                          </w:r>
                          <w:r>
                            <w:fldChar w:fldCharType="begin"/>
                          </w:r>
                          <w:r>
                            <w:instrText>NUMPAGES</w:instrText>
                          </w:r>
                          <w:r>
                            <w:fldChar w:fldCharType="separate"/>
                          </w:r>
                          <w:r w:rsidR="005A639F">
                            <w:rPr>
                              <w:noProof/>
                            </w:rPr>
                            <w:t>2</w:t>
                          </w:r>
                          <w:r>
                            <w:fldChar w:fldCharType="end"/>
                          </w:r>
                        </w:p>
                      </w:txbxContent>
                    </wps:txbx>
                    <wps:bodyPr vert="horz" wrap="square" lIns="0" tIns="0" rIns="0" bIns="0" anchor="t" anchorCtr="0"/>
                  </wps:wsp>
                </a:graphicData>
              </a:graphic>
            </wp:anchor>
          </w:drawing>
        </mc:Choice>
        <mc:Fallback>
          <w:pict>
            <v:shape w14:anchorId="6D45DF9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31D6BC1" w14:textId="77777777" w:rsidR="000850EF" w:rsidRDefault="00E20D38">
                    <w:pPr>
                      <w:pStyle w:val="Referentiegegevens"/>
                    </w:pPr>
                    <w:r>
                      <w:t xml:space="preserve">Pagina </w:t>
                    </w:r>
                    <w:r>
                      <w:fldChar w:fldCharType="begin"/>
                    </w:r>
                    <w:r>
                      <w:instrText>PAGE</w:instrText>
                    </w:r>
                    <w:r>
                      <w:fldChar w:fldCharType="separate"/>
                    </w:r>
                    <w:r w:rsidR="005A639F">
                      <w:rPr>
                        <w:noProof/>
                      </w:rPr>
                      <w:t>1</w:t>
                    </w:r>
                    <w:r>
                      <w:fldChar w:fldCharType="end"/>
                    </w:r>
                    <w:r>
                      <w:t xml:space="preserve"> van </w:t>
                    </w:r>
                    <w:r>
                      <w:fldChar w:fldCharType="begin"/>
                    </w:r>
                    <w:r>
                      <w:instrText>NUMPAGES</w:instrText>
                    </w:r>
                    <w:r>
                      <w:fldChar w:fldCharType="separate"/>
                    </w:r>
                    <w:r w:rsidR="005A639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DD2B79" wp14:editId="0ED97F2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43DB5B" w14:textId="77777777" w:rsidR="00BF668B" w:rsidRDefault="00BF668B"/>
                      </w:txbxContent>
                    </wps:txbx>
                    <wps:bodyPr vert="horz" wrap="square" lIns="0" tIns="0" rIns="0" bIns="0" anchor="t" anchorCtr="0"/>
                  </wps:wsp>
                </a:graphicData>
              </a:graphic>
            </wp:anchor>
          </w:drawing>
        </mc:Choice>
        <mc:Fallback>
          <w:pict>
            <v:shape w14:anchorId="1BDD2B7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43DB5B" w14:textId="77777777" w:rsidR="00BF668B" w:rsidRDefault="00BF66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3B82C"/>
    <w:multiLevelType w:val="multilevel"/>
    <w:tmpl w:val="372C7A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0F219B1"/>
    <w:multiLevelType w:val="multilevel"/>
    <w:tmpl w:val="280018C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FE51ED3"/>
    <w:multiLevelType w:val="multilevel"/>
    <w:tmpl w:val="175A902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3CE64B5"/>
    <w:multiLevelType w:val="multilevel"/>
    <w:tmpl w:val="7C61FF5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7F76FE"/>
    <w:multiLevelType w:val="hybridMultilevel"/>
    <w:tmpl w:val="9F9E0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C74DB3"/>
    <w:multiLevelType w:val="multilevel"/>
    <w:tmpl w:val="21EE43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65D95C5"/>
    <w:multiLevelType w:val="multilevel"/>
    <w:tmpl w:val="F75121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9172DE8"/>
    <w:multiLevelType w:val="hybridMultilevel"/>
    <w:tmpl w:val="B8C845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0B06ED"/>
    <w:multiLevelType w:val="hybridMultilevel"/>
    <w:tmpl w:val="52DE8ACA"/>
    <w:lvl w:ilvl="0" w:tplc="137CE510">
      <w:start w:val="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5612931">
    <w:abstractNumId w:val="2"/>
  </w:num>
  <w:num w:numId="2" w16cid:durableId="803236833">
    <w:abstractNumId w:val="3"/>
  </w:num>
  <w:num w:numId="3" w16cid:durableId="162550783">
    <w:abstractNumId w:val="5"/>
  </w:num>
  <w:num w:numId="4" w16cid:durableId="1870070569">
    <w:abstractNumId w:val="0"/>
  </w:num>
  <w:num w:numId="5" w16cid:durableId="1381637979">
    <w:abstractNumId w:val="1"/>
  </w:num>
  <w:num w:numId="6" w16cid:durableId="398093667">
    <w:abstractNumId w:val="6"/>
  </w:num>
  <w:num w:numId="7" w16cid:durableId="1328173165">
    <w:abstractNumId w:val="4"/>
  </w:num>
  <w:num w:numId="8" w16cid:durableId="70086321">
    <w:abstractNumId w:val="7"/>
  </w:num>
  <w:num w:numId="9" w16cid:durableId="1815564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9F"/>
    <w:rsid w:val="0000150E"/>
    <w:rsid w:val="00021168"/>
    <w:rsid w:val="00037B8A"/>
    <w:rsid w:val="0004092C"/>
    <w:rsid w:val="000850EF"/>
    <w:rsid w:val="00090CA8"/>
    <w:rsid w:val="0009299A"/>
    <w:rsid w:val="00093ACF"/>
    <w:rsid w:val="000A7888"/>
    <w:rsid w:val="000C49E8"/>
    <w:rsid w:val="000D5DE3"/>
    <w:rsid w:val="000E3AA4"/>
    <w:rsid w:val="000E6BF8"/>
    <w:rsid w:val="000F60CC"/>
    <w:rsid w:val="000F6C75"/>
    <w:rsid w:val="00121A7E"/>
    <w:rsid w:val="00137D35"/>
    <w:rsid w:val="00142A78"/>
    <w:rsid w:val="00164FC9"/>
    <w:rsid w:val="001678FA"/>
    <w:rsid w:val="001947D2"/>
    <w:rsid w:val="001B66B0"/>
    <w:rsid w:val="001B7D93"/>
    <w:rsid w:val="001C1F34"/>
    <w:rsid w:val="001E5003"/>
    <w:rsid w:val="001F2975"/>
    <w:rsid w:val="001F714E"/>
    <w:rsid w:val="00216BDD"/>
    <w:rsid w:val="00223B1E"/>
    <w:rsid w:val="002326E9"/>
    <w:rsid w:val="00233E76"/>
    <w:rsid w:val="00237A18"/>
    <w:rsid w:val="00265398"/>
    <w:rsid w:val="00265546"/>
    <w:rsid w:val="0027508B"/>
    <w:rsid w:val="0028708F"/>
    <w:rsid w:val="00293E87"/>
    <w:rsid w:val="002972A8"/>
    <w:rsid w:val="002A1692"/>
    <w:rsid w:val="002A5E7E"/>
    <w:rsid w:val="002C7E64"/>
    <w:rsid w:val="002D142E"/>
    <w:rsid w:val="002D3649"/>
    <w:rsid w:val="002D5340"/>
    <w:rsid w:val="002D755A"/>
    <w:rsid w:val="002E06F7"/>
    <w:rsid w:val="002E7C58"/>
    <w:rsid w:val="002F2A06"/>
    <w:rsid w:val="00306E37"/>
    <w:rsid w:val="00313773"/>
    <w:rsid w:val="0032798B"/>
    <w:rsid w:val="00336AD8"/>
    <w:rsid w:val="00340217"/>
    <w:rsid w:val="00360AEA"/>
    <w:rsid w:val="0038243D"/>
    <w:rsid w:val="003844E6"/>
    <w:rsid w:val="003A6BF1"/>
    <w:rsid w:val="003C01C0"/>
    <w:rsid w:val="003F5CB8"/>
    <w:rsid w:val="00401F5E"/>
    <w:rsid w:val="0040695E"/>
    <w:rsid w:val="00411386"/>
    <w:rsid w:val="00423AC4"/>
    <w:rsid w:val="00427FEB"/>
    <w:rsid w:val="004302D1"/>
    <w:rsid w:val="004311D8"/>
    <w:rsid w:val="0044204F"/>
    <w:rsid w:val="004546AF"/>
    <w:rsid w:val="0046636A"/>
    <w:rsid w:val="004877F2"/>
    <w:rsid w:val="0049406C"/>
    <w:rsid w:val="004A161A"/>
    <w:rsid w:val="004A1947"/>
    <w:rsid w:val="004A1C87"/>
    <w:rsid w:val="004A2F7F"/>
    <w:rsid w:val="004A6B14"/>
    <w:rsid w:val="004A7373"/>
    <w:rsid w:val="004C512B"/>
    <w:rsid w:val="004D3DAF"/>
    <w:rsid w:val="004D4C7C"/>
    <w:rsid w:val="004E53E6"/>
    <w:rsid w:val="00502AFB"/>
    <w:rsid w:val="00503616"/>
    <w:rsid w:val="00510FE9"/>
    <w:rsid w:val="00511ABB"/>
    <w:rsid w:val="00532384"/>
    <w:rsid w:val="00544CBF"/>
    <w:rsid w:val="005771C5"/>
    <w:rsid w:val="00577DE2"/>
    <w:rsid w:val="00586A68"/>
    <w:rsid w:val="00587D1A"/>
    <w:rsid w:val="005A587B"/>
    <w:rsid w:val="005A639F"/>
    <w:rsid w:val="005A7B16"/>
    <w:rsid w:val="005B32ED"/>
    <w:rsid w:val="005B7985"/>
    <w:rsid w:val="005C52B7"/>
    <w:rsid w:val="005D4ABA"/>
    <w:rsid w:val="005E6E55"/>
    <w:rsid w:val="005F77F7"/>
    <w:rsid w:val="00600BD6"/>
    <w:rsid w:val="00635E33"/>
    <w:rsid w:val="006429A2"/>
    <w:rsid w:val="00647767"/>
    <w:rsid w:val="00653445"/>
    <w:rsid w:val="00653D16"/>
    <w:rsid w:val="00666A5E"/>
    <w:rsid w:val="006A36DE"/>
    <w:rsid w:val="006A76B8"/>
    <w:rsid w:val="006B040A"/>
    <w:rsid w:val="006B104C"/>
    <w:rsid w:val="006B4889"/>
    <w:rsid w:val="006C6F46"/>
    <w:rsid w:val="006E226D"/>
    <w:rsid w:val="00700818"/>
    <w:rsid w:val="00704BD1"/>
    <w:rsid w:val="00717CF4"/>
    <w:rsid w:val="007263A6"/>
    <w:rsid w:val="00727C78"/>
    <w:rsid w:val="00742D6F"/>
    <w:rsid w:val="00743A94"/>
    <w:rsid w:val="007524B6"/>
    <w:rsid w:val="00765F5D"/>
    <w:rsid w:val="00773B50"/>
    <w:rsid w:val="007744AC"/>
    <w:rsid w:val="007765C3"/>
    <w:rsid w:val="0077702D"/>
    <w:rsid w:val="00777147"/>
    <w:rsid w:val="00790FD3"/>
    <w:rsid w:val="007915D1"/>
    <w:rsid w:val="00793B19"/>
    <w:rsid w:val="007A4013"/>
    <w:rsid w:val="007B244D"/>
    <w:rsid w:val="007B326B"/>
    <w:rsid w:val="007B3DCB"/>
    <w:rsid w:val="007C4857"/>
    <w:rsid w:val="007D3658"/>
    <w:rsid w:val="008046C6"/>
    <w:rsid w:val="00820044"/>
    <w:rsid w:val="0082388A"/>
    <w:rsid w:val="008238EA"/>
    <w:rsid w:val="00841444"/>
    <w:rsid w:val="00841D1D"/>
    <w:rsid w:val="00865C54"/>
    <w:rsid w:val="0087272A"/>
    <w:rsid w:val="0087530D"/>
    <w:rsid w:val="008859EB"/>
    <w:rsid w:val="00891717"/>
    <w:rsid w:val="008A7F14"/>
    <w:rsid w:val="008B0E87"/>
    <w:rsid w:val="008B1065"/>
    <w:rsid w:val="008C0E6C"/>
    <w:rsid w:val="008D13B6"/>
    <w:rsid w:val="008E0200"/>
    <w:rsid w:val="008E34F6"/>
    <w:rsid w:val="008F556D"/>
    <w:rsid w:val="008F654B"/>
    <w:rsid w:val="008F65E5"/>
    <w:rsid w:val="0091360A"/>
    <w:rsid w:val="00917E4F"/>
    <w:rsid w:val="00923920"/>
    <w:rsid w:val="00925281"/>
    <w:rsid w:val="00927798"/>
    <w:rsid w:val="00931618"/>
    <w:rsid w:val="00941F5F"/>
    <w:rsid w:val="0094328E"/>
    <w:rsid w:val="009441A7"/>
    <w:rsid w:val="00981626"/>
    <w:rsid w:val="0098388B"/>
    <w:rsid w:val="00983AEA"/>
    <w:rsid w:val="00985263"/>
    <w:rsid w:val="00991A9E"/>
    <w:rsid w:val="009A4F50"/>
    <w:rsid w:val="009A5186"/>
    <w:rsid w:val="009B3B4B"/>
    <w:rsid w:val="009B541B"/>
    <w:rsid w:val="009C6888"/>
    <w:rsid w:val="009E2880"/>
    <w:rsid w:val="00A0270B"/>
    <w:rsid w:val="00A06D96"/>
    <w:rsid w:val="00A10C47"/>
    <w:rsid w:val="00A44A55"/>
    <w:rsid w:val="00A51D7E"/>
    <w:rsid w:val="00A57560"/>
    <w:rsid w:val="00A7007F"/>
    <w:rsid w:val="00A85082"/>
    <w:rsid w:val="00A8681D"/>
    <w:rsid w:val="00A86D02"/>
    <w:rsid w:val="00A9406B"/>
    <w:rsid w:val="00A96E1D"/>
    <w:rsid w:val="00AA5DB6"/>
    <w:rsid w:val="00AB34EE"/>
    <w:rsid w:val="00AC308C"/>
    <w:rsid w:val="00AD185C"/>
    <w:rsid w:val="00AE46B9"/>
    <w:rsid w:val="00AF380B"/>
    <w:rsid w:val="00B00D94"/>
    <w:rsid w:val="00B26C5C"/>
    <w:rsid w:val="00B33968"/>
    <w:rsid w:val="00B423E0"/>
    <w:rsid w:val="00B50924"/>
    <w:rsid w:val="00B57F3F"/>
    <w:rsid w:val="00B615E3"/>
    <w:rsid w:val="00B630CE"/>
    <w:rsid w:val="00B84FC1"/>
    <w:rsid w:val="00B93F39"/>
    <w:rsid w:val="00B975E2"/>
    <w:rsid w:val="00BA457A"/>
    <w:rsid w:val="00BA4FDA"/>
    <w:rsid w:val="00BB024A"/>
    <w:rsid w:val="00BC5727"/>
    <w:rsid w:val="00BC69E5"/>
    <w:rsid w:val="00BF668B"/>
    <w:rsid w:val="00C06662"/>
    <w:rsid w:val="00C10378"/>
    <w:rsid w:val="00C11261"/>
    <w:rsid w:val="00C24142"/>
    <w:rsid w:val="00C435FE"/>
    <w:rsid w:val="00C65FA1"/>
    <w:rsid w:val="00C7533F"/>
    <w:rsid w:val="00C804A7"/>
    <w:rsid w:val="00C85960"/>
    <w:rsid w:val="00C879D3"/>
    <w:rsid w:val="00C9635A"/>
    <w:rsid w:val="00CA6EBA"/>
    <w:rsid w:val="00CB1155"/>
    <w:rsid w:val="00CC1277"/>
    <w:rsid w:val="00CC1A4E"/>
    <w:rsid w:val="00CC1EDB"/>
    <w:rsid w:val="00CF110C"/>
    <w:rsid w:val="00D04C8A"/>
    <w:rsid w:val="00D26445"/>
    <w:rsid w:val="00D327D0"/>
    <w:rsid w:val="00D37F8D"/>
    <w:rsid w:val="00D44286"/>
    <w:rsid w:val="00D4459B"/>
    <w:rsid w:val="00D81663"/>
    <w:rsid w:val="00D85EC4"/>
    <w:rsid w:val="00D9152F"/>
    <w:rsid w:val="00DB5BF6"/>
    <w:rsid w:val="00DC5819"/>
    <w:rsid w:val="00DF50D0"/>
    <w:rsid w:val="00DF7E94"/>
    <w:rsid w:val="00E0135E"/>
    <w:rsid w:val="00E03414"/>
    <w:rsid w:val="00E0667F"/>
    <w:rsid w:val="00E20D38"/>
    <w:rsid w:val="00E335C6"/>
    <w:rsid w:val="00E34229"/>
    <w:rsid w:val="00E50F7F"/>
    <w:rsid w:val="00E5570D"/>
    <w:rsid w:val="00E7484B"/>
    <w:rsid w:val="00EA7DB0"/>
    <w:rsid w:val="00EB0C89"/>
    <w:rsid w:val="00EB7541"/>
    <w:rsid w:val="00ED3C6B"/>
    <w:rsid w:val="00EE3FD0"/>
    <w:rsid w:val="00F11CAD"/>
    <w:rsid w:val="00F33CA7"/>
    <w:rsid w:val="00F445BF"/>
    <w:rsid w:val="00F45CB2"/>
    <w:rsid w:val="00F47C35"/>
    <w:rsid w:val="00F53A93"/>
    <w:rsid w:val="00F53F4D"/>
    <w:rsid w:val="00F55013"/>
    <w:rsid w:val="00F60125"/>
    <w:rsid w:val="00F67AB5"/>
    <w:rsid w:val="00F81EB3"/>
    <w:rsid w:val="00F822F4"/>
    <w:rsid w:val="00F853BD"/>
    <w:rsid w:val="00F8563F"/>
    <w:rsid w:val="00F94987"/>
    <w:rsid w:val="00FA59E2"/>
    <w:rsid w:val="00FA5BB0"/>
    <w:rsid w:val="00FC2E5B"/>
    <w:rsid w:val="00FF54A6"/>
    <w:rsid w:val="00FF6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A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63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639F"/>
    <w:rPr>
      <w:rFonts w:ascii="Verdana" w:hAnsi="Verdana"/>
      <w:color w:val="000000"/>
      <w:sz w:val="18"/>
      <w:szCs w:val="18"/>
    </w:rPr>
  </w:style>
  <w:style w:type="paragraph" w:styleId="Lijstalinea">
    <w:name w:val="List Paragraph"/>
    <w:basedOn w:val="Standaard"/>
    <w:uiPriority w:val="34"/>
    <w:qFormat/>
    <w:rsid w:val="009E2880"/>
    <w:pPr>
      <w:ind w:left="720"/>
      <w:contextualSpacing/>
    </w:pPr>
  </w:style>
  <w:style w:type="character" w:styleId="Verwijzingopmerking">
    <w:name w:val="annotation reference"/>
    <w:basedOn w:val="Standaardalinea-lettertype"/>
    <w:uiPriority w:val="99"/>
    <w:semiHidden/>
    <w:unhideWhenUsed/>
    <w:rsid w:val="00B50924"/>
    <w:rPr>
      <w:sz w:val="16"/>
      <w:szCs w:val="16"/>
    </w:rPr>
  </w:style>
  <w:style w:type="paragraph" w:styleId="Tekstopmerking">
    <w:name w:val="annotation text"/>
    <w:basedOn w:val="Standaard"/>
    <w:link w:val="TekstopmerkingChar"/>
    <w:uiPriority w:val="99"/>
    <w:unhideWhenUsed/>
    <w:rsid w:val="00B50924"/>
    <w:pPr>
      <w:spacing w:line="240" w:lineRule="auto"/>
    </w:pPr>
    <w:rPr>
      <w:sz w:val="20"/>
      <w:szCs w:val="20"/>
    </w:rPr>
  </w:style>
  <w:style w:type="character" w:customStyle="1" w:styleId="TekstopmerkingChar">
    <w:name w:val="Tekst opmerking Char"/>
    <w:basedOn w:val="Standaardalinea-lettertype"/>
    <w:link w:val="Tekstopmerking"/>
    <w:uiPriority w:val="99"/>
    <w:rsid w:val="00B509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0924"/>
    <w:rPr>
      <w:b/>
      <w:bCs/>
    </w:rPr>
  </w:style>
  <w:style w:type="character" w:customStyle="1" w:styleId="OnderwerpvanopmerkingChar">
    <w:name w:val="Onderwerp van opmerking Char"/>
    <w:basedOn w:val="TekstopmerkingChar"/>
    <w:link w:val="Onderwerpvanopmerking"/>
    <w:uiPriority w:val="99"/>
    <w:semiHidden/>
    <w:rsid w:val="00B50924"/>
    <w:rPr>
      <w:rFonts w:ascii="Verdana" w:hAnsi="Verdana"/>
      <w:b/>
      <w:bCs/>
      <w:color w:val="000000"/>
    </w:rPr>
  </w:style>
  <w:style w:type="paragraph" w:styleId="Voetnoottekst">
    <w:name w:val="footnote text"/>
    <w:basedOn w:val="Standaard"/>
    <w:link w:val="VoetnoottekstChar"/>
    <w:uiPriority w:val="99"/>
    <w:semiHidden/>
    <w:unhideWhenUsed/>
    <w:rsid w:val="00587D1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87D1A"/>
    <w:rPr>
      <w:rFonts w:ascii="Verdana" w:hAnsi="Verdana"/>
      <w:color w:val="000000"/>
    </w:rPr>
  </w:style>
  <w:style w:type="character" w:styleId="Voetnootmarkering">
    <w:name w:val="footnote reference"/>
    <w:basedOn w:val="Standaardalinea-lettertype"/>
    <w:uiPriority w:val="99"/>
    <w:semiHidden/>
    <w:unhideWhenUsed/>
    <w:rsid w:val="00587D1A"/>
    <w:rPr>
      <w:vertAlign w:val="superscript"/>
    </w:rPr>
  </w:style>
  <w:style w:type="character" w:styleId="Onopgelostemelding">
    <w:name w:val="Unresolved Mention"/>
    <w:basedOn w:val="Standaardalinea-lettertype"/>
    <w:uiPriority w:val="99"/>
    <w:semiHidden/>
    <w:unhideWhenUsed/>
    <w:rsid w:val="00983AEA"/>
    <w:rPr>
      <w:color w:val="605E5C"/>
      <w:shd w:val="clear" w:color="auto" w:fill="E1DFDD"/>
    </w:rPr>
  </w:style>
  <w:style w:type="paragraph" w:styleId="Revisie">
    <w:name w:val="Revision"/>
    <w:hidden/>
    <w:uiPriority w:val="99"/>
    <w:semiHidden/>
    <w:rsid w:val="00C9635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3483">
      <w:bodyDiv w:val="1"/>
      <w:marLeft w:val="0"/>
      <w:marRight w:val="0"/>
      <w:marTop w:val="0"/>
      <w:marBottom w:val="0"/>
      <w:divBdr>
        <w:top w:val="none" w:sz="0" w:space="0" w:color="auto"/>
        <w:left w:val="none" w:sz="0" w:space="0" w:color="auto"/>
        <w:bottom w:val="none" w:sz="0" w:space="0" w:color="auto"/>
        <w:right w:val="none" w:sz="0" w:space="0" w:color="auto"/>
      </w:divBdr>
    </w:div>
    <w:div w:id="397900464">
      <w:bodyDiv w:val="1"/>
      <w:marLeft w:val="0"/>
      <w:marRight w:val="0"/>
      <w:marTop w:val="0"/>
      <w:marBottom w:val="0"/>
      <w:divBdr>
        <w:top w:val="none" w:sz="0" w:space="0" w:color="auto"/>
        <w:left w:val="none" w:sz="0" w:space="0" w:color="auto"/>
        <w:bottom w:val="none" w:sz="0" w:space="0" w:color="auto"/>
        <w:right w:val="none" w:sz="0" w:space="0" w:color="auto"/>
      </w:divBdr>
    </w:div>
    <w:div w:id="960723428">
      <w:bodyDiv w:val="1"/>
      <w:marLeft w:val="0"/>
      <w:marRight w:val="0"/>
      <w:marTop w:val="0"/>
      <w:marBottom w:val="0"/>
      <w:divBdr>
        <w:top w:val="none" w:sz="0" w:space="0" w:color="auto"/>
        <w:left w:val="none" w:sz="0" w:space="0" w:color="auto"/>
        <w:bottom w:val="none" w:sz="0" w:space="0" w:color="auto"/>
        <w:right w:val="none" w:sz="0" w:space="0" w:color="auto"/>
      </w:divBdr>
    </w:div>
    <w:div w:id="975600270">
      <w:bodyDiv w:val="1"/>
      <w:marLeft w:val="0"/>
      <w:marRight w:val="0"/>
      <w:marTop w:val="0"/>
      <w:marBottom w:val="0"/>
      <w:divBdr>
        <w:top w:val="none" w:sz="0" w:space="0" w:color="auto"/>
        <w:left w:val="none" w:sz="0" w:space="0" w:color="auto"/>
        <w:bottom w:val="none" w:sz="0" w:space="0" w:color="auto"/>
        <w:right w:val="none" w:sz="0" w:space="0" w:color="auto"/>
      </w:divBdr>
    </w:div>
    <w:div w:id="1107967215">
      <w:bodyDiv w:val="1"/>
      <w:marLeft w:val="0"/>
      <w:marRight w:val="0"/>
      <w:marTop w:val="0"/>
      <w:marBottom w:val="0"/>
      <w:divBdr>
        <w:top w:val="none" w:sz="0" w:space="0" w:color="auto"/>
        <w:left w:val="none" w:sz="0" w:space="0" w:color="auto"/>
        <w:bottom w:val="none" w:sz="0" w:space="0" w:color="auto"/>
        <w:right w:val="none" w:sz="0" w:space="0" w:color="auto"/>
      </w:divBdr>
    </w:div>
    <w:div w:id="1284191766">
      <w:bodyDiv w:val="1"/>
      <w:marLeft w:val="0"/>
      <w:marRight w:val="0"/>
      <w:marTop w:val="0"/>
      <w:marBottom w:val="0"/>
      <w:divBdr>
        <w:top w:val="none" w:sz="0" w:space="0" w:color="auto"/>
        <w:left w:val="none" w:sz="0" w:space="0" w:color="auto"/>
        <w:bottom w:val="none" w:sz="0" w:space="0" w:color="auto"/>
        <w:right w:val="none" w:sz="0" w:space="0" w:color="auto"/>
      </w:divBdr>
    </w:div>
    <w:div w:id="1359820545">
      <w:bodyDiv w:val="1"/>
      <w:marLeft w:val="0"/>
      <w:marRight w:val="0"/>
      <w:marTop w:val="0"/>
      <w:marBottom w:val="0"/>
      <w:divBdr>
        <w:top w:val="none" w:sz="0" w:space="0" w:color="auto"/>
        <w:left w:val="none" w:sz="0" w:space="0" w:color="auto"/>
        <w:bottom w:val="none" w:sz="0" w:space="0" w:color="auto"/>
        <w:right w:val="none" w:sz="0" w:space="0" w:color="auto"/>
      </w:divBdr>
    </w:div>
    <w:div w:id="1452672317">
      <w:bodyDiv w:val="1"/>
      <w:marLeft w:val="0"/>
      <w:marRight w:val="0"/>
      <w:marTop w:val="0"/>
      <w:marBottom w:val="0"/>
      <w:divBdr>
        <w:top w:val="none" w:sz="0" w:space="0" w:color="auto"/>
        <w:left w:val="none" w:sz="0" w:space="0" w:color="auto"/>
        <w:bottom w:val="none" w:sz="0" w:space="0" w:color="auto"/>
        <w:right w:val="none" w:sz="0" w:space="0" w:color="auto"/>
      </w:divBdr>
    </w:div>
    <w:div w:id="1485778326">
      <w:bodyDiv w:val="1"/>
      <w:marLeft w:val="0"/>
      <w:marRight w:val="0"/>
      <w:marTop w:val="0"/>
      <w:marBottom w:val="0"/>
      <w:divBdr>
        <w:top w:val="none" w:sz="0" w:space="0" w:color="auto"/>
        <w:left w:val="none" w:sz="0" w:space="0" w:color="auto"/>
        <w:bottom w:val="none" w:sz="0" w:space="0" w:color="auto"/>
        <w:right w:val="none" w:sz="0" w:space="0" w:color="auto"/>
      </w:divBdr>
    </w:div>
    <w:div w:id="1606688619">
      <w:bodyDiv w:val="1"/>
      <w:marLeft w:val="0"/>
      <w:marRight w:val="0"/>
      <w:marTop w:val="0"/>
      <w:marBottom w:val="0"/>
      <w:divBdr>
        <w:top w:val="none" w:sz="0" w:space="0" w:color="auto"/>
        <w:left w:val="none" w:sz="0" w:space="0" w:color="auto"/>
        <w:bottom w:val="none" w:sz="0" w:space="0" w:color="auto"/>
        <w:right w:val="none" w:sz="0" w:space="0" w:color="auto"/>
      </w:divBdr>
    </w:div>
    <w:div w:id="1619070548">
      <w:bodyDiv w:val="1"/>
      <w:marLeft w:val="0"/>
      <w:marRight w:val="0"/>
      <w:marTop w:val="0"/>
      <w:marBottom w:val="0"/>
      <w:divBdr>
        <w:top w:val="none" w:sz="0" w:space="0" w:color="auto"/>
        <w:left w:val="none" w:sz="0" w:space="0" w:color="auto"/>
        <w:bottom w:val="none" w:sz="0" w:space="0" w:color="auto"/>
        <w:right w:val="none" w:sz="0" w:space="0" w:color="auto"/>
      </w:divBdr>
    </w:div>
    <w:div w:id="1700356353">
      <w:bodyDiv w:val="1"/>
      <w:marLeft w:val="0"/>
      <w:marRight w:val="0"/>
      <w:marTop w:val="0"/>
      <w:marBottom w:val="0"/>
      <w:divBdr>
        <w:top w:val="none" w:sz="0" w:space="0" w:color="auto"/>
        <w:left w:val="none" w:sz="0" w:space="0" w:color="auto"/>
        <w:bottom w:val="none" w:sz="0" w:space="0" w:color="auto"/>
        <w:right w:val="none" w:sz="0" w:space="0" w:color="auto"/>
      </w:divBdr>
    </w:div>
    <w:div w:id="1832286795">
      <w:bodyDiv w:val="1"/>
      <w:marLeft w:val="0"/>
      <w:marRight w:val="0"/>
      <w:marTop w:val="0"/>
      <w:marBottom w:val="0"/>
      <w:divBdr>
        <w:top w:val="none" w:sz="0" w:space="0" w:color="auto"/>
        <w:left w:val="none" w:sz="0" w:space="0" w:color="auto"/>
        <w:bottom w:val="none" w:sz="0" w:space="0" w:color="auto"/>
        <w:right w:val="none" w:sz="0" w:space="0" w:color="auto"/>
      </w:divBdr>
    </w:div>
    <w:div w:id="198708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9/30/antwoorden-op-kamervragen-over-het-nationaal-programma-leefbaarheid-en-veiligheid" TargetMode="External"/><Relationship Id="rId1" Type="http://schemas.openxmlformats.org/officeDocument/2006/relationships/hyperlink" Target="https://www.rijksoverheid.nl/documenten/kamerstukken/2025/09/30/antwoorden-op-kamervragen-over-het-nationaal-programma-leefbaarheid-en-veilighe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2306</ap:Words>
  <ap:Characters>12688</ap:Characters>
  <ap:DocSecurity>0</ap:DocSecurity>
  <ap:Lines>105</ap:Lines>
  <ap:Paragraphs>29</ap:Paragraphs>
  <ap:ScaleCrop>false</ap:ScaleCrop>
  <ap:LinksUpToDate>false</ap:LinksUpToDate>
  <ap:CharactersWithSpaces>14965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2026-03-26T09:07:00.0000000Z</dcterms:created>
  <dcterms:modified xsi:type="dcterms:W3CDTF">2026-03-26T09:07:00.0000000Z</dcterms:modified>
  <dc:description>------------------------</dc:description>
  <dc:subject/>
  <keywords/>
  <version/>
  <category/>
</coreProperties>
</file>