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56F5" w:rsidRDefault="006F4718" w14:paraId="49798DB1" w14:textId="77777777">
      <w:r>
        <w:t xml:space="preserve">De Wet arbeidsmarkt in balans </w:t>
      </w:r>
      <w:r w:rsidR="009E5A86">
        <w:t>(hierna W</w:t>
      </w:r>
      <w:r w:rsidR="00935796">
        <w:t>ab</w:t>
      </w:r>
      <w:r w:rsidR="009E5A86">
        <w:t xml:space="preserve">) </w:t>
      </w:r>
      <w:r>
        <w:t xml:space="preserve">is </w:t>
      </w:r>
      <w:r w:rsidR="008104AA">
        <w:t>op 1 januari 2020 in werking getreden. Deze wet was het gevolg van de we</w:t>
      </w:r>
      <w:r w:rsidRPr="006F33D4" w:rsidR="008104AA">
        <w:t>ns van de regering om het aandeel flexwerk</w:t>
      </w:r>
      <w:r w:rsidRPr="00F42C6E" w:rsidR="006C3737">
        <w:t>nemer</w:t>
      </w:r>
      <w:r w:rsidRPr="006F33D4" w:rsidR="008104AA">
        <w:t>s</w:t>
      </w:r>
      <w:r w:rsidRPr="00F42C6E" w:rsidR="006C3737">
        <w:rPr>
          <w:rStyle w:val="Voetnootmarkering"/>
        </w:rPr>
        <w:footnoteReference w:id="1"/>
      </w:r>
      <w:r w:rsidRPr="006F33D4" w:rsidR="008104AA">
        <w:t xml:space="preserve"> in de Nederlandse arbeidsmarkt terug te dringen ten opzichte van het aantal werknemers met een vast contract. In 2025 is de </w:t>
      </w:r>
      <w:r w:rsidRPr="006F33D4" w:rsidR="00B37028">
        <w:t>w</w:t>
      </w:r>
      <w:r w:rsidRPr="006F33D4" w:rsidR="008104AA">
        <w:t xml:space="preserve">et vijf jaar van kracht en daarmee kan deze geëvalueerd worden. </w:t>
      </w:r>
      <w:r w:rsidRPr="006F33D4" w:rsidR="00444C3A">
        <w:t xml:space="preserve">De evaluatie is uitgevoerd door </w:t>
      </w:r>
      <w:r w:rsidRPr="006F33D4" w:rsidR="008656F5">
        <w:t xml:space="preserve">een </w:t>
      </w:r>
      <w:r w:rsidRPr="006F33D4" w:rsidR="00B37028">
        <w:t>onderzoeksconsortium</w:t>
      </w:r>
      <w:r w:rsidRPr="006F33D4" w:rsidR="008656F5">
        <w:t xml:space="preserve"> onder leiding van </w:t>
      </w:r>
      <w:r w:rsidRPr="006F33D4" w:rsidR="008104AA">
        <w:t>Regio</w:t>
      </w:r>
      <w:r w:rsidR="008104AA">
        <w:t>pla</w:t>
      </w:r>
      <w:r w:rsidR="00444C3A">
        <w:t>n</w:t>
      </w:r>
      <w:r w:rsidR="00355949">
        <w:t>.</w:t>
      </w:r>
      <w:r w:rsidR="008656F5">
        <w:rPr>
          <w:rStyle w:val="Voetnootmarkering"/>
        </w:rPr>
        <w:footnoteReference w:id="2"/>
      </w:r>
    </w:p>
    <w:p w:rsidR="008656F5" w:rsidRDefault="008656F5" w14:paraId="573D9E9C" w14:textId="77777777"/>
    <w:p w:rsidR="009E5A86" w:rsidRDefault="00243C2C" w14:paraId="71FAA24E" w14:textId="77777777">
      <w:r>
        <w:t xml:space="preserve">Met deze brief wordt </w:t>
      </w:r>
      <w:r w:rsidR="008104AA">
        <w:t xml:space="preserve">het evaluatierapport </w:t>
      </w:r>
      <w:r w:rsidR="008104AA">
        <w:rPr>
          <w:i/>
          <w:iCs/>
        </w:rPr>
        <w:t>Evaluatie Wet arbeidsmarkt in balans</w:t>
      </w:r>
      <w:r>
        <w:rPr>
          <w:i/>
          <w:iCs/>
        </w:rPr>
        <w:t xml:space="preserve"> </w:t>
      </w:r>
      <w:r>
        <w:t xml:space="preserve">met </w:t>
      </w:r>
      <w:r w:rsidR="0009638F">
        <w:t>u</w:t>
      </w:r>
      <w:r>
        <w:t>w Kamer gedeeld</w:t>
      </w:r>
      <w:r w:rsidR="008104AA">
        <w:rPr>
          <w:i/>
          <w:iCs/>
        </w:rPr>
        <w:t>.</w:t>
      </w:r>
      <w:r w:rsidR="009E5A86">
        <w:t xml:space="preserve"> </w:t>
      </w:r>
      <w:r>
        <w:t>Het kabinet</w:t>
      </w:r>
      <w:r w:rsidR="009E5A86">
        <w:t xml:space="preserve"> neemt deze inzichten mee in de verdere ontwikkeling en uitvoering van het </w:t>
      </w:r>
      <w:r>
        <w:t>a</w:t>
      </w:r>
      <w:r w:rsidR="009E5A86">
        <w:t xml:space="preserve">rbeidsmarktpakket. Deze brief zal ingaan op </w:t>
      </w:r>
      <w:r w:rsidR="00635BD7">
        <w:t>I</w:t>
      </w:r>
      <w:r w:rsidR="009E5A86">
        <w:t xml:space="preserve">) de voorgeschiedenis, </w:t>
      </w:r>
      <w:r w:rsidR="00635BD7">
        <w:t>II</w:t>
      </w:r>
      <w:r w:rsidR="009E5A86">
        <w:t xml:space="preserve">) </w:t>
      </w:r>
      <w:r w:rsidR="002B6F42">
        <w:t>resultaten en effecten</w:t>
      </w:r>
      <w:r w:rsidR="009E5A86">
        <w:t xml:space="preserve">, </w:t>
      </w:r>
      <w:r w:rsidR="00635BD7">
        <w:t>III</w:t>
      </w:r>
      <w:r w:rsidR="009E5A86">
        <w:t xml:space="preserve">) </w:t>
      </w:r>
      <w:r w:rsidR="00B37028">
        <w:t>r</w:t>
      </w:r>
      <w:r w:rsidR="002F282E">
        <w:t xml:space="preserve">eactie </w:t>
      </w:r>
      <w:r w:rsidR="00B37028">
        <w:t>en evaluatie</w:t>
      </w:r>
      <w:r w:rsidR="009E5A86">
        <w:t>.</w:t>
      </w:r>
    </w:p>
    <w:p w:rsidR="00D47625" w:rsidRDefault="00D47625" w14:paraId="37319029" w14:textId="77777777"/>
    <w:p w:rsidR="009E5A86" w:rsidP="00635BD7" w:rsidRDefault="00635BD7" w14:paraId="03743842" w14:textId="77777777">
      <w:pPr>
        <w:rPr>
          <w:b/>
          <w:bCs/>
        </w:rPr>
      </w:pPr>
      <w:r>
        <w:rPr>
          <w:b/>
          <w:bCs/>
        </w:rPr>
        <w:t xml:space="preserve">I. </w:t>
      </w:r>
      <w:r w:rsidRPr="00635BD7">
        <w:rPr>
          <w:b/>
          <w:bCs/>
        </w:rPr>
        <w:t>voorgeschiedenis</w:t>
      </w:r>
    </w:p>
    <w:p w:rsidR="00277429" w:rsidP="00277429" w:rsidRDefault="00635BD7" w14:paraId="1C9EFAC5" w14:textId="77777777">
      <w:r w:rsidRPr="00635BD7">
        <w:t>Sinds het begin van deze eeuw is het aandeel flex</w:t>
      </w:r>
      <w:r w:rsidR="006C3737">
        <w:t>werknemers</w:t>
      </w:r>
      <w:r w:rsidRPr="00635BD7">
        <w:t xml:space="preserve"> in Nederland sterk toegenomen, sterker dan in veel andere EU-landen.</w:t>
      </w:r>
      <w:r w:rsidR="00207ADF">
        <w:rPr>
          <w:rStyle w:val="Voetnootmarkering"/>
        </w:rPr>
        <w:footnoteReference w:id="3"/>
      </w:r>
      <w:r w:rsidRPr="00635BD7">
        <w:t xml:space="preserve"> </w:t>
      </w:r>
      <w:r w:rsidRPr="00635BD7" w:rsidR="008B5A28">
        <w:t xml:space="preserve">Flexibel werk brengt risico’s met zich mee voor </w:t>
      </w:r>
      <w:r w:rsidRPr="00BD0A13" w:rsidR="008B5A28">
        <w:t xml:space="preserve">werkenden, vergroot maatschappelijke ongelijkheid en bemoeilijkt financiële zekerheden </w:t>
      </w:r>
      <w:r w:rsidRPr="00BD0A13" w:rsidR="002C18C3">
        <w:t>die nodig zijn voor</w:t>
      </w:r>
      <w:r w:rsidRPr="00BD0A13" w:rsidR="008B5A28">
        <w:t xml:space="preserve"> het kopen van een huis of het starten van een gezin.</w:t>
      </w:r>
      <w:r w:rsidRPr="00BD0A13" w:rsidR="00207ADF">
        <w:rPr>
          <w:rStyle w:val="Voetnootmarkering"/>
        </w:rPr>
        <w:footnoteReference w:id="4"/>
      </w:r>
      <w:r w:rsidRPr="00BD0A13" w:rsidR="008B5A28">
        <w:t xml:space="preserve"> </w:t>
      </w:r>
      <w:r w:rsidRPr="00BD0A13">
        <w:t>Om de kloof tussen flexibele en vaste banen te verkleinen en werkenden meer zekerheid te bieden, werden wetten zoals de Wet flexibiliteit en zekerheid (1999), de Wet werk en zekerheid (2015) en later de Wab ingevoerd.</w:t>
      </w:r>
      <w:r w:rsidRPr="00BD0A13" w:rsidR="005D6C65">
        <w:rPr>
          <w:rStyle w:val="Voetnootmarkering"/>
        </w:rPr>
        <w:footnoteReference w:id="5"/>
      </w:r>
      <w:r w:rsidRPr="00BD0A13">
        <w:t xml:space="preserve"> </w:t>
      </w:r>
      <w:bookmarkStart w:name="_Hlk222474597" w:id="0"/>
      <w:r w:rsidRPr="00BD0A13" w:rsidR="00277429">
        <w:t xml:space="preserve">Het </w:t>
      </w:r>
      <w:r w:rsidRPr="00BD0A13" w:rsidR="006C3737">
        <w:t>uitgangspunt van d</w:t>
      </w:r>
      <w:r w:rsidRPr="00BD0A13" w:rsidR="00277429">
        <w:t>e W</w:t>
      </w:r>
      <w:r w:rsidRPr="00BD0A13" w:rsidR="00AA6BD8">
        <w:t>ab</w:t>
      </w:r>
      <w:r w:rsidRPr="00BD0A13" w:rsidR="00277429">
        <w:t xml:space="preserve"> is het herstellen van de balans tussen </w:t>
      </w:r>
      <w:r w:rsidRPr="00BD0A13" w:rsidR="006C3737">
        <w:t>vaste werknemers</w:t>
      </w:r>
      <w:r w:rsidRPr="00BD0A13" w:rsidR="00277429">
        <w:t xml:space="preserve"> en flex</w:t>
      </w:r>
      <w:r w:rsidR="0080282B">
        <w:t xml:space="preserve">ibele </w:t>
      </w:r>
      <w:r w:rsidRPr="00BD0A13" w:rsidR="006C3737">
        <w:t>werknemers</w:t>
      </w:r>
      <w:r w:rsidRPr="00BD0A13" w:rsidR="00277429">
        <w:t>, in het voordeel van vaste arbeid.</w:t>
      </w:r>
      <w:r w:rsidRPr="00BD0A13" w:rsidR="005D6C65">
        <w:rPr>
          <w:rStyle w:val="Voetnootmarkering"/>
        </w:rPr>
        <w:footnoteReference w:id="6"/>
      </w:r>
      <w:r w:rsidRPr="00BD0A13" w:rsidR="00277429">
        <w:t xml:space="preserve"> </w:t>
      </w:r>
      <w:bookmarkEnd w:id="0"/>
      <w:r w:rsidRPr="00BD0A13" w:rsidR="00277429">
        <w:t>Flexibele</w:t>
      </w:r>
      <w:r w:rsidR="0080282B">
        <w:t xml:space="preserve"> arbeid</w:t>
      </w:r>
      <w:r w:rsidRPr="00BD0A13" w:rsidR="00277429">
        <w:t xml:space="preserve"> moet </w:t>
      </w:r>
      <w:r w:rsidRPr="00F42C6E" w:rsidR="006C3737">
        <w:t xml:space="preserve">in principe </w:t>
      </w:r>
      <w:r w:rsidRPr="00BD0A13" w:rsidR="00277429">
        <w:t>alleen worden ingezet als de aard van het werk dat vereist. Daarmee wil de W</w:t>
      </w:r>
      <w:r w:rsidRPr="00BD0A13" w:rsidR="00AA6BD8">
        <w:t xml:space="preserve">ab </w:t>
      </w:r>
      <w:r w:rsidRPr="00BD0A13" w:rsidR="00277429">
        <w:t>bijdragen aan meer inkomens- en</w:t>
      </w:r>
      <w:r w:rsidRPr="00277429" w:rsidR="00277429">
        <w:t xml:space="preserve"> werkzekerheid voor </w:t>
      </w:r>
      <w:r w:rsidR="002C18C3">
        <w:t>flexibele</w:t>
      </w:r>
      <w:r w:rsidR="006C3737">
        <w:t xml:space="preserve"> </w:t>
      </w:r>
      <w:r w:rsidRPr="00277429" w:rsidR="006C3737">
        <w:t>werk</w:t>
      </w:r>
      <w:r w:rsidR="006C3737">
        <w:t>nemers</w:t>
      </w:r>
      <w:r w:rsidR="00AA6BD8">
        <w:t xml:space="preserve">. Daarnaast moet de wet de </w:t>
      </w:r>
      <w:r w:rsidRPr="00277429" w:rsidR="00277429">
        <w:t xml:space="preserve">verschillen in (rechts)positie tussen verschillende contractvormen verkleinen. Tegelijkertijd </w:t>
      </w:r>
      <w:r w:rsidR="00085865">
        <w:t>is het ook van belang de behoefte van sommige werkende</w:t>
      </w:r>
      <w:r w:rsidR="0080282B">
        <w:t>n</w:t>
      </w:r>
      <w:r w:rsidR="00085865">
        <w:t xml:space="preserve"> </w:t>
      </w:r>
      <w:r w:rsidR="00BD0A13">
        <w:t xml:space="preserve">om een flexibele arbeidsrelatie aan te gaan, te </w:t>
      </w:r>
      <w:r w:rsidR="00D602F2">
        <w:t xml:space="preserve">(blijven) </w:t>
      </w:r>
      <w:r w:rsidR="00BD0A13">
        <w:t>faciliteren</w:t>
      </w:r>
      <w:r w:rsidR="00085865">
        <w:t xml:space="preserve">. Daarnaast </w:t>
      </w:r>
      <w:r w:rsidRPr="00277429" w:rsidR="00277429">
        <w:t>blijft het belangrijk dat de arbeidsmarkt wendbaar blijft en dat werkgevers effectief kunnen inspelen op veranderingen.</w:t>
      </w:r>
      <w:r w:rsidR="00085865">
        <w:t xml:space="preserve"> </w:t>
      </w:r>
    </w:p>
    <w:p w:rsidRPr="00277429" w:rsidR="001F72D2" w:rsidP="00277429" w:rsidRDefault="001F72D2" w14:paraId="1A071349" w14:textId="77777777"/>
    <w:p w:rsidRPr="0080282B" w:rsidR="0080282B" w:rsidRDefault="00ED7E76" w14:paraId="1C7BA872" w14:textId="77777777">
      <w:bookmarkStart w:name="_Hlk222474754" w:id="1"/>
      <w:r w:rsidRPr="00ED7E76">
        <w:t>De Wab-maatregelen zijn</w:t>
      </w:r>
      <w:r w:rsidR="001F72D2">
        <w:t xml:space="preserve"> erop</w:t>
      </w:r>
      <w:r w:rsidRPr="00ED7E76">
        <w:t xml:space="preserve"> gericht </w:t>
      </w:r>
      <w:r w:rsidR="00AA6BD8">
        <w:t>het</w:t>
      </w:r>
      <w:r w:rsidRPr="00ED7E76">
        <w:t xml:space="preserve"> afwentelen van risico</w:t>
      </w:r>
      <w:r w:rsidR="00AA6BD8">
        <w:t>’</w:t>
      </w:r>
      <w:r w:rsidRPr="00ED7E76">
        <w:t>s</w:t>
      </w:r>
      <w:r w:rsidR="00AA6BD8">
        <w:t xml:space="preserve"> van flexibele arbeid op de maatschappij</w:t>
      </w:r>
      <w:r w:rsidR="001F72D2">
        <w:t xml:space="preserve"> te voorkomen</w:t>
      </w:r>
      <w:r w:rsidRPr="00ED7E76">
        <w:t xml:space="preserve">. Dit gebeurt onder meer door de positie van oproepkrachten en payrollers te verbeteren. </w:t>
      </w:r>
      <w:r w:rsidR="00AA6BD8">
        <w:t>Verder</w:t>
      </w:r>
      <w:r w:rsidRPr="00ED7E76">
        <w:t xml:space="preserve"> moeten wijzigingen in het ontslagrecht en de transitievergoeding het voor werkgevers aantrekkelijker maken om vaste contracten aan te bieden. Ook stimuleert de WW-premiedifferentiatie werkgevers om vaker vaste arbeidsovereenkomsten te sluiten.</w:t>
      </w:r>
      <w:bookmarkEnd w:id="1"/>
      <w:r>
        <w:rPr>
          <w:rStyle w:val="Voetnootmarkering"/>
        </w:rPr>
        <w:footnoteReference w:id="7"/>
      </w:r>
      <w:r w:rsidR="009A3E85">
        <w:t xml:space="preserve"> </w:t>
      </w:r>
      <w:r w:rsidR="0080282B">
        <w:t>In bijlage I</w:t>
      </w:r>
      <w:r w:rsidRPr="00F42C6E" w:rsidR="0080282B">
        <w:t xml:space="preserve"> is een samenvattende weergave </w:t>
      </w:r>
      <w:r w:rsidR="0080282B">
        <w:t xml:space="preserve">opgenomen </w:t>
      </w:r>
      <w:r w:rsidRPr="00F42C6E" w:rsidR="0080282B">
        <w:t xml:space="preserve">van de wijzigingen die door de Wab geregeld worden. </w:t>
      </w:r>
      <w:r w:rsidR="00D602F2">
        <w:t>In b</w:t>
      </w:r>
      <w:r w:rsidRPr="00F42C6E" w:rsidR="0080282B">
        <w:t xml:space="preserve">ijlage II is een schematische weergave opgenomen van de beleidstheorie zoals deze door Regioplan gereconstrueerd is. </w:t>
      </w:r>
    </w:p>
    <w:p w:rsidR="009A3E85" w:rsidRDefault="009A3E85" w14:paraId="4EF9D77C" w14:textId="77777777"/>
    <w:p w:rsidRPr="000A3961" w:rsidR="009A3E85" w:rsidRDefault="000A3961" w14:paraId="61CC811E" w14:textId="77777777">
      <w:pPr>
        <w:rPr>
          <w:b/>
          <w:bCs/>
        </w:rPr>
      </w:pPr>
      <w:r w:rsidRPr="000A3961">
        <w:rPr>
          <w:b/>
          <w:bCs/>
        </w:rPr>
        <w:t xml:space="preserve">II </w:t>
      </w:r>
      <w:r w:rsidR="00251698">
        <w:rPr>
          <w:b/>
          <w:bCs/>
        </w:rPr>
        <w:t xml:space="preserve">resultaten en effecten </w:t>
      </w:r>
    </w:p>
    <w:p w:rsidR="00B37028" w:rsidP="00B37028" w:rsidRDefault="006C3737" w14:paraId="7D824A44" w14:textId="77777777">
      <w:r>
        <w:t xml:space="preserve">Het evaluatieonderzoek van de Wab bestaat zowel uit kwalitatieve gegevens vergaard uit interviews en enquêtes, als een kwantitatieve analyse. </w:t>
      </w:r>
      <w:r w:rsidR="00B37028">
        <w:t xml:space="preserve">Het </w:t>
      </w:r>
      <w:r w:rsidR="00BD0A13">
        <w:t xml:space="preserve">onderzoek </w:t>
      </w:r>
      <w:r w:rsidR="00B37028">
        <w:t xml:space="preserve">heeft te maken gehad met een aantal beperkende factoren. Zo brak vlak na de invoering van de wet de coronapandemie uit, waardoor de arbeidsmarktdata over deze jaren </w:t>
      </w:r>
      <w:r w:rsidR="00355949">
        <w:t>e</w:t>
      </w:r>
      <w:r w:rsidR="00B37028">
        <w:t>en vertekend beeld geeft. Hoewel er statistische correcties zijn uitgevoerd</w:t>
      </w:r>
      <w:r w:rsidR="0009638F">
        <w:t>,</w:t>
      </w:r>
      <w:r w:rsidR="00B37028">
        <w:t xml:space="preserve"> blijft het lastig om</w:t>
      </w:r>
      <w:r w:rsidR="00355949">
        <w:t xml:space="preserve"> over</w:t>
      </w:r>
      <w:r w:rsidR="00B37028">
        <w:t xml:space="preserve"> deze periode uitspraken te doen.</w:t>
      </w:r>
      <w:r w:rsidR="00355949">
        <w:t xml:space="preserve"> Daarnaast waren alleen statistische analyses mogelijk tot en met 2023, gegeven de beschikbare data ten tijde van het onderzoek. Dit beperkt de periode van onderzoek.</w:t>
      </w:r>
      <w:r w:rsidR="00B37028">
        <w:rPr>
          <w:rStyle w:val="Voetnootmarkering"/>
        </w:rPr>
        <w:footnoteReference w:id="8"/>
      </w:r>
      <w:r w:rsidR="00B37028">
        <w:t xml:space="preserve"> </w:t>
      </w:r>
      <w:r w:rsidR="00462679">
        <w:t xml:space="preserve">Tot slot werd van de Wab verwacht dat deze vooral in specifieke marges een verschil zou gaan maken. </w:t>
      </w:r>
      <w:r w:rsidR="00D602F2">
        <w:t>De Wab beoogde op punten met name de Wet werk en zekerheid (2015) verder te finetunen. In hoeverre op deze specifieke punten voor specifieke groepen op de arbeidsmarkt effect is bereikt, blijkt</w:t>
      </w:r>
      <w:r w:rsidR="00462679">
        <w:t xml:space="preserve"> over een brede populatie lastig meetbaar. </w:t>
      </w:r>
    </w:p>
    <w:p w:rsidR="00B37028" w:rsidP="00B37028" w:rsidRDefault="00B37028" w14:paraId="0A6801E6" w14:textId="77777777"/>
    <w:p w:rsidRPr="004B47E2" w:rsidR="001C4C00" w:rsidP="007D7882" w:rsidRDefault="004B47E2" w14:paraId="531D9D4F" w14:textId="77777777">
      <w:r w:rsidRPr="00CB0DCA">
        <w:t xml:space="preserve">De maatregelen zoals hierboven beschreven kunnen globaal </w:t>
      </w:r>
      <w:r w:rsidRPr="008E69CC" w:rsidR="008E69CC">
        <w:t>opgedeeld</w:t>
      </w:r>
      <w:r w:rsidRPr="00CB0DCA">
        <w:t xml:space="preserve"> worden </w:t>
      </w:r>
      <w:r w:rsidR="004F0400">
        <w:t xml:space="preserve">in </w:t>
      </w:r>
      <w:r w:rsidRPr="00CB0DCA">
        <w:t xml:space="preserve">drie categorieën. </w:t>
      </w:r>
      <w:r w:rsidR="001F72D2">
        <w:t>Maatregelen</w:t>
      </w:r>
      <w:r w:rsidRPr="00CB0DCA">
        <w:t xml:space="preserve"> die vallen onder flexibele arbeid</w:t>
      </w:r>
      <w:r w:rsidR="00B37028">
        <w:t>,</w:t>
      </w:r>
      <w:r w:rsidRPr="00CB0DCA">
        <w:t xml:space="preserve"> </w:t>
      </w:r>
      <w:r w:rsidR="00B37028">
        <w:t>m</w:t>
      </w:r>
      <w:r w:rsidR="008E69CC">
        <w:t xml:space="preserve">aatregelen omtrent de WW-premiedifferentiatie, en </w:t>
      </w:r>
      <w:r w:rsidR="00B37028">
        <w:t xml:space="preserve">tot slot </w:t>
      </w:r>
      <w:r w:rsidR="008E69CC">
        <w:t>maatregelen die vallen onder het ontslagrecht. Al deze onderwerpen zullen in deze volgorde aan bod komen. Concluderend zal er worden ingegaan op de macro</w:t>
      </w:r>
      <w:r w:rsidR="00201456">
        <w:t>-</w:t>
      </w:r>
      <w:r w:rsidR="008E69CC">
        <w:t xml:space="preserve">effecten van de Wab. </w:t>
      </w:r>
    </w:p>
    <w:p w:rsidR="001C4C00" w:rsidP="001C4C00" w:rsidRDefault="001C4C00" w14:paraId="3228C7DA" w14:textId="77777777"/>
    <w:p w:rsidRPr="00D165D8" w:rsidR="00D165D8" w:rsidP="001C4C00" w:rsidRDefault="004B1CE3" w14:paraId="6187BC1A" w14:textId="77777777">
      <w:pPr>
        <w:rPr>
          <w:i/>
          <w:iCs/>
        </w:rPr>
      </w:pPr>
      <w:r>
        <w:rPr>
          <w:i/>
          <w:iCs/>
        </w:rPr>
        <w:t xml:space="preserve">I </w:t>
      </w:r>
      <w:r w:rsidRPr="001D6DB7" w:rsidR="00D165D8">
        <w:rPr>
          <w:i/>
          <w:iCs/>
        </w:rPr>
        <w:t>Flexibele arbeid</w:t>
      </w:r>
    </w:p>
    <w:p w:rsidR="008F4669" w:rsidP="001C4C00" w:rsidRDefault="008E69CC" w14:paraId="2F481D58" w14:textId="77777777">
      <w:r>
        <w:t>De Wab beoogt hoofdzakelijk de arbeidsvoorwaarde</w:t>
      </w:r>
      <w:r w:rsidR="00A2353A">
        <w:t>n</w:t>
      </w:r>
      <w:r>
        <w:t xml:space="preserve"> voor flexibel</w:t>
      </w:r>
      <w:r w:rsidR="008D53D1">
        <w:t>e</w:t>
      </w:r>
      <w:r>
        <w:t xml:space="preserve"> werk</w:t>
      </w:r>
      <w:r w:rsidR="008D53D1">
        <w:t>nemers</w:t>
      </w:r>
      <w:r>
        <w:t xml:space="preserve"> te verbeteren. Hiertoe is de ketenbepaling aangepast.</w:t>
      </w:r>
      <w:r>
        <w:rPr>
          <w:rStyle w:val="Voetnootmarkering"/>
        </w:rPr>
        <w:footnoteReference w:id="9"/>
      </w:r>
      <w:r>
        <w:t xml:space="preserve"> </w:t>
      </w:r>
      <w:r w:rsidRPr="008E69CC">
        <w:t>Doordat werkgevers de mogelijkheid hebben langere contracten aan te bieden worden de risico’s voor werkgevers verkleind bij het aanbieden van een vast contract</w:t>
      </w:r>
      <w:r w:rsidR="00D22EBC">
        <w:t>, omdat de werkgever nu beter weet of de werknemer geschikt is</w:t>
      </w:r>
      <w:r>
        <w:t>.</w:t>
      </w:r>
      <w:r w:rsidR="005559D0">
        <w:t xml:space="preserve"> </w:t>
      </w:r>
      <w:r w:rsidRPr="005559D0" w:rsidR="005559D0">
        <w:t xml:space="preserve">Uit </w:t>
      </w:r>
      <w:r w:rsidR="00D22EBC">
        <w:t>de evaluatie</w:t>
      </w:r>
      <w:r w:rsidRPr="005559D0" w:rsidR="005559D0">
        <w:t xml:space="preserve"> blijkt dat het verkleinen van dit risico </w:t>
      </w:r>
      <w:r w:rsidR="00462679">
        <w:t xml:space="preserve">een kleine </w:t>
      </w:r>
      <w:r w:rsidRPr="00F914B5" w:rsidR="00462679">
        <w:rPr>
          <w:i/>
          <w:iCs/>
        </w:rPr>
        <w:t>meetbare</w:t>
      </w:r>
      <w:r w:rsidR="00462679">
        <w:t xml:space="preserve"> invloed</w:t>
      </w:r>
      <w:r w:rsidRPr="005559D0" w:rsidR="005559D0">
        <w:t xml:space="preserve"> heeft op de beslissingen van werkgevers om een vast contract aan te bieden.</w:t>
      </w:r>
      <w:r w:rsidR="00D22EBC">
        <w:rPr>
          <w:rStyle w:val="Voetnootmarkering"/>
        </w:rPr>
        <w:footnoteReference w:id="10"/>
      </w:r>
      <w:r w:rsidR="005559D0">
        <w:t xml:space="preserve"> </w:t>
      </w:r>
    </w:p>
    <w:p w:rsidR="005559D0" w:rsidP="001C4C00" w:rsidRDefault="001D6DB7" w14:paraId="7C9A8205" w14:textId="77777777">
      <w:r>
        <w:lastRenderedPageBreak/>
        <w:t>Andere factoren, zoals de waardigheden van de werknemer, arbeidsmarktkrapte, etc. spelen vaak een grotere rol</w:t>
      </w:r>
      <w:r w:rsidR="0030741F">
        <w:t>, waardoor de resultaten lastig waar te nemen zijn</w:t>
      </w:r>
      <w:r>
        <w:t xml:space="preserve">. </w:t>
      </w:r>
      <w:r w:rsidR="00D602F2">
        <w:t xml:space="preserve">Voor </w:t>
      </w:r>
      <w:r w:rsidR="005559D0">
        <w:t>de verbetering van de positie van oproepkrachten</w:t>
      </w:r>
      <w:r w:rsidR="005559D0">
        <w:rPr>
          <w:rStyle w:val="Voetnootmarkering"/>
        </w:rPr>
        <w:footnoteReference w:id="11"/>
      </w:r>
      <w:r w:rsidR="005559D0">
        <w:t xml:space="preserve"> wordt vastgesteld dat werkgevers deze </w:t>
      </w:r>
      <w:r w:rsidR="001F72D2">
        <w:t xml:space="preserve">oproepkrachten </w:t>
      </w:r>
      <w:r w:rsidR="005559D0">
        <w:t>vooral gebruiken om schommelingen in de vraag naar producten en diensten op te kunnen vangen.</w:t>
      </w:r>
      <w:r w:rsidRPr="00E26205" w:rsidR="005559D0">
        <w:t xml:space="preserve"> De prikkels vanuit de Wab</w:t>
      </w:r>
      <w:r w:rsidR="00D22EBC">
        <w:t>, die vooral financieel van aard zijn,</w:t>
      </w:r>
      <w:r w:rsidRPr="00E26205" w:rsidR="005559D0">
        <w:t xml:space="preserve"> </w:t>
      </w:r>
      <w:r w:rsidR="00D82E57">
        <w:t>spelen</w:t>
      </w:r>
      <w:r w:rsidRPr="00E26205" w:rsidR="005559D0">
        <w:t xml:space="preserve"> </w:t>
      </w:r>
      <w:r w:rsidR="00D602F2">
        <w:t xml:space="preserve">uiteindelijk in de praktijk </w:t>
      </w:r>
      <w:r w:rsidRPr="00E26205" w:rsidR="005559D0">
        <w:t>een minder grote rol in hun afwegingen.</w:t>
      </w:r>
      <w:r w:rsidR="005559D0">
        <w:t xml:space="preserve"> </w:t>
      </w:r>
      <w:r w:rsidR="00D22EBC">
        <w:t xml:space="preserve">Werkgevers passen de nieuwe regels aangaande oproepkrachten </w:t>
      </w:r>
      <w:r w:rsidR="00D602F2">
        <w:t xml:space="preserve">daarbij ook </w:t>
      </w:r>
      <w:r w:rsidR="00D22EBC">
        <w:t>lang niet altijd correct toe. Verder is</w:t>
      </w:r>
      <w:r w:rsidR="005559D0">
        <w:t xml:space="preserve"> de bekendheid van de Wab bij oproepkrachten laag. Door deze lage bekendheid, doordat oproepkrachten soms aangeven de flexibiliteit te waarderen, en door de afhankelijkheidsrelatie tussen oproepkracht en werkgever, worden de nieuwe rechten </w:t>
      </w:r>
      <w:r w:rsidR="00B718A4">
        <w:t xml:space="preserve">weinig door </w:t>
      </w:r>
      <w:r w:rsidR="005559D0">
        <w:t xml:space="preserve">oproepkrachten opgeëist. </w:t>
      </w:r>
      <w:r w:rsidR="0030741F">
        <w:t>Ook mede h</w:t>
      </w:r>
      <w:r w:rsidR="005559D0">
        <w:t xml:space="preserve">ierdoor is het effect van de Wab </w:t>
      </w:r>
      <w:r w:rsidR="00480AA6">
        <w:t>aangaande de verbetering van de positie van oproep</w:t>
      </w:r>
      <w:r w:rsidR="00B718A4">
        <w:t>k</w:t>
      </w:r>
      <w:r w:rsidR="00480AA6">
        <w:t>rachten</w:t>
      </w:r>
      <w:r w:rsidR="005559D0">
        <w:t xml:space="preserve"> beperkt.</w:t>
      </w:r>
      <w:r w:rsidR="00060218">
        <w:rPr>
          <w:rStyle w:val="Voetnootmarkering"/>
        </w:rPr>
        <w:footnoteReference w:id="12"/>
      </w:r>
      <w:r w:rsidR="005559D0">
        <w:t xml:space="preserve"> </w:t>
      </w:r>
      <w:r w:rsidR="00480AA6">
        <w:t>Wel</w:t>
      </w:r>
      <w:r w:rsidRPr="00D82E57" w:rsidR="00480AA6">
        <w:t xml:space="preserve"> </w:t>
      </w:r>
      <w:r w:rsidRPr="00D82E57" w:rsidR="00D82E57">
        <w:t>is duidelijk dat tijdens de Wab meer oproepkrachten de weg naar een vast contract hebben gevonden</w:t>
      </w:r>
      <w:r w:rsidR="0030741F">
        <w:t>, wat een positieve ontwikkeling is</w:t>
      </w:r>
      <w:r w:rsidRPr="00D82E57" w:rsidR="00D82E57">
        <w:t xml:space="preserve">. Het is echter niet </w:t>
      </w:r>
      <w:r w:rsidR="0030741F">
        <w:t>mogelijk vast te stellen</w:t>
      </w:r>
      <w:r w:rsidRPr="00D82E57" w:rsidR="00D82E57">
        <w:t xml:space="preserve"> in hoeverre de Wab hier een doorslaggevende rol </w:t>
      </w:r>
      <w:r w:rsidR="00CB2198">
        <w:t xml:space="preserve">in </w:t>
      </w:r>
      <w:r w:rsidRPr="00D82E57" w:rsidR="00D82E57">
        <w:t>heeft gespeeld.</w:t>
      </w:r>
      <w:r w:rsidR="00480AA6">
        <w:t xml:space="preserve"> Andere oorzaken</w:t>
      </w:r>
      <w:r w:rsidR="00D602F2">
        <w:t>, zoals arbeidsmarktkrapte,</w:t>
      </w:r>
      <w:r w:rsidR="00480AA6">
        <w:t xml:space="preserve"> kunnen hierbij ook een rol </w:t>
      </w:r>
      <w:r w:rsidR="00D602F2">
        <w:t>hebben gespeeld</w:t>
      </w:r>
      <w:r w:rsidR="00480AA6">
        <w:t xml:space="preserve">. </w:t>
      </w:r>
    </w:p>
    <w:p w:rsidR="008E69CC" w:rsidP="001C4C00" w:rsidRDefault="008E69CC" w14:paraId="4E7AFDD7" w14:textId="77777777"/>
    <w:p w:rsidR="001C4C00" w:rsidP="001C4C00" w:rsidRDefault="001C4C00" w14:paraId="5F68FD0A" w14:textId="77777777">
      <w:r w:rsidRPr="001B02C3">
        <w:t xml:space="preserve">De Wab-maatregelen hebben </w:t>
      </w:r>
      <w:r w:rsidRPr="00CB0DCA" w:rsidR="001B02C3">
        <w:t xml:space="preserve">de arbeidsvoorwaarden voor payrollwerknemers </w:t>
      </w:r>
      <w:r w:rsidR="0030741F">
        <w:t>meetbaar</w:t>
      </w:r>
      <w:r w:rsidR="00D602F2">
        <w:t xml:space="preserve"> </w:t>
      </w:r>
      <w:r w:rsidRPr="00CB0DCA" w:rsidR="001B02C3">
        <w:t>verbeterd</w:t>
      </w:r>
      <w:r w:rsidRPr="001B02C3" w:rsidR="001B02C3">
        <w:t>.</w:t>
      </w:r>
      <w:r w:rsidR="00480AA6">
        <w:t xml:space="preserve"> Zo hebben ze nu recht op minimaal dezelfde arbeidsvoorwaarden en recht op </w:t>
      </w:r>
      <w:r w:rsidR="001D6DB7">
        <w:t>een vergelijkbare</w:t>
      </w:r>
      <w:r w:rsidR="00480AA6">
        <w:t xml:space="preserve"> pensioenregeling als werknemers in hetzelfde bedrijf.</w:t>
      </w:r>
      <w:r w:rsidR="00407137">
        <w:rPr>
          <w:rStyle w:val="Voetnootmarkering"/>
        </w:rPr>
        <w:footnoteReference w:id="13"/>
      </w:r>
      <w:r w:rsidRPr="001B02C3" w:rsidR="001B02C3">
        <w:t xml:space="preserve"> Hierdoor zijn </w:t>
      </w:r>
      <w:r w:rsidRPr="001B02C3">
        <w:t>de kosten</w:t>
      </w:r>
      <w:r w:rsidRPr="00E26205">
        <w:t xml:space="preserve"> voor werkgevers om gebruik te maken van payroll verhoogd.</w:t>
      </w:r>
      <w:r w:rsidR="008365D8">
        <w:t xml:space="preserve"> </w:t>
      </w:r>
      <w:r w:rsidR="00AF34D0">
        <w:t>S</w:t>
      </w:r>
      <w:r w:rsidR="0034444B">
        <w:t>ommige</w:t>
      </w:r>
      <w:r w:rsidRPr="00E26205">
        <w:t xml:space="preserve"> werkgevers</w:t>
      </w:r>
      <w:r w:rsidR="008365D8">
        <w:t xml:space="preserve"> stoppen met payroll,</w:t>
      </w:r>
      <w:r w:rsidRPr="00E26205">
        <w:t xml:space="preserve"> nemen payrollmedewerkers nu zelf in dienst of stappen over op andere </w:t>
      </w:r>
      <w:r w:rsidR="0034444B">
        <w:t>flexibele arbeids</w:t>
      </w:r>
      <w:r w:rsidRPr="00E26205">
        <w:t xml:space="preserve">constructies. </w:t>
      </w:r>
      <w:r w:rsidR="001B02C3">
        <w:t>Het gebruik van payroll is hierdoor significant teruggelopen.</w:t>
      </w:r>
      <w:r w:rsidRPr="00480AA6" w:rsidR="00480AA6">
        <w:rPr>
          <w:rStyle w:val="Voetnootmarkering"/>
        </w:rPr>
        <w:t xml:space="preserve"> </w:t>
      </w:r>
      <w:r w:rsidR="00480AA6">
        <w:rPr>
          <w:rStyle w:val="Voetnootmarkering"/>
        </w:rPr>
        <w:footnoteReference w:id="14"/>
      </w:r>
      <w:r w:rsidRPr="00E26205" w:rsidR="00480AA6">
        <w:t xml:space="preserve"> </w:t>
      </w:r>
      <w:r w:rsidR="00480AA6">
        <w:t>Afhankelijk van</w:t>
      </w:r>
      <w:r w:rsidR="00D602F2">
        <w:t xml:space="preserve"> de vraag</w:t>
      </w:r>
      <w:r w:rsidR="00480AA6">
        <w:t xml:space="preserve"> of deze payrollers een vast contract hebben gekregen kan dit voor de werknemers als positief worden gezien</w:t>
      </w:r>
      <w:r w:rsidR="0030741F">
        <w:t xml:space="preserve"> en verbeter</w:t>
      </w:r>
      <w:r w:rsidR="00D602F2">
        <w:t>t</w:t>
      </w:r>
      <w:r w:rsidR="0030741F">
        <w:t xml:space="preserve"> dit de balans tussen vaste en flexibele werkcontracten</w:t>
      </w:r>
      <w:r w:rsidR="00480AA6">
        <w:t xml:space="preserve">. </w:t>
      </w:r>
      <w:r w:rsidRPr="00E26205">
        <w:t xml:space="preserve">Een ander deel van de werkgevers, vooral mkb’ers, accepteert de hogere kosten en blijft payroll gebruiken om administratieve lasten te verminderen, risico’s te beheersen en flexibiliteit in het personeelsbestand te behouden. </w:t>
      </w:r>
      <w:r w:rsidR="00480AA6">
        <w:t>Voor deze payrollers heeft de Wab een overwegend positief effect</w:t>
      </w:r>
      <w:r w:rsidR="0030741F">
        <w:t>, omdat hun arbeidsvoorwaarden</w:t>
      </w:r>
      <w:r w:rsidR="008365D8">
        <w:t xml:space="preserve"> zijn</w:t>
      </w:r>
      <w:r w:rsidR="0030741F">
        <w:t xml:space="preserve"> verbeter</w:t>
      </w:r>
      <w:r w:rsidR="008365D8">
        <w:t>d</w:t>
      </w:r>
      <w:r w:rsidR="00480AA6">
        <w:t>.</w:t>
      </w:r>
    </w:p>
    <w:p w:rsidR="001C4C00" w:rsidP="001C4C00" w:rsidRDefault="001C4C00" w14:paraId="59C063F7" w14:textId="77777777"/>
    <w:p w:rsidRPr="00D165D8" w:rsidR="00D165D8" w:rsidP="001C4C00" w:rsidRDefault="004B1CE3" w14:paraId="44C7D3D2" w14:textId="77777777">
      <w:pPr>
        <w:rPr>
          <w:i/>
          <w:iCs/>
        </w:rPr>
      </w:pPr>
      <w:r>
        <w:rPr>
          <w:i/>
          <w:iCs/>
        </w:rPr>
        <w:t xml:space="preserve">II </w:t>
      </w:r>
      <w:r w:rsidR="00D165D8">
        <w:rPr>
          <w:i/>
          <w:iCs/>
        </w:rPr>
        <w:t>WW-premiedifferentiatie</w:t>
      </w:r>
    </w:p>
    <w:p w:rsidR="008F4669" w:rsidP="0080282B" w:rsidRDefault="00F36BFE" w14:paraId="4115F801" w14:textId="77777777">
      <w:r w:rsidRPr="00F36BFE">
        <w:t>Werkgevers betalen</w:t>
      </w:r>
      <w:r w:rsidR="00D602F2">
        <w:t xml:space="preserve"> sinds de Wab</w:t>
      </w:r>
      <w:r w:rsidRPr="00F36BFE">
        <w:t xml:space="preserve"> een lagere WW-premie voor werknemers met een vast contract dan voor flexkrachten, met enkele uitzonderingen (zoals jongeren en BBL-leerlingen). </w:t>
      </w:r>
    </w:p>
    <w:p w:rsidR="001B02C3" w:rsidP="0080282B" w:rsidRDefault="00F36BFE" w14:paraId="02D81A9B" w14:textId="77777777">
      <w:r w:rsidRPr="00F36BFE">
        <w:lastRenderedPageBreak/>
        <w:t>De lage premie wordt herzien als het dienstverband korter dan twee maanden duurt of als er meer dan 30% extra uren zijn verloond.</w:t>
      </w:r>
      <w:r>
        <w:rPr>
          <w:rStyle w:val="Voetnootmarkering"/>
        </w:rPr>
        <w:footnoteReference w:id="15"/>
      </w:r>
      <w:r>
        <w:t xml:space="preserve"> </w:t>
      </w:r>
      <w:r w:rsidR="00C430EE">
        <w:t>Bij de keuze welk arbeidscontract het beste past speelt de</w:t>
      </w:r>
      <w:r w:rsidR="00D165D8">
        <w:t xml:space="preserve"> </w:t>
      </w:r>
      <w:r w:rsidRPr="00AF32CD" w:rsidR="001B02C3">
        <w:t xml:space="preserve">WW-premiedifferentiatie </w:t>
      </w:r>
      <w:r w:rsidRPr="00AF32CD" w:rsidR="00D165D8">
        <w:t xml:space="preserve">vaak een ondergeschikte rol vergeleken met </w:t>
      </w:r>
      <w:r w:rsidR="00D602F2">
        <w:t xml:space="preserve">andere overwegingen zoals </w:t>
      </w:r>
      <w:r w:rsidRPr="00AF32CD" w:rsidR="00D165D8">
        <w:t>bijvoorbeeld arbeidsmarktkrapte.</w:t>
      </w:r>
      <w:r w:rsidR="00D165D8">
        <w:t xml:space="preserve"> </w:t>
      </w:r>
      <w:r w:rsidR="00C61817">
        <w:t xml:space="preserve">Hierdoor zijn de resultaten lastig meetbaar. </w:t>
      </w:r>
      <w:r w:rsidR="00D165D8">
        <w:t xml:space="preserve">Door sommige werkgevers </w:t>
      </w:r>
      <w:r w:rsidRPr="00AF32CD" w:rsidR="001B02C3">
        <w:t>wordt</w:t>
      </w:r>
      <w:r w:rsidR="00D602F2">
        <w:t xml:space="preserve"> de premiedifferentiatie volgens het onderzoek</w:t>
      </w:r>
      <w:r w:rsidR="00D165D8">
        <w:t xml:space="preserve"> wel ervaren als </w:t>
      </w:r>
      <w:r w:rsidRPr="00AF32CD" w:rsidR="001B02C3">
        <w:t>een klein steuntje in de rug</w:t>
      </w:r>
      <w:r w:rsidR="00184EBF">
        <w:t xml:space="preserve"> </w:t>
      </w:r>
      <w:r w:rsidRPr="00BB329A" w:rsidR="0080282B">
        <w:t xml:space="preserve">om werknemers eerder op </w:t>
      </w:r>
      <w:r w:rsidR="00DE4DA4">
        <w:t xml:space="preserve">basis van </w:t>
      </w:r>
      <w:r w:rsidRPr="00BB329A" w:rsidR="0080282B">
        <w:t>een vast contract aan te neme</w:t>
      </w:r>
      <w:r w:rsidR="00DE4DA4">
        <w:t>n</w:t>
      </w:r>
      <w:r w:rsidR="00D165D8">
        <w:t>.</w:t>
      </w:r>
      <w:r w:rsidRPr="00AF32CD" w:rsidR="001B02C3">
        <w:t xml:space="preserve"> </w:t>
      </w:r>
      <w:r w:rsidR="00B718A4">
        <w:t xml:space="preserve">Uit dit onderzoek blijkt </w:t>
      </w:r>
      <w:r w:rsidRPr="00D82E57" w:rsidR="0080282B">
        <w:t>dat verschillende sectoren anders reageren op de WW-premiedifferentiatie.</w:t>
      </w:r>
      <w:r w:rsidR="0080282B">
        <w:t xml:space="preserve"> </w:t>
      </w:r>
      <w:r w:rsidR="00E60516">
        <w:t xml:space="preserve">In sectoren </w:t>
      </w:r>
      <w:r w:rsidR="00184EBF">
        <w:t>waar</w:t>
      </w:r>
      <w:r w:rsidR="00E60516">
        <w:t xml:space="preserve"> vaste contracten </w:t>
      </w:r>
      <w:r w:rsidR="00184EBF">
        <w:t xml:space="preserve">altijd al </w:t>
      </w:r>
      <w:r w:rsidR="00B718A4">
        <w:t xml:space="preserve">(meer) </w:t>
      </w:r>
      <w:r w:rsidR="00184EBF">
        <w:t xml:space="preserve">de norm waren, </w:t>
      </w:r>
      <w:r w:rsidR="00E60516">
        <w:t xml:space="preserve">is het aantal vaste contracten </w:t>
      </w:r>
      <w:r w:rsidR="00184EBF">
        <w:t xml:space="preserve">nog verder </w:t>
      </w:r>
      <w:r w:rsidR="00E60516">
        <w:t xml:space="preserve">toegenomen. </w:t>
      </w:r>
      <w:r w:rsidRPr="00AF32CD" w:rsidR="001B02C3">
        <w:t xml:space="preserve">In sectoren </w:t>
      </w:r>
      <w:r w:rsidR="00DE4DA4">
        <w:t>waar</w:t>
      </w:r>
      <w:r w:rsidRPr="00AF32CD" w:rsidR="00DE4DA4">
        <w:t xml:space="preserve"> </w:t>
      </w:r>
      <w:r w:rsidRPr="00AF32CD" w:rsidR="001B02C3">
        <w:t xml:space="preserve">veel flexibel </w:t>
      </w:r>
      <w:r w:rsidRPr="00AF32CD" w:rsidR="00DE4DA4">
        <w:t>wordt</w:t>
      </w:r>
      <w:r w:rsidR="00DE4DA4">
        <w:t xml:space="preserve"> </w:t>
      </w:r>
      <w:r w:rsidR="00184EBF">
        <w:t>ge</w:t>
      </w:r>
      <w:r w:rsidRPr="00AF32CD" w:rsidR="00184EBF">
        <w:t>werkt</w:t>
      </w:r>
      <w:r w:rsidR="00184EBF">
        <w:t>, wordt</w:t>
      </w:r>
      <w:r w:rsidRPr="00AF32CD" w:rsidR="001B02C3">
        <w:t xml:space="preserve"> de WW-premie vooral gezien als een vast</w:t>
      </w:r>
      <w:r w:rsidR="00D602F2">
        <w:t xml:space="preserve"> in te calculeren (extra)</w:t>
      </w:r>
      <w:r w:rsidRPr="00AF32CD" w:rsidR="001B02C3">
        <w:t xml:space="preserve"> kostenpost.</w:t>
      </w:r>
      <w:r w:rsidRPr="00D82E57" w:rsidR="00D82E57">
        <w:rPr>
          <w:rFonts w:ascii="Calibri" w:hAnsi="Calibri" w:cs="Calibri"/>
          <w:sz w:val="20"/>
          <w:szCs w:val="20"/>
        </w:rPr>
        <w:t xml:space="preserve"> </w:t>
      </w:r>
      <w:r w:rsidR="0080282B">
        <w:t>Voor het correct uitvoeren van de WW-premiedifferentiatie wordt er veel gevraagd van het doenvermogen van werkgevers</w:t>
      </w:r>
      <w:r w:rsidR="00D602F2">
        <w:t xml:space="preserve"> zo blijkt uit het onderzoek</w:t>
      </w:r>
      <w:r w:rsidR="0080282B">
        <w:t xml:space="preserve">. </w:t>
      </w:r>
      <w:r w:rsidR="00D602F2">
        <w:t>Tegelijkertijd geldt dat d</w:t>
      </w:r>
      <w:r w:rsidRPr="00D2303B" w:rsidR="0080282B">
        <w:t xml:space="preserve">e WW-premiedifferentiatie inmiddels goed </w:t>
      </w:r>
      <w:r w:rsidR="00D602F2">
        <w:t xml:space="preserve">is </w:t>
      </w:r>
      <w:r w:rsidRPr="00D2303B" w:rsidR="0080282B">
        <w:t xml:space="preserve">ingebed in salarissoftware </w:t>
      </w:r>
      <w:r w:rsidR="00B63140">
        <w:t>die</w:t>
      </w:r>
      <w:r w:rsidR="0080282B">
        <w:t xml:space="preserve"> werkgevers goed kan ondersteunen</w:t>
      </w:r>
      <w:r w:rsidRPr="00D2303B" w:rsidR="0080282B">
        <w:t>.</w:t>
      </w:r>
      <w:r w:rsidR="0080282B">
        <w:t xml:space="preserve"> </w:t>
      </w:r>
      <w:r w:rsidRPr="001636DD" w:rsidR="0080282B">
        <w:t>Dat is van belang, omdat het systeem afhankelijk is van de juistheid van de door de werkgever ingevoerde gegevens</w:t>
      </w:r>
      <w:r w:rsidRPr="00D77594" w:rsidR="0080282B">
        <w:t xml:space="preserve">. </w:t>
      </w:r>
      <w:r w:rsidR="0080282B">
        <w:t>De in de loonaangifte opgenomen gegevens (contractsindicaties) zijn in beginsel het uitgangspunt voor de handhaving door de Belastingdienst. De</w:t>
      </w:r>
      <w:r w:rsidRPr="00D77594" w:rsidR="0080282B">
        <w:t xml:space="preserve"> datakwaliteit van de loonaangifteketen </w:t>
      </w:r>
      <w:r w:rsidR="0080282B">
        <w:t xml:space="preserve">is </w:t>
      </w:r>
      <w:r w:rsidRPr="00D77594" w:rsidR="0080282B">
        <w:t>door de Wab belangrijker geworde</w:t>
      </w:r>
      <w:r w:rsidR="0080282B">
        <w:t>n en</w:t>
      </w:r>
      <w:r w:rsidRPr="00BB329A" w:rsidR="0080282B">
        <w:t xml:space="preserve"> is volgens de verschillende stakeholders een belangrijk aandachtspunt</w:t>
      </w:r>
      <w:r w:rsidR="0080282B">
        <w:t>.</w:t>
      </w:r>
      <w:r w:rsidR="003D0ED5">
        <w:t xml:space="preserve"> Relevant daarbij is ook aan dat de uitbreiding van de loonaangifte de afgelopen jaren relatief fors is geweest en voor administratieve lasten bij werkgevers zorgt. </w:t>
      </w:r>
    </w:p>
    <w:p w:rsidR="001B02C3" w:rsidP="001C4C00" w:rsidRDefault="001B02C3" w14:paraId="3781506D" w14:textId="77777777"/>
    <w:p w:rsidRPr="00D165D8" w:rsidR="00D165D8" w:rsidP="001C4C00" w:rsidRDefault="004B1CE3" w14:paraId="76F72E34" w14:textId="77777777">
      <w:pPr>
        <w:rPr>
          <w:i/>
          <w:iCs/>
        </w:rPr>
      </w:pPr>
      <w:r>
        <w:rPr>
          <w:i/>
          <w:iCs/>
        </w:rPr>
        <w:t xml:space="preserve">III </w:t>
      </w:r>
      <w:r w:rsidR="00D165D8">
        <w:rPr>
          <w:i/>
          <w:iCs/>
        </w:rPr>
        <w:t>Ontslagrecht</w:t>
      </w:r>
    </w:p>
    <w:p w:rsidR="008F4669" w:rsidP="001C4C00" w:rsidRDefault="001C4C00" w14:paraId="03B4721C" w14:textId="77777777">
      <w:r w:rsidRPr="00AF32CD">
        <w:t>De introductie van de cumulatiegrond en de veranderingen in de transitievergoeding hebben het vaste contract niet significant aantrekkelijker gemaakt</w:t>
      </w:r>
      <w:r w:rsidRPr="002610EC" w:rsidR="002610EC">
        <w:rPr>
          <w:rStyle w:val="Verwijzingopmerking"/>
        </w:rPr>
        <w:t xml:space="preserve"> </w:t>
      </w:r>
      <w:r w:rsidRPr="00F42C6E" w:rsidR="002610EC">
        <w:rPr>
          <w:rStyle w:val="Verwijzingopmerking"/>
          <w:sz w:val="18"/>
          <w:szCs w:val="18"/>
        </w:rPr>
        <w:t>voor werkgevers</w:t>
      </w:r>
      <w:r w:rsidR="002610EC">
        <w:t>,</w:t>
      </w:r>
      <w:r w:rsidRPr="00AF32CD">
        <w:t xml:space="preserve"> het effect lijkt beperkt.</w:t>
      </w:r>
      <w:r w:rsidR="008A1DF5">
        <w:t xml:space="preserve"> Bij korte dienstverbanden wordt de </w:t>
      </w:r>
      <w:r w:rsidR="00D936C2">
        <w:t xml:space="preserve">verschuldigde </w:t>
      </w:r>
      <w:r w:rsidR="008A1DF5">
        <w:t xml:space="preserve">vergoeding </w:t>
      </w:r>
      <w:r w:rsidR="00D936C2">
        <w:t xml:space="preserve">in de praktijk </w:t>
      </w:r>
      <w:r w:rsidR="008A1DF5">
        <w:t xml:space="preserve">met regelmaat niet uitbetaald. </w:t>
      </w:r>
      <w:r w:rsidRPr="00AF32CD">
        <w:t xml:space="preserve">De meeste werkgevers geven aan dat de aanpassingen in de transitievergoeding niet hebben geleid tot </w:t>
      </w:r>
      <w:r w:rsidR="0088282D">
        <w:t xml:space="preserve">het </w:t>
      </w:r>
      <w:r w:rsidRPr="00AF32CD">
        <w:t xml:space="preserve">vaker of eerder aanbieden van </w:t>
      </w:r>
      <w:r w:rsidR="0088282D">
        <w:t xml:space="preserve">een </w:t>
      </w:r>
      <w:r w:rsidRPr="00AF32CD">
        <w:t>vast contract.</w:t>
      </w:r>
      <w:r w:rsidR="002610EC">
        <w:rPr>
          <w:rStyle w:val="Voetnootmarkering"/>
        </w:rPr>
        <w:footnoteReference w:id="16"/>
      </w:r>
      <w:r w:rsidRPr="00AF32CD">
        <w:t xml:space="preserve"> </w:t>
      </w:r>
      <w:r w:rsidRPr="00D82E57" w:rsidR="00D82E57">
        <w:t>Een deel stelt wel dat het verschil in het relatieve risico tussen flex</w:t>
      </w:r>
      <w:r w:rsidR="00D47625">
        <w:t>ibele</w:t>
      </w:r>
      <w:r w:rsidRPr="00D82E57" w:rsidR="00D82E57">
        <w:t xml:space="preserve"> en vast</w:t>
      </w:r>
      <w:r w:rsidR="00D47625">
        <w:t>e arbeidscontracten</w:t>
      </w:r>
      <w:r w:rsidRPr="00D82E57" w:rsidR="00D82E57">
        <w:t xml:space="preserve"> is afgenomen, maar de beslissing om een vast contract aan te bieden hangt volgens werkgevers niet af van de hoogte van de transitievergoeding</w:t>
      </w:r>
      <w:r w:rsidR="00D82E57">
        <w:t xml:space="preserve">, maar eerder van presentaties </w:t>
      </w:r>
      <w:r w:rsidRPr="00AF32CD">
        <w:t xml:space="preserve">van de werknemer, de match met het bedrijf </w:t>
      </w:r>
      <w:r w:rsidR="0088282D">
        <w:t>é</w:t>
      </w:r>
      <w:r w:rsidRPr="00AF32CD">
        <w:t xml:space="preserve">n risico’s zoals loondoorbetaling bij ziekte. </w:t>
      </w:r>
      <w:r w:rsidRPr="00D82E57" w:rsidR="00D82E57">
        <w:t>Bij de transitievergoeding zien we wel dat de prikkel om een bepaalde keten aan contracten aan te bieden is tenietgedaan</w:t>
      </w:r>
      <w:r w:rsidR="00D90421">
        <w:t>, omdat de vergoeding nu vanaf</w:t>
      </w:r>
      <w:r w:rsidR="004B1CE3">
        <w:t xml:space="preserve"> </w:t>
      </w:r>
      <w:r w:rsidR="00B718A4">
        <w:t>dag één van het contract</w:t>
      </w:r>
      <w:r w:rsidR="00D90421">
        <w:t xml:space="preserve"> betaald moet worden</w:t>
      </w:r>
      <w:r w:rsidRPr="00D82E57" w:rsidR="00D82E57">
        <w:t xml:space="preserve">. </w:t>
      </w:r>
      <w:r w:rsidR="00D936C2">
        <w:t xml:space="preserve">Daarin is het verschil tussen vaste en flexibele contracten verkleind door de Wab. Ook </w:t>
      </w:r>
      <w:r w:rsidRPr="009A33AE" w:rsidR="009A33AE">
        <w:t>zien</w:t>
      </w:r>
      <w:r w:rsidR="00D936C2">
        <w:t xml:space="preserve"> we</w:t>
      </w:r>
      <w:r w:rsidRPr="009A33AE" w:rsidR="009A33AE">
        <w:t xml:space="preserve"> dat het schrappen van de hogere transitievergoeding voor oudere werknemers met een lang dienstverband heeft geleid tot een toename van hun ontslagkans</w:t>
      </w:r>
      <w:r w:rsidR="009A33AE">
        <w:t>.</w:t>
      </w:r>
      <w:r w:rsidR="009A33AE">
        <w:rPr>
          <w:rStyle w:val="Voetnootmarkering"/>
        </w:rPr>
        <w:footnoteReference w:id="17"/>
      </w:r>
      <w:r w:rsidR="009A33AE">
        <w:t xml:space="preserve"> </w:t>
      </w:r>
    </w:p>
    <w:p w:rsidRPr="00AF32CD" w:rsidR="001C4C00" w:rsidP="001C4C00" w:rsidRDefault="001C4C00" w14:paraId="3C8A6155" w14:textId="77777777">
      <w:r w:rsidRPr="00AF32CD">
        <w:lastRenderedPageBreak/>
        <w:t>Ook de compensatieregeling voor kleine werkgevers bij bedrijfsbeëindiging heeft het gedrag van werkgevers nauwelijks veranderd.</w:t>
      </w:r>
      <w:r w:rsidR="00A346FF">
        <w:rPr>
          <w:rStyle w:val="Voetnootmarkering"/>
        </w:rPr>
        <w:footnoteReference w:id="18"/>
      </w:r>
      <w:r w:rsidRPr="00AF32CD">
        <w:t xml:space="preserve"> Volgens werkgevers</w:t>
      </w:r>
      <w:r w:rsidR="00355949">
        <w:t xml:space="preserve"> en de rechtspraak</w:t>
      </w:r>
      <w:r w:rsidRPr="00AF32CD">
        <w:t xml:space="preserve"> is </w:t>
      </w:r>
      <w:r w:rsidR="00355949">
        <w:t xml:space="preserve">het </w:t>
      </w:r>
      <w:r w:rsidRPr="00AF32CD">
        <w:t>ontslag</w:t>
      </w:r>
      <w:r w:rsidR="00355949">
        <w:t>recht</w:t>
      </w:r>
      <w:r w:rsidRPr="00AF32CD">
        <w:t xml:space="preserve"> door de cumulatiegrond niet </w:t>
      </w:r>
      <w:r w:rsidR="00D936C2">
        <w:t xml:space="preserve">significant </w:t>
      </w:r>
      <w:r w:rsidRPr="00AF32CD">
        <w:t>eenvoudiger of minder risicovol geworden.</w:t>
      </w:r>
      <w:r w:rsidR="006B1374">
        <w:t xml:space="preserve"> </w:t>
      </w:r>
      <w:r w:rsidR="00D936C2">
        <w:t>D</w:t>
      </w:r>
      <w:r w:rsidR="006B1374">
        <w:t>e introductie van de cumulatiegrond</w:t>
      </w:r>
      <w:r w:rsidR="00D936C2">
        <w:t xml:space="preserve"> speelt dus niet merkbaar een rol</w:t>
      </w:r>
      <w:r w:rsidR="006B1374">
        <w:t xml:space="preserve"> </w:t>
      </w:r>
      <w:r w:rsidR="00355949">
        <w:t xml:space="preserve">in de praktijk </w:t>
      </w:r>
      <w:r w:rsidR="006B1374">
        <w:t xml:space="preserve">bij de </w:t>
      </w:r>
      <w:r w:rsidR="00355949">
        <w:t>contractkeuze</w:t>
      </w:r>
      <w:r w:rsidR="006B1374">
        <w:t>.</w:t>
      </w:r>
      <w:r w:rsidRPr="00AF32CD">
        <w:t xml:space="preserve"> </w:t>
      </w:r>
    </w:p>
    <w:p w:rsidR="001C4C00" w:rsidP="007D7882" w:rsidRDefault="001C4C00" w14:paraId="23C4C675" w14:textId="77777777"/>
    <w:p w:rsidRPr="00201456" w:rsidR="00355949" w:rsidP="00D165D8" w:rsidRDefault="004B1CE3" w14:paraId="4EFE4268" w14:textId="77777777">
      <w:pPr>
        <w:rPr>
          <w:i/>
          <w:iCs/>
        </w:rPr>
      </w:pPr>
      <w:r>
        <w:rPr>
          <w:i/>
          <w:iCs/>
        </w:rPr>
        <w:t xml:space="preserve">IV Algemeen: </w:t>
      </w:r>
      <w:r w:rsidR="00D936C2">
        <w:rPr>
          <w:i/>
          <w:iCs/>
        </w:rPr>
        <w:t>Verkleinen van verschillen vast/flex</w:t>
      </w:r>
      <w:r w:rsidR="00B718A4">
        <w:rPr>
          <w:i/>
          <w:iCs/>
        </w:rPr>
        <w:t xml:space="preserve"> qua</w:t>
      </w:r>
      <w:r w:rsidR="00D936C2">
        <w:rPr>
          <w:i/>
          <w:iCs/>
        </w:rPr>
        <w:t xml:space="preserve"> kosten en risico’s</w:t>
      </w:r>
    </w:p>
    <w:p w:rsidR="00D165D8" w:rsidP="00D165D8" w:rsidRDefault="001C4C00" w14:paraId="0B4669B3" w14:textId="77777777">
      <w:r>
        <w:t xml:space="preserve">Over het algemeen </w:t>
      </w:r>
      <w:r w:rsidRPr="00E26205" w:rsidR="00E26205">
        <w:t>geldt dat de verschillen in kosten en risico’s tussen flexibele en vaste contracten op enkele punten zijn verkleind</w:t>
      </w:r>
      <w:r w:rsidR="00060218">
        <w:t xml:space="preserve"> zoals hierboven beschreven</w:t>
      </w:r>
      <w:r w:rsidRPr="00E26205" w:rsidR="00E26205">
        <w:t xml:space="preserve">. Uit de evaluatie blijkt echter dat deze verkleining </w:t>
      </w:r>
      <w:r w:rsidR="000B2325">
        <w:t>weinig meetbare</w:t>
      </w:r>
      <w:r w:rsidRPr="00E26205" w:rsidR="000B2325">
        <w:t xml:space="preserve"> </w:t>
      </w:r>
      <w:r w:rsidRPr="00E26205" w:rsidR="00E26205">
        <w:t xml:space="preserve">invloed heeft op de keuze van werkgevers om vaste contracten aan te bieden. </w:t>
      </w:r>
      <w:r w:rsidR="009A33AE">
        <w:t>Naast financiële prikkels spelen andere factoren vaak een grote ro</w:t>
      </w:r>
      <w:r w:rsidR="000B2325">
        <w:t>l, waardoor het effect klein blijft</w:t>
      </w:r>
      <w:r w:rsidR="009A33AE">
        <w:t xml:space="preserve">. </w:t>
      </w:r>
      <w:r w:rsidRPr="009A33AE" w:rsidR="009A33AE">
        <w:t>De aard van het werk</w:t>
      </w:r>
      <w:r w:rsidR="009A33AE">
        <w:t xml:space="preserve">, </w:t>
      </w:r>
      <w:r w:rsidRPr="009A33AE" w:rsidR="009A33AE">
        <w:t>zoals vervangbaarheid, specialisatie, flexibiliteit en voorspelbaarheid</w:t>
      </w:r>
      <w:r w:rsidR="009A33AE">
        <w:t>, beïnvloed</w:t>
      </w:r>
      <w:r w:rsidR="00B718A4">
        <w:t>t</w:t>
      </w:r>
      <w:r w:rsidR="009A33AE">
        <w:t xml:space="preserve"> </w:t>
      </w:r>
      <w:r w:rsidRPr="009A33AE" w:rsidR="009A33AE">
        <w:t>de keuze van werkgevers, die deze vooral baseren op operationele behoeften</w:t>
      </w:r>
      <w:r w:rsidR="009A33AE">
        <w:t xml:space="preserve"> naast een inschatting van </w:t>
      </w:r>
      <w:r w:rsidRPr="009A33AE" w:rsidR="009A33AE">
        <w:t>kosten of risico’s.</w:t>
      </w:r>
      <w:r w:rsidR="009A33AE">
        <w:t xml:space="preserve"> </w:t>
      </w:r>
      <w:r w:rsidRPr="0080282B" w:rsidR="0080282B">
        <w:t xml:space="preserve">Ondanks de </w:t>
      </w:r>
      <w:r w:rsidR="000B2325">
        <w:t xml:space="preserve">soms </w:t>
      </w:r>
      <w:r w:rsidRPr="0080282B" w:rsidR="0080282B">
        <w:t xml:space="preserve">beperkte effecten op macroniveau hebben de </w:t>
      </w:r>
      <w:r w:rsidR="00B718A4">
        <w:t>regels</w:t>
      </w:r>
      <w:r w:rsidRPr="0080282B" w:rsidR="00B718A4">
        <w:t xml:space="preserve"> </w:t>
      </w:r>
      <w:r w:rsidRPr="0080282B" w:rsidR="0080282B">
        <w:t>wel de positie van werkende</w:t>
      </w:r>
      <w:r w:rsidR="0080282B">
        <w:t>n</w:t>
      </w:r>
      <w:r w:rsidRPr="0080282B" w:rsidR="0080282B">
        <w:t xml:space="preserve"> verbeterd</w:t>
      </w:r>
      <w:r w:rsidR="0080282B">
        <w:t xml:space="preserve"> op bepaalde punten</w:t>
      </w:r>
      <w:r w:rsidRPr="0080282B" w:rsidR="0080282B">
        <w:t>.</w:t>
      </w:r>
      <w:r w:rsidR="0080282B">
        <w:t xml:space="preserve"> </w:t>
      </w:r>
      <w:r w:rsidR="00D165D8">
        <w:t>Zo heeft bijvoorbeeld een grotere groep werkenden na de invoering van de Wab recht op transitievergoeding</w:t>
      </w:r>
      <w:r w:rsidR="008365D8">
        <w:t xml:space="preserve"> en hebben payrollkrachten betere arbeidsvoorwaarden</w:t>
      </w:r>
      <w:r w:rsidR="00D165D8">
        <w:t xml:space="preserve">. </w:t>
      </w:r>
    </w:p>
    <w:p w:rsidR="00D165D8" w:rsidP="00D165D8" w:rsidRDefault="00D165D8" w14:paraId="2751AA4E" w14:textId="77777777"/>
    <w:p w:rsidRPr="0080282B" w:rsidR="0080282B" w:rsidP="0080282B" w:rsidRDefault="00E26205" w14:paraId="02FF479C" w14:textId="77777777">
      <w:r w:rsidRPr="00E26205">
        <w:t>In sectoren met gespecialiseerd werk of een krappe arbeidsmarkt</w:t>
      </w:r>
      <w:r w:rsidR="001F0814">
        <w:t>,</w:t>
      </w:r>
      <w:r w:rsidRPr="00E26205">
        <w:t xml:space="preserve"> waar personeelsbehoud cruciaal is</w:t>
      </w:r>
      <w:r w:rsidR="001F0814">
        <w:t>,</w:t>
      </w:r>
      <w:r w:rsidRPr="00E26205">
        <w:t xml:space="preserve"> zijn werkgevers eerder bereid te investeren in vaste dienstverbanden. Werkgevers die voorheen standaard gebruikmaakten van flexibele contracten, doen dat </w:t>
      </w:r>
      <w:r w:rsidR="001F0814">
        <w:t xml:space="preserve">vaak </w:t>
      </w:r>
      <w:r w:rsidRPr="00E26205">
        <w:t>nog steeds. Met name in sectoren waar flexibele arbeid al gebruikelijk was vóór de invoering van de Wab</w:t>
      </w:r>
      <w:r w:rsidR="001F0814">
        <w:t xml:space="preserve"> blijft flexibele arbeid de norm</w:t>
      </w:r>
      <w:r w:rsidRPr="00E26205">
        <w:t xml:space="preserve">. De prikkels vanuit de Wab om sneller vaste contracten aan te bieden, spelen een minder grote rol </w:t>
      </w:r>
      <w:r w:rsidR="0034444B">
        <w:t xml:space="preserve">in de </w:t>
      </w:r>
      <w:r w:rsidRPr="00E26205">
        <w:t>afwegingen</w:t>
      </w:r>
      <w:r w:rsidR="0034444B">
        <w:t xml:space="preserve"> van werkgevers in deze sectoren</w:t>
      </w:r>
      <w:r w:rsidRPr="00E26205">
        <w:t>.</w:t>
      </w:r>
      <w:r w:rsidR="00F46090">
        <w:t xml:space="preserve"> </w:t>
      </w:r>
    </w:p>
    <w:p w:rsidR="00F46090" w:rsidP="00F46090" w:rsidRDefault="0080282B" w14:paraId="166AD3E9" w14:textId="77777777">
      <w:r w:rsidRPr="0080282B">
        <w:t xml:space="preserve">Dit neemt niet weg dat door de feitelijke veranderingen in de Wab het verschil in kosten van een vast contract en een flexibel contract </w:t>
      </w:r>
      <w:r>
        <w:t>is</w:t>
      </w:r>
      <w:r w:rsidRPr="0080282B">
        <w:t xml:space="preserve"> verkleind. </w:t>
      </w:r>
      <w:r w:rsidR="00A346FF">
        <w:t xml:space="preserve">Hierdoor kan het effect </w:t>
      </w:r>
      <w:r w:rsidR="00CA39A8">
        <w:t xml:space="preserve">van de Wab </w:t>
      </w:r>
      <w:r w:rsidR="00A346FF">
        <w:t xml:space="preserve">nog </w:t>
      </w:r>
      <w:r w:rsidR="00CA39A8">
        <w:t xml:space="preserve">verder </w:t>
      </w:r>
      <w:r w:rsidR="00A346FF">
        <w:t xml:space="preserve">toenemen tijdens de verdere uitwerking van het arbeidsmarktpakket. </w:t>
      </w:r>
    </w:p>
    <w:p w:rsidR="00D165D8" w:rsidP="00F46090" w:rsidRDefault="00D165D8" w14:paraId="1B5059E1" w14:textId="77777777"/>
    <w:p w:rsidRPr="00DF5077" w:rsidR="00B718A4" w:rsidP="00F46090" w:rsidRDefault="004B1CE3" w14:paraId="7494DB1C" w14:textId="77777777">
      <w:pPr>
        <w:rPr>
          <w:i/>
          <w:iCs/>
        </w:rPr>
      </w:pPr>
      <w:r>
        <w:rPr>
          <w:i/>
          <w:iCs/>
        </w:rPr>
        <w:t xml:space="preserve">V Algemeen: </w:t>
      </w:r>
      <w:r w:rsidR="00B718A4">
        <w:rPr>
          <w:i/>
          <w:iCs/>
        </w:rPr>
        <w:t>Bekendheid met de regels</w:t>
      </w:r>
    </w:p>
    <w:p w:rsidR="008F4669" w:rsidP="007D7882" w:rsidRDefault="000323F6" w14:paraId="0DA6C13A" w14:textId="77777777">
      <w:r w:rsidRPr="00CB0DCA">
        <w:t xml:space="preserve">Uit de enquêtes en interviews </w:t>
      </w:r>
      <w:r>
        <w:t xml:space="preserve">uitgevoerd tijdens de evaluatie </w:t>
      </w:r>
      <w:r w:rsidRPr="00CB0DCA">
        <w:t xml:space="preserve">onder werkgevers, leidinggevenden en werknemers blijkt dat de bekendheid van de </w:t>
      </w:r>
      <w:r w:rsidRPr="000323F6">
        <w:t>maatregelen</w:t>
      </w:r>
      <w:r w:rsidRPr="00CB0DCA">
        <w:t xml:space="preserve"> relatief laag is</w:t>
      </w:r>
      <w:r>
        <w:t xml:space="preserve">. </w:t>
      </w:r>
      <w:r w:rsidRPr="000323F6">
        <w:t>Werkgevers zijn wel vaak iets beter op de hoogte van de maatregelen dan werknemers. De term "werkgever" omvat verschillende lagen binnen een organisatie, zoals managers en HR-professionals, die elk een verschillend kennisniveau van de Wab hebben. Vaak hebben HR-professionals meer kennis van de regelingen, terwijl juist managers de beslissingen nemen over het al dan niet aanbieden van een arbeidsovereenkomst voor onbepaalde tijd.</w:t>
      </w:r>
      <w:r w:rsidR="00060218">
        <w:rPr>
          <w:rStyle w:val="Voetnootmarkering"/>
        </w:rPr>
        <w:footnoteReference w:id="19"/>
      </w:r>
      <w:r>
        <w:t xml:space="preserve"> Toch is deze groep in zijn geheel beter op de hoogte van de wetswijziging dan werknemers. Door de werking van het civiele recht is het aan werkende</w:t>
      </w:r>
      <w:r w:rsidR="00904792">
        <w:t>n</w:t>
      </w:r>
      <w:r>
        <w:t xml:space="preserve"> zelf om hun rechten af te dwingen. </w:t>
      </w:r>
    </w:p>
    <w:p w:rsidR="000323F6" w:rsidP="007D7882" w:rsidRDefault="000323F6" w14:paraId="514F91E1" w14:textId="77777777">
      <w:r>
        <w:lastRenderedPageBreak/>
        <w:t>In de praktijk blijkt dit echter lastig voor veel werknemers door onder andere een gebrek aan kennis</w:t>
      </w:r>
      <w:r w:rsidR="0080282B">
        <w:t xml:space="preserve"> en doenvermogen</w:t>
      </w:r>
      <w:r>
        <w:t xml:space="preserve"> of angst voor relatieverstoringen. </w:t>
      </w:r>
    </w:p>
    <w:p w:rsidR="00E26205" w:rsidP="007D7882" w:rsidRDefault="00E26205" w14:paraId="749C4D56" w14:textId="77777777"/>
    <w:p w:rsidR="00251698" w:rsidRDefault="003146EA" w14:paraId="2B4FCBF6" w14:textId="77777777">
      <w:pPr>
        <w:rPr>
          <w:b/>
          <w:bCs/>
        </w:rPr>
      </w:pPr>
      <w:r>
        <w:rPr>
          <w:b/>
          <w:bCs/>
        </w:rPr>
        <w:t xml:space="preserve">III </w:t>
      </w:r>
      <w:r w:rsidR="001C4C00">
        <w:rPr>
          <w:b/>
          <w:bCs/>
        </w:rPr>
        <w:t>reactie</w:t>
      </w:r>
    </w:p>
    <w:p w:rsidR="00D936C2" w:rsidP="004C0F42" w:rsidRDefault="003146EA" w14:paraId="2F506F9D" w14:textId="77777777">
      <w:r>
        <w:t xml:space="preserve">De regering was </w:t>
      </w:r>
      <w:r w:rsidR="00CB2198">
        <w:t xml:space="preserve">zich er </w:t>
      </w:r>
      <w:r>
        <w:t xml:space="preserve">tijdens de uitwerking en invoering van de Wab al </w:t>
      </w:r>
      <w:r w:rsidR="00D165D8">
        <w:t>bewust</w:t>
      </w:r>
      <w:r>
        <w:t xml:space="preserve"> van dat deze wijzigingen</w:t>
      </w:r>
      <w:r w:rsidR="00355949">
        <w:t xml:space="preserve"> geen grote</w:t>
      </w:r>
      <w:r w:rsidR="001C4C00">
        <w:t xml:space="preserve"> effecten op de arbeidsmarkt teweeg zouden brengen</w:t>
      </w:r>
      <w:r w:rsidR="000323F6">
        <w:t>.</w:t>
      </w:r>
      <w:r>
        <w:t xml:space="preserve"> </w:t>
      </w:r>
      <w:r w:rsidR="001C4C00">
        <w:t xml:space="preserve">Tijdens de Kamerbehandeling van de </w:t>
      </w:r>
      <w:r>
        <w:t>Wab</w:t>
      </w:r>
      <w:r w:rsidR="001C4C00">
        <w:t xml:space="preserve"> heeft de minister van SZW al aangegeven dat de wet</w:t>
      </w:r>
      <w:r>
        <w:t xml:space="preserve"> moet worden gezien als een eerste stap in de</w:t>
      </w:r>
      <w:r w:rsidR="00CB2198">
        <w:t xml:space="preserve"> goede</w:t>
      </w:r>
      <w:r>
        <w:t xml:space="preserve"> richting</w:t>
      </w:r>
      <w:r w:rsidR="00664662">
        <w:t xml:space="preserve"> naar een betere balans tussen flexibele werknemers en werknemers met een vast dienstverband</w:t>
      </w:r>
      <w:r w:rsidR="004A0D9D">
        <w:t>.</w:t>
      </w:r>
      <w:r w:rsidR="00D936C2">
        <w:t xml:space="preserve"> </w:t>
      </w:r>
      <w:r w:rsidRPr="00664662" w:rsidR="00664662">
        <w:t xml:space="preserve">Daarnaast heeft de minister van SZW de </w:t>
      </w:r>
      <w:r w:rsidRPr="00F42C6E" w:rsidR="00664662">
        <w:t>Commissie Regulering van Werk</w:t>
      </w:r>
      <w:r w:rsidRPr="00664662" w:rsidR="00664662">
        <w:t xml:space="preserve">, onder leiding van de heer Borstlap, ingesteld om advies uit te brengen over </w:t>
      </w:r>
      <w:r w:rsidR="00D936C2">
        <w:t xml:space="preserve">toekomstbestendige </w:t>
      </w:r>
      <w:r w:rsidRPr="00664662" w:rsidR="00664662">
        <w:t>regulering van werkenden en arbeids- en opdrachtrelaties.</w:t>
      </w:r>
      <w:r w:rsidR="00381531">
        <w:t xml:space="preserve"> In dit licht is het ook niet verontrustend dat de meetbare effecten van de Wab relatief </w:t>
      </w:r>
      <w:r w:rsidR="00D936C2">
        <w:t>beperkt</w:t>
      </w:r>
      <w:r w:rsidR="00381531">
        <w:t xml:space="preserve"> zijn.</w:t>
      </w:r>
    </w:p>
    <w:p w:rsidR="00381531" w:rsidP="004C0F42" w:rsidRDefault="00664662" w14:paraId="3BD6AC4F" w14:textId="77777777">
      <w:r w:rsidRPr="00664662">
        <w:br/>
        <w:t>Het advies</w:t>
      </w:r>
      <w:r w:rsidR="00D936C2">
        <w:t xml:space="preserve"> van de Commissie Regulering van Werk</w:t>
      </w:r>
      <w:r w:rsidRPr="00664662">
        <w:t xml:space="preserve"> resulteerde in het rapport </w:t>
      </w:r>
      <w:r w:rsidRPr="00664662">
        <w:rPr>
          <w:i/>
          <w:iCs/>
        </w:rPr>
        <w:t>“In wat voor land willen wij werken?”</w:t>
      </w:r>
      <w:r w:rsidRPr="00664662">
        <w:t>.</w:t>
      </w:r>
      <w:r w:rsidRPr="00D165D8" w:rsidR="00D165D8">
        <w:rPr>
          <w:rStyle w:val="Voetnootmarkering"/>
        </w:rPr>
        <w:footnoteReference w:id="20"/>
      </w:r>
      <w:r w:rsidRPr="00D165D8" w:rsidR="00D165D8">
        <w:t xml:space="preserve"> Naar aanleiding van dit rapport heeft de SER het SER MLT advies geschreven. </w:t>
      </w:r>
      <w:r w:rsidR="00CA39A8">
        <w:t>In h</w:t>
      </w:r>
      <w:r w:rsidRPr="00D165D8" w:rsidR="00D165D8">
        <w:t>et eerder aangekondigde arbeidsmarktpakket is vervolgens samen met sociale partners</w:t>
      </w:r>
      <w:r w:rsidR="0080282B">
        <w:t xml:space="preserve"> gewerkt aan</w:t>
      </w:r>
      <w:r w:rsidRPr="00D165D8" w:rsidR="00D165D8">
        <w:t xml:space="preserve"> de uitwerking van beide adviezen. </w:t>
      </w:r>
      <w:r w:rsidRPr="00F36354" w:rsidR="000323F6">
        <w:t xml:space="preserve">Het arbeidsmarktpakket vergroot enerzijds de zekerheid van werkenden en anderzijds de wendbaarheid van </w:t>
      </w:r>
      <w:r w:rsidRPr="00D165D8" w:rsidR="000323F6">
        <w:t>wer</w:t>
      </w:r>
      <w:r w:rsidR="00CA39A8">
        <w:t>k</w:t>
      </w:r>
      <w:r w:rsidRPr="00D165D8" w:rsidR="000323F6">
        <w:t>gev</w:t>
      </w:r>
      <w:r w:rsidRPr="00D165D8" w:rsidR="00B37028">
        <w:t>ers</w:t>
      </w:r>
      <w:r w:rsidRPr="00D165D8" w:rsidR="000323F6">
        <w:t>.</w:t>
      </w:r>
      <w:r w:rsidRPr="00D165D8" w:rsidR="00060218">
        <w:rPr>
          <w:rStyle w:val="Voetnootmarkering"/>
        </w:rPr>
        <w:footnoteReference w:id="21"/>
      </w:r>
      <w:r w:rsidRPr="00F36354" w:rsidR="000323F6">
        <w:t xml:space="preserve"> </w:t>
      </w:r>
      <w:r w:rsidRPr="00BE4767" w:rsidR="00D936C2">
        <w:t xml:space="preserve">Op deze manier worden duurzame arbeidsrelaties binnen wendbare ondernemingen gestimuleerd. </w:t>
      </w:r>
      <w:r w:rsidR="00D936C2">
        <w:t>In dit kader is</w:t>
      </w:r>
      <w:r w:rsidRPr="00BE4767" w:rsidR="000323F6">
        <w:t xml:space="preserve"> bijvoorbeeld het wetsvoorstel meer zekerheid flexwerkers </w:t>
      </w:r>
      <w:r w:rsidR="00D936C2">
        <w:t xml:space="preserve">voorbereid om </w:t>
      </w:r>
      <w:r w:rsidRPr="00BE4767" w:rsidR="000323F6">
        <w:t xml:space="preserve">de </w:t>
      </w:r>
      <w:r w:rsidR="00D936C2">
        <w:t>zekerheid van flexwerkers te vergroten</w:t>
      </w:r>
      <w:r w:rsidRPr="00BE4767" w:rsidR="00D936C2">
        <w:t xml:space="preserve"> </w:t>
      </w:r>
      <w:r w:rsidRPr="00BE4767" w:rsidR="000323F6">
        <w:t>en zorgt het wetsvoorstel personeelsbehoud bij crisis voor meer wendbaarheid bij werkgevers in</w:t>
      </w:r>
      <w:r w:rsidRPr="00F36354" w:rsidR="000323F6">
        <w:t xml:space="preserve"> tijden van crisis. Uiteindelijk dient het gehele pakket</w:t>
      </w:r>
      <w:r w:rsidR="008365D8">
        <w:t xml:space="preserve"> </w:t>
      </w:r>
      <w:r w:rsidRPr="00F36354" w:rsidR="000323F6">
        <w:t>de arbeidsmarkt toekomstbestendiger te maken.</w:t>
      </w:r>
      <w:r w:rsidR="00236707">
        <w:t xml:space="preserve"> </w:t>
      </w:r>
    </w:p>
    <w:p w:rsidR="00381531" w:rsidP="004C0F42" w:rsidRDefault="00381531" w14:paraId="359D171C" w14:textId="77777777"/>
    <w:p w:rsidR="004B1CE3" w:rsidP="004C0F42" w:rsidRDefault="00236707" w14:paraId="668C60CA" w14:textId="77777777">
      <w:r>
        <w:t xml:space="preserve">Daarnaast zijn er andere inzichten </w:t>
      </w:r>
      <w:r w:rsidR="008365D8">
        <w:t xml:space="preserve">uit de evaluatie </w:t>
      </w:r>
      <w:r>
        <w:t xml:space="preserve">naar voren gekomen die kunnen bijdragen aan </w:t>
      </w:r>
      <w:r w:rsidR="00AF3DCD">
        <w:t>verdere beleidsontwikkeling</w:t>
      </w:r>
      <w:r w:rsidR="004B1CE3">
        <w:t xml:space="preserve">: </w:t>
      </w:r>
    </w:p>
    <w:p w:rsidR="008365D8" w:rsidP="004C0F42" w:rsidRDefault="008365D8" w14:paraId="326A1A7F" w14:textId="77777777"/>
    <w:p w:rsidR="00A86105" w:rsidP="004C0F42" w:rsidRDefault="00A86105" w14:paraId="2B87504E" w14:textId="77777777"/>
    <w:p w:rsidR="008365D8" w:rsidP="00DF5077" w:rsidRDefault="008365D8" w14:paraId="012095D5" w14:textId="77777777">
      <w:pPr>
        <w:pStyle w:val="Lijstalinea"/>
        <w:numPr>
          <w:ilvl w:val="0"/>
          <w:numId w:val="25"/>
        </w:numPr>
      </w:pPr>
      <w:r>
        <w:t>Verder verkleinen verschillen</w:t>
      </w:r>
    </w:p>
    <w:p w:rsidR="00A86105" w:rsidP="00A86105" w:rsidRDefault="00085865" w14:paraId="5A20C985" w14:textId="77777777">
      <w:r>
        <w:t xml:space="preserve">Ten eerste zou het kunnen zijn dat de </w:t>
      </w:r>
      <w:r w:rsidR="00CF6E5E">
        <w:t>(</w:t>
      </w:r>
      <w:r>
        <w:t>financiële</w:t>
      </w:r>
      <w:r w:rsidR="00CF6E5E">
        <w:t>)</w:t>
      </w:r>
      <w:r>
        <w:t xml:space="preserve"> prikkels niet hoog genoeg zijn </w:t>
      </w:r>
      <w:r w:rsidR="008365D8">
        <w:t>voor werkgevers om te kiezen voor vaste contracten</w:t>
      </w:r>
      <w:r>
        <w:t xml:space="preserve">. </w:t>
      </w:r>
      <w:r w:rsidR="008365D8">
        <w:t xml:space="preserve">Daarom wordt met het </w:t>
      </w:r>
      <w:r w:rsidR="00CA39A8">
        <w:t xml:space="preserve"> arbeidsmarktpakket</w:t>
      </w:r>
      <w:r w:rsidR="008365D8">
        <w:t xml:space="preserve"> </w:t>
      </w:r>
      <w:r w:rsidR="00CF6E5E">
        <w:t xml:space="preserve">de </w:t>
      </w:r>
      <w:r w:rsidR="008365D8">
        <w:t>verschillen</w:t>
      </w:r>
      <w:r w:rsidR="00CF6E5E">
        <w:t xml:space="preserve"> verder</w:t>
      </w:r>
      <w:r w:rsidR="008365D8">
        <w:t xml:space="preserve"> verkleind</w:t>
      </w:r>
      <w:r w:rsidR="00CF6E5E">
        <w:t>, zodat het effect mogelijk groter is</w:t>
      </w:r>
      <w:r w:rsidR="00CA39A8">
        <w:t xml:space="preserve">. </w:t>
      </w:r>
    </w:p>
    <w:p w:rsidR="00A86105" w:rsidP="00A86105" w:rsidRDefault="00A86105" w14:paraId="36DFD58D" w14:textId="77777777"/>
    <w:p w:rsidR="004B1CE3" w:rsidP="00DF5077" w:rsidRDefault="004B1CE3" w14:paraId="4410462F" w14:textId="77777777">
      <w:pPr>
        <w:pStyle w:val="Lijstalinea"/>
        <w:numPr>
          <w:ilvl w:val="0"/>
          <w:numId w:val="25"/>
        </w:numPr>
      </w:pPr>
      <w:r>
        <w:t>Vergroten van de bekendheid van regels</w:t>
      </w:r>
      <w:r w:rsidR="008365D8">
        <w:t xml:space="preserve"> en doenvermogen</w:t>
      </w:r>
    </w:p>
    <w:p w:rsidR="00CE792F" w:rsidP="004C0F42" w:rsidRDefault="004A0D9D" w14:paraId="3F61493F" w14:textId="77777777">
      <w:r>
        <w:t xml:space="preserve">. </w:t>
      </w:r>
      <w:r w:rsidR="008365D8">
        <w:t xml:space="preserve">Het is belangrijk dat werkgevers én werknemer voldoende op de hoogte zijn van de regels. </w:t>
      </w:r>
      <w:r w:rsidRPr="004A0D9D">
        <w:t>Door de</w:t>
      </w:r>
      <w:r w:rsidR="008365D8">
        <w:t xml:space="preserve"> relatieve</w:t>
      </w:r>
      <w:r w:rsidRPr="004A0D9D">
        <w:t xml:space="preserve"> onbekendheid worden de maatregelen lang niet altijd nageleefd</w:t>
      </w:r>
      <w:r w:rsidR="00355949">
        <w:t>. Ook</w:t>
      </w:r>
      <w:r w:rsidR="00AF3DCD">
        <w:t xml:space="preserve"> werken financiële maatregelen zoals premiedifferentiatie in de WW </w:t>
      </w:r>
      <w:r w:rsidR="0088282D">
        <w:t xml:space="preserve">naar verwachting </w:t>
      </w:r>
      <w:r w:rsidR="00AF3DCD">
        <w:t>minder goed</w:t>
      </w:r>
      <w:r w:rsidR="008365D8">
        <w:t>.</w:t>
      </w:r>
      <w:r w:rsidR="00AF3DCD">
        <w:t xml:space="preserve"> </w:t>
      </w:r>
      <w:r w:rsidR="00104552">
        <w:t xml:space="preserve">HR-personeel is vaak beter op de hoogte van de Wab, terwijl managers vaak beslissingen </w:t>
      </w:r>
      <w:r w:rsidR="0080282B">
        <w:t xml:space="preserve">nemen </w:t>
      </w:r>
      <w:r w:rsidR="00104552">
        <w:t xml:space="preserve">over </w:t>
      </w:r>
      <w:r w:rsidR="00355949">
        <w:t>het aannemen en doorstromen van personeel</w:t>
      </w:r>
      <w:r w:rsidR="008365D8">
        <w:t xml:space="preserve"> en die minder op de hoogte zijn</w:t>
      </w:r>
      <w:r w:rsidR="00104552">
        <w:t xml:space="preserve">. </w:t>
      </w:r>
      <w:r w:rsidR="00C07BC5">
        <w:t>W</w:t>
      </w:r>
      <w:r w:rsidRPr="004A0D9D">
        <w:t xml:space="preserve">erknemers </w:t>
      </w:r>
      <w:r w:rsidR="00C07BC5">
        <w:t xml:space="preserve">zijn </w:t>
      </w:r>
      <w:r w:rsidRPr="004A0D9D">
        <w:t xml:space="preserve">vaak niet goed in staat om hun rechten op te eisen en doen dit daarom ook </w:t>
      </w:r>
      <w:r w:rsidR="004C0F42">
        <w:t>minder</w:t>
      </w:r>
      <w:r w:rsidR="00CB2198">
        <w:t xml:space="preserve">. </w:t>
      </w:r>
    </w:p>
    <w:p w:rsidR="004B1CE3" w:rsidP="004B1CE3" w:rsidRDefault="004B1CE3" w14:paraId="1243DD5E" w14:textId="77777777"/>
    <w:p w:rsidR="00CE792F" w:rsidP="00CE792F" w:rsidRDefault="00434978" w14:paraId="50900CB4" w14:textId="77777777">
      <w:r>
        <w:t xml:space="preserve">De evaluatie </w:t>
      </w:r>
      <w:r w:rsidR="00D936C2">
        <w:t>maakt duidelijk</w:t>
      </w:r>
      <w:r>
        <w:t xml:space="preserve"> dat b</w:t>
      </w:r>
      <w:r w:rsidR="00CE792F">
        <w:t>etere c</w:t>
      </w:r>
      <w:r w:rsidRPr="00AF3DCD" w:rsidR="00AF3DCD">
        <w:t>ommunicatie</w:t>
      </w:r>
      <w:r w:rsidR="00CF6E5E">
        <w:t>strategie</w:t>
      </w:r>
      <w:r w:rsidRPr="00AF3DCD" w:rsidR="00AF3DCD">
        <w:t xml:space="preserve"> </w:t>
      </w:r>
      <w:r>
        <w:t xml:space="preserve">kan </w:t>
      </w:r>
      <w:r w:rsidR="00CE792F">
        <w:t>helpen</w:t>
      </w:r>
      <w:r w:rsidRPr="00AF3DCD" w:rsidR="00AF3DCD">
        <w:t xml:space="preserve"> </w:t>
      </w:r>
      <w:r w:rsidR="00E5343A">
        <w:t>bij</w:t>
      </w:r>
      <w:r w:rsidRPr="00AF3DCD" w:rsidR="00E5343A">
        <w:t xml:space="preserve"> </w:t>
      </w:r>
      <w:r w:rsidRPr="00AF3DCD" w:rsidR="00AF3DCD">
        <w:t>het behalen van de gewenste resultaten bij een wetswijziging</w:t>
      </w:r>
      <w:r w:rsidR="00DA172B">
        <w:t xml:space="preserve">. </w:t>
      </w:r>
      <w:r w:rsidR="00CE792F">
        <w:t>De effectiviteit van c</w:t>
      </w:r>
      <w:r w:rsidRPr="00AF3DCD" w:rsidR="00AF3DCD">
        <w:t xml:space="preserve">ommunicatie </w:t>
      </w:r>
      <w:r w:rsidR="00CE792F">
        <w:t>is w</w:t>
      </w:r>
      <w:r w:rsidR="008775FD">
        <w:t>aarschijnlijk</w:t>
      </w:r>
      <w:r w:rsidR="00CE792F">
        <w:t xml:space="preserve"> </w:t>
      </w:r>
      <w:r w:rsidR="008775FD">
        <w:t xml:space="preserve">hoger </w:t>
      </w:r>
      <w:r w:rsidR="00CE792F">
        <w:t xml:space="preserve">als deze </w:t>
      </w:r>
      <w:r w:rsidRPr="00AF3DCD" w:rsidR="00AF3DCD">
        <w:t xml:space="preserve">gerichter </w:t>
      </w:r>
      <w:r w:rsidR="00CE792F">
        <w:t>wordt toegespitst</w:t>
      </w:r>
      <w:r w:rsidRPr="000210D5" w:rsidR="00AF3DCD">
        <w:t xml:space="preserve">. </w:t>
      </w:r>
      <w:r w:rsidRPr="000210D5" w:rsidR="000210D5">
        <w:t xml:space="preserve">Een goede campagne in de toekomst </w:t>
      </w:r>
      <w:bookmarkStart w:name="_Hlk212557182" w:id="2"/>
      <w:r w:rsidRPr="000210D5" w:rsidR="000210D5">
        <w:t>over arbeidsmarktwetgeving zou zich kunnen richten op sectoren waar nu veel flexkrachten actief zijn</w:t>
      </w:r>
      <w:r w:rsidR="00DA172B">
        <w:t xml:space="preserve"> en</w:t>
      </w:r>
      <w:r w:rsidRPr="000210D5" w:rsidR="000210D5">
        <w:t xml:space="preserve"> op organisaties die bij kleine werkgevers en werknemers een goed netwerk hebben. </w:t>
      </w:r>
      <w:bookmarkEnd w:id="2"/>
      <w:r w:rsidRPr="000210D5" w:rsidR="000210D5">
        <w:t xml:space="preserve">Hiervoor </w:t>
      </w:r>
      <w:r w:rsidR="00381531">
        <w:t xml:space="preserve">wordt </w:t>
      </w:r>
      <w:r w:rsidRPr="000210D5" w:rsidR="000210D5">
        <w:t xml:space="preserve">in de toekomst beter de samenwerking </w:t>
      </w:r>
      <w:r w:rsidR="00381531">
        <w:t>ge</w:t>
      </w:r>
      <w:r w:rsidRPr="000210D5" w:rsidR="000210D5">
        <w:t>zo</w:t>
      </w:r>
      <w:r w:rsidR="00381531">
        <w:t>cht</w:t>
      </w:r>
      <w:r w:rsidRPr="000210D5" w:rsidR="000210D5">
        <w:t xml:space="preserve"> met sociale partners. </w:t>
      </w:r>
      <w:bookmarkStart w:name="_Hlk212553095" w:id="3"/>
      <w:r w:rsidRPr="000210D5" w:rsidR="000210D5">
        <w:t xml:space="preserve">Hierbij kan ook gekeken worden naar manieren om kleine werkgevers beter te bereiken via de ondersteuning die zij al hebben (bijvoorbeeld </w:t>
      </w:r>
      <w:r w:rsidR="00D936C2">
        <w:t xml:space="preserve">de </w:t>
      </w:r>
      <w:r w:rsidRPr="000210D5" w:rsidR="000210D5">
        <w:t xml:space="preserve">KvK, maar ook brancheorganisaties en financieel dienstverleners). </w:t>
      </w:r>
      <w:bookmarkEnd w:id="3"/>
      <w:r w:rsidR="0065726B">
        <w:t xml:space="preserve"> </w:t>
      </w:r>
    </w:p>
    <w:p w:rsidR="00A86105" w:rsidP="00CE792F" w:rsidRDefault="00A86105" w14:paraId="41444004" w14:textId="77777777"/>
    <w:p w:rsidR="00A86105" w:rsidP="00CE792F" w:rsidRDefault="00A86105" w14:paraId="72589F22" w14:textId="77777777">
      <w:r w:rsidRPr="00AF3DCD">
        <w:t xml:space="preserve">Daarnaast </w:t>
      </w:r>
      <w:r>
        <w:t>maakt de evaluatie ook (weer) duidelijk dat er een gat tussen kennis en doenvermogen is.</w:t>
      </w:r>
      <w:r>
        <w:rPr>
          <w:rStyle w:val="Voetnootmarkering"/>
        </w:rPr>
        <w:footnoteReference w:id="22"/>
      </w:r>
      <w:r>
        <w:t xml:space="preserve"> Om dit te overbruggen zijn er recent</w:t>
      </w:r>
      <w:r w:rsidRPr="00AF3DCD">
        <w:t xml:space="preserve"> concrete hulp en ondersteuningsinitiatieven </w:t>
      </w:r>
      <w:r>
        <w:t xml:space="preserve">opgezet </w:t>
      </w:r>
      <w:r w:rsidRPr="00AF3DCD">
        <w:t>voor lastig te bereiken doelgroepen</w:t>
      </w:r>
      <w:r>
        <w:t>. Voorbeelden hiervan zijn de W</w:t>
      </w:r>
      <w:r w:rsidRPr="00AF3DCD">
        <w:t>orkin</w:t>
      </w:r>
      <w:r>
        <w:t>NL</w:t>
      </w:r>
      <w:r w:rsidRPr="00AF3DCD">
        <w:t>-punten</w:t>
      </w:r>
      <w:r>
        <w:t xml:space="preserve"> (voor arbeidsmigranten)</w:t>
      </w:r>
      <w:r w:rsidRPr="00AF3DCD">
        <w:t xml:space="preserve">, </w:t>
      </w:r>
      <w:r>
        <w:t>verschillende</w:t>
      </w:r>
      <w:r w:rsidRPr="00AF3DCD">
        <w:t xml:space="preserve"> initiatieven vanuit het </w:t>
      </w:r>
      <w:r>
        <w:t>J</w:t>
      </w:r>
      <w:r w:rsidRPr="00AF3DCD">
        <w:t xml:space="preserve">uridisch </w:t>
      </w:r>
      <w:r>
        <w:t>L</w:t>
      </w:r>
      <w:r w:rsidRPr="00AF3DCD">
        <w:t xml:space="preserve">oket en het experiment </w:t>
      </w:r>
      <w:r>
        <w:t>met de regelrechter waarbij een laagdrempelige toegang tot het recht de inzet is.</w:t>
      </w:r>
      <w:r>
        <w:rPr>
          <w:rStyle w:val="Voetnootmarkering"/>
        </w:rPr>
        <w:footnoteReference w:id="23"/>
      </w:r>
      <w:r w:rsidRPr="00AF3DCD">
        <w:t xml:space="preserve"> </w:t>
      </w:r>
      <w:r>
        <w:t>Ook hier blijven we open voor ideeën om dit</w:t>
      </w:r>
      <w:r w:rsidR="00CF6E5E">
        <w:t xml:space="preserve"> verder</w:t>
      </w:r>
      <w:r>
        <w:t xml:space="preserve"> te verbeteren. </w:t>
      </w:r>
    </w:p>
    <w:p w:rsidR="00A86105" w:rsidP="00CE792F" w:rsidRDefault="00A86105" w14:paraId="4CDDD8B5" w14:textId="77777777"/>
    <w:p w:rsidR="004B1CE3" w:rsidP="00DF5077" w:rsidRDefault="004B1CE3" w14:paraId="75CF6D3E" w14:textId="77777777">
      <w:pPr>
        <w:pStyle w:val="Lijstalinea"/>
        <w:numPr>
          <w:ilvl w:val="0"/>
          <w:numId w:val="25"/>
        </w:numPr>
      </w:pPr>
      <w:r>
        <w:t>Richten van gedragsbeinvloeding op (deel)sectoren</w:t>
      </w:r>
    </w:p>
    <w:p w:rsidR="00AF3DCD" w:rsidP="004C0F42" w:rsidRDefault="004B1CE3" w14:paraId="319EED65" w14:textId="77777777">
      <w:r>
        <w:t>Tot slot blijkt i</w:t>
      </w:r>
      <w:r w:rsidRPr="004A0D9D">
        <w:t>n de praktijk dat er duidelijke verschillen zijn in de toepassing van de maatregelen tussen verschillende typen werkgevers en werknemers</w:t>
      </w:r>
      <w:r>
        <w:t xml:space="preserve">. In sectoren waar vaste contracten al vaker gebruikt werden is het effect van de Wab over het algemeen groter, mogelijk ook als gevolg van arbeidsmarktkrapte. Echter, juist in sectoren waar flexwerk de norm is, blijven de effecten beperkt, </w:t>
      </w:r>
      <w:r w:rsidRPr="004A0D9D">
        <w:t xml:space="preserve">waarbij sommige maatregelen </w:t>
      </w:r>
      <w:r w:rsidRPr="00085865">
        <w:t xml:space="preserve">minder intensief worden ingezet of het effect daarvan minder zichtbaar is. </w:t>
      </w:r>
      <w:r>
        <w:t>De resultaten van de evaluatie lijken te suggereren dat b</w:t>
      </w:r>
      <w:r w:rsidRPr="00C07BC5">
        <w:t xml:space="preserve">innen een sector werkcultuur een grote invloed </w:t>
      </w:r>
      <w:r>
        <w:t>kan hebben</w:t>
      </w:r>
      <w:r w:rsidRPr="00C07BC5">
        <w:t xml:space="preserve"> op de keuze van de contractvorm</w:t>
      </w:r>
      <w:r>
        <w:t>, wellicht meer</w:t>
      </w:r>
      <w:r w:rsidRPr="00C07BC5">
        <w:t xml:space="preserve"> dan financiële prikkels</w:t>
      </w:r>
      <w:r>
        <w:t>.</w:t>
      </w:r>
      <w:r w:rsidRPr="00C07BC5">
        <w:t xml:space="preserve"> </w:t>
      </w:r>
      <w:r>
        <w:t xml:space="preserve">Dit onderstreept </w:t>
      </w:r>
      <w:r w:rsidRPr="00C07BC5">
        <w:t>het</w:t>
      </w:r>
      <w:r>
        <w:t xml:space="preserve"> belang </w:t>
      </w:r>
      <w:r w:rsidRPr="00C07BC5">
        <w:t xml:space="preserve">om binnen branches te onderzoeken hoe nieuwe wetgeving </w:t>
      </w:r>
      <w:r>
        <w:t xml:space="preserve">zich vertaalt naar de </w:t>
      </w:r>
      <w:r w:rsidRPr="00C07BC5">
        <w:t>specifieke cultuur van een sector</w:t>
      </w:r>
      <w:r>
        <w:t>, om aansluiting te zoeken bij de sector</w:t>
      </w:r>
      <w:r w:rsidRPr="00C07BC5">
        <w:t xml:space="preserve">. Het realiseren van een cultuuromslag is een uitdagende taak, </w:t>
      </w:r>
      <w:r>
        <w:t xml:space="preserve">omdat deze </w:t>
      </w:r>
      <w:r w:rsidRPr="00C07BC5">
        <w:t xml:space="preserve">ontstaat door de mensen en bedrijven </w:t>
      </w:r>
      <w:r>
        <w:t xml:space="preserve">in de sector zelf.  </w:t>
      </w:r>
    </w:p>
    <w:p w:rsidR="0065726B" w:rsidP="00AF3DCD" w:rsidRDefault="0065726B" w14:paraId="3905F78F" w14:textId="77777777">
      <w:pPr>
        <w:spacing w:line="240" w:lineRule="auto"/>
      </w:pPr>
    </w:p>
    <w:p w:rsidR="008F4669" w:rsidP="001631AC" w:rsidRDefault="008F4669" w14:paraId="34F707CF" w14:textId="77777777">
      <w:pPr>
        <w:spacing w:line="240" w:lineRule="auto"/>
      </w:pPr>
    </w:p>
    <w:p w:rsidR="008F4669" w:rsidP="001631AC" w:rsidRDefault="008F4669" w14:paraId="03F36865" w14:textId="77777777">
      <w:pPr>
        <w:spacing w:line="240" w:lineRule="auto"/>
      </w:pPr>
    </w:p>
    <w:p w:rsidR="008F4669" w:rsidP="001631AC" w:rsidRDefault="008F4669" w14:paraId="2BF89627" w14:textId="77777777">
      <w:pPr>
        <w:spacing w:line="240" w:lineRule="auto"/>
      </w:pPr>
    </w:p>
    <w:p w:rsidR="008F4669" w:rsidP="001631AC" w:rsidRDefault="008F4669" w14:paraId="7AA51721" w14:textId="77777777">
      <w:pPr>
        <w:spacing w:line="240" w:lineRule="auto"/>
      </w:pPr>
    </w:p>
    <w:p w:rsidR="008F4669" w:rsidP="001631AC" w:rsidRDefault="008F4669" w14:paraId="2A753956" w14:textId="77777777">
      <w:pPr>
        <w:spacing w:line="240" w:lineRule="auto"/>
      </w:pPr>
    </w:p>
    <w:p w:rsidR="008F4669" w:rsidP="001631AC" w:rsidRDefault="008F4669" w14:paraId="6E2564E4" w14:textId="77777777">
      <w:pPr>
        <w:spacing w:line="240" w:lineRule="auto"/>
      </w:pPr>
    </w:p>
    <w:p w:rsidR="008F4669" w:rsidP="001631AC" w:rsidRDefault="008F4669" w14:paraId="2B9C7810" w14:textId="77777777">
      <w:pPr>
        <w:spacing w:line="240" w:lineRule="auto"/>
      </w:pPr>
    </w:p>
    <w:p w:rsidR="008F4669" w:rsidP="001631AC" w:rsidRDefault="008F4669" w14:paraId="2CB6D3C2" w14:textId="77777777">
      <w:pPr>
        <w:spacing w:line="240" w:lineRule="auto"/>
      </w:pPr>
    </w:p>
    <w:p w:rsidR="008F4669" w:rsidP="001631AC" w:rsidRDefault="008F4669" w14:paraId="7CE67A10" w14:textId="77777777">
      <w:pPr>
        <w:spacing w:line="240" w:lineRule="auto"/>
      </w:pPr>
    </w:p>
    <w:p w:rsidR="008F4669" w:rsidP="001631AC" w:rsidRDefault="008F4669" w14:paraId="30E5A7AF" w14:textId="77777777">
      <w:pPr>
        <w:spacing w:line="240" w:lineRule="auto"/>
      </w:pPr>
    </w:p>
    <w:p w:rsidR="008F4669" w:rsidP="001631AC" w:rsidRDefault="008F4669" w14:paraId="755E9F64" w14:textId="77777777">
      <w:pPr>
        <w:spacing w:line="240" w:lineRule="auto"/>
      </w:pPr>
    </w:p>
    <w:p w:rsidR="00AF3DCD" w:rsidP="001631AC" w:rsidRDefault="001631AC" w14:paraId="4A15AFB8" w14:textId="77777777">
      <w:pPr>
        <w:spacing w:line="240" w:lineRule="auto"/>
      </w:pPr>
      <w:r>
        <w:lastRenderedPageBreak/>
        <w:t>De</w:t>
      </w:r>
      <w:r w:rsidRPr="00A2153F" w:rsidR="00A2153F">
        <w:t xml:space="preserve"> bevindingen </w:t>
      </w:r>
      <w:r w:rsidR="00D517AB">
        <w:t>uit de evaluatie</w:t>
      </w:r>
      <w:r>
        <w:t xml:space="preserve"> van de Wab</w:t>
      </w:r>
      <w:r w:rsidR="00D517AB">
        <w:t xml:space="preserve"> </w:t>
      </w:r>
      <w:r>
        <w:t xml:space="preserve">zijn zinvol om mee te nemen bij het vervolg </w:t>
      </w:r>
      <w:r w:rsidRPr="00A2153F" w:rsidR="00A2153F">
        <w:t>van</w:t>
      </w:r>
      <w:r>
        <w:t xml:space="preserve"> de (behandeling van)</w:t>
      </w:r>
      <w:r w:rsidRPr="00A2153F" w:rsidR="00A2153F">
        <w:t xml:space="preserve"> het arbeidsmarktpakket. </w:t>
      </w:r>
      <w:r w:rsidR="004B1CE3">
        <w:t>Hierover ga ik graag met u in gesprek tijdens de behandelingen van de verschillende wetsvoorstellen uit het arbeidsmarktpakket, waaronder de plenaire behandeling van het wetsvoorste</w:t>
      </w:r>
      <w:r w:rsidR="008365D8">
        <w:t xml:space="preserve">l meer zekerheid flexwerkers. </w:t>
      </w:r>
    </w:p>
    <w:p w:rsidR="00A17ADC" w:rsidP="00AF3DCD" w:rsidRDefault="00A17ADC" w14:paraId="3D03115E" w14:textId="77777777">
      <w:pPr>
        <w:spacing w:line="240" w:lineRule="auto"/>
      </w:pPr>
    </w:p>
    <w:p w:rsidR="00222521" w:rsidRDefault="00EF05BA" w14:paraId="39BE0FBA" w14:textId="77777777">
      <w:r>
        <w:t xml:space="preserve">De Minister van Sociale Zaken </w:t>
      </w:r>
      <w:r>
        <w:br/>
        <w:t>en Werkgelegenheid,</w:t>
      </w:r>
    </w:p>
    <w:p w:rsidR="00222521" w:rsidRDefault="00222521" w14:paraId="4B6E1E79" w14:textId="77777777"/>
    <w:p w:rsidR="00222521" w:rsidRDefault="00222521" w14:paraId="5A93E1DF" w14:textId="77777777"/>
    <w:p w:rsidR="00222521" w:rsidRDefault="00222521" w14:paraId="764D00A6" w14:textId="77777777"/>
    <w:p w:rsidR="00222521" w:rsidRDefault="00222521" w14:paraId="031EDBF1" w14:textId="77777777"/>
    <w:p w:rsidR="00222521" w:rsidRDefault="00222521" w14:paraId="51E854F0" w14:textId="77777777"/>
    <w:p w:rsidRPr="00945451" w:rsidR="00603481" w:rsidRDefault="00945451" w14:paraId="590F515B" w14:textId="77777777">
      <w:pPr>
        <w:spacing w:line="240" w:lineRule="auto"/>
      </w:pPr>
      <w:r w:rsidRPr="00945451">
        <w:t>J.A. Vijlbrief</w:t>
      </w:r>
    </w:p>
    <w:p w:rsidR="00D47625" w:rsidRDefault="00D47625" w14:paraId="3BB0FC8E" w14:textId="77777777">
      <w:pPr>
        <w:spacing w:line="240" w:lineRule="auto"/>
      </w:pPr>
      <w:r>
        <w:br w:type="page"/>
      </w:r>
    </w:p>
    <w:tbl>
      <w:tblPr>
        <w:tblStyle w:val="Tabelraster"/>
        <w:tblpPr w:leftFromText="141" w:rightFromText="141" w:horzAnchor="margin" w:tblpY="670"/>
        <w:tblW w:w="8613" w:type="dxa"/>
        <w:tblInd w:w="0" w:type="dxa"/>
        <w:tblLook w:val="04A0" w:firstRow="1" w:lastRow="0" w:firstColumn="1" w:lastColumn="0" w:noHBand="0" w:noVBand="1"/>
      </w:tblPr>
      <w:tblGrid>
        <w:gridCol w:w="1809"/>
        <w:gridCol w:w="6804"/>
      </w:tblGrid>
      <w:tr w:rsidRPr="00F069E9" w:rsidR="00603481" w:rsidTr="00F42C6E" w14:paraId="1381FF3D" w14:textId="77777777">
        <w:tc>
          <w:tcPr>
            <w:tcW w:w="8613" w:type="dxa"/>
            <w:gridSpan w:val="2"/>
            <w:shd w:val="clear" w:color="auto" w:fill="0F4761" w:themeFill="accent1" w:themeFillShade="BF"/>
          </w:tcPr>
          <w:p w:rsidRPr="00F069E9" w:rsidR="00603481" w:rsidP="00603481" w:rsidRDefault="00603481" w14:paraId="0FD5AE07" w14:textId="77777777">
            <w:r>
              <w:rPr>
                <w:i/>
                <w:iCs/>
              </w:rPr>
              <w:lastRenderedPageBreak/>
              <w:br w:type="page"/>
            </w:r>
            <w:r w:rsidRPr="00282BCC">
              <w:rPr>
                <w:b/>
                <w:bCs/>
                <w:color w:val="FFFFFF" w:themeColor="background1"/>
              </w:rPr>
              <w:t>Flexibele arbeid</w:t>
            </w:r>
            <w:r w:rsidRPr="00282BCC">
              <w:rPr>
                <w:color w:val="FFFFFF" w:themeColor="background1"/>
              </w:rPr>
              <w:t xml:space="preserve"> </w:t>
            </w:r>
          </w:p>
        </w:tc>
      </w:tr>
      <w:tr w:rsidR="00603481" w:rsidTr="00F42C6E" w14:paraId="22E08921" w14:textId="77777777">
        <w:tc>
          <w:tcPr>
            <w:tcW w:w="1809" w:type="dxa"/>
          </w:tcPr>
          <w:p w:rsidR="00603481" w:rsidP="00603481" w:rsidRDefault="00603481" w14:paraId="7D297F94" w14:textId="77777777">
            <w:r>
              <w:t>Ketenbepaling</w:t>
            </w:r>
          </w:p>
        </w:tc>
        <w:tc>
          <w:tcPr>
            <w:tcW w:w="6804" w:type="dxa"/>
          </w:tcPr>
          <w:p w:rsidRPr="00282BCC" w:rsidR="00603481" w:rsidP="00603481" w:rsidRDefault="00603481" w14:paraId="3C10485A" w14:textId="77777777">
            <w:pPr>
              <w:pStyle w:val="Lijstalinea"/>
              <w:numPr>
                <w:ilvl w:val="0"/>
                <w:numId w:val="10"/>
              </w:numPr>
            </w:pPr>
            <w:r w:rsidRPr="00282BCC">
              <w:t xml:space="preserve">Werkgever(s) en werknemer kunnen 3 tijdelijke contracten in maximaal 3 jaar aangaan. </w:t>
            </w:r>
          </w:p>
          <w:p w:rsidRPr="00282BCC" w:rsidR="00603481" w:rsidP="00603481" w:rsidRDefault="00603481" w14:paraId="57B47AA3" w14:textId="77777777">
            <w:pPr>
              <w:pStyle w:val="Lijstalinea"/>
              <w:numPr>
                <w:ilvl w:val="0"/>
                <w:numId w:val="10"/>
              </w:numPr>
            </w:pPr>
            <w:r w:rsidRPr="00282BCC">
              <w:t xml:space="preserve">De tussenpoos (tijd tussen contracten) bij cao wordt verkort van 6 tot 3 maanden bij tijdelijk terugkerend werk dat maximaal 9 maanden per jaar kan worden gedaan. </w:t>
            </w:r>
          </w:p>
          <w:p w:rsidR="00603481" w:rsidP="00603481" w:rsidRDefault="00603481" w14:paraId="41D1A62B" w14:textId="77777777">
            <w:pPr>
              <w:pStyle w:val="Lijstalinea"/>
              <w:numPr>
                <w:ilvl w:val="0"/>
                <w:numId w:val="10"/>
              </w:numPr>
            </w:pPr>
            <w:r w:rsidRPr="00282BCC">
              <w:t xml:space="preserve">Uitzondering van de ketenbepaling is van toepassing voor invalkrachten in het basis- en speciaal onderwijs bij vervanging wegens ziekte. </w:t>
            </w:r>
          </w:p>
        </w:tc>
      </w:tr>
      <w:tr w:rsidR="00603481" w:rsidTr="00F42C6E" w14:paraId="35217563" w14:textId="77777777">
        <w:tc>
          <w:tcPr>
            <w:tcW w:w="1809" w:type="dxa"/>
          </w:tcPr>
          <w:p w:rsidR="00603481" w:rsidP="00603481" w:rsidRDefault="00603481" w14:paraId="1AF971BC" w14:textId="77777777">
            <w:r>
              <w:t>Oproepkrachten</w:t>
            </w:r>
          </w:p>
        </w:tc>
        <w:tc>
          <w:tcPr>
            <w:tcW w:w="6804" w:type="dxa"/>
          </w:tcPr>
          <w:p w:rsidRPr="00282BCC" w:rsidR="00603481" w:rsidP="00603481" w:rsidRDefault="00603481" w14:paraId="6E8CFC5B" w14:textId="77777777">
            <w:pPr>
              <w:numPr>
                <w:ilvl w:val="1"/>
                <w:numId w:val="12"/>
              </w:numPr>
            </w:pPr>
            <w:bookmarkStart w:name="_Hlk222474985" w:id="4"/>
            <w:r w:rsidRPr="00282BCC">
              <w:t>Werkgevers moeten oproepkrachten minstens 4 dagen van tevoren oproepen voor werk.</w:t>
            </w:r>
            <w:bookmarkEnd w:id="4"/>
            <w:r w:rsidRPr="00282BCC">
              <w:t xml:space="preserve"> Als de werkgever de oproep binnen 4 dagen afzegt, heeft de oproepwerknemer recht op loon over de uren waarvoor hij was opgeroepen. Bij cao kan van deze termijn worden afgeweken. </w:t>
            </w:r>
          </w:p>
          <w:p w:rsidRPr="00282BCC" w:rsidR="00603481" w:rsidP="00603481" w:rsidRDefault="00603481" w14:paraId="31BA1EB4" w14:textId="77777777">
            <w:pPr>
              <w:numPr>
                <w:ilvl w:val="1"/>
                <w:numId w:val="12"/>
              </w:numPr>
            </w:pPr>
            <w:bookmarkStart w:name="_Hlk222475023" w:id="5"/>
            <w:r w:rsidRPr="00282BCC">
              <w:t xml:space="preserve">Na 12 maanden moeten werkgevers aan oproepkrachten een vaste arbeidsomvang aanbieden. </w:t>
            </w:r>
          </w:p>
          <w:bookmarkEnd w:id="5"/>
          <w:p w:rsidRPr="00F069E9" w:rsidR="00603481" w:rsidP="00603481" w:rsidRDefault="00603481" w14:paraId="4C38ABBE" w14:textId="77777777">
            <w:pPr>
              <w:numPr>
                <w:ilvl w:val="1"/>
                <w:numId w:val="12"/>
              </w:numPr>
            </w:pPr>
            <w:r w:rsidRPr="00282BCC">
              <w:t xml:space="preserve">De opzegtermijn voor een nulurencontract is hetzelfde als de oproeptermijn: 4 dagen. Bij cao kan van deze termijn worden afgeweken. </w:t>
            </w:r>
          </w:p>
        </w:tc>
      </w:tr>
      <w:tr w:rsidRPr="00282BCC" w:rsidR="00603481" w:rsidTr="00F42C6E" w14:paraId="68ECF334" w14:textId="77777777">
        <w:tc>
          <w:tcPr>
            <w:tcW w:w="1809" w:type="dxa"/>
          </w:tcPr>
          <w:p w:rsidR="00603481" w:rsidP="00603481" w:rsidRDefault="00603481" w14:paraId="5FA116E1" w14:textId="77777777">
            <w:r>
              <w:t>Payroll</w:t>
            </w:r>
          </w:p>
        </w:tc>
        <w:tc>
          <w:tcPr>
            <w:tcW w:w="6804" w:type="dxa"/>
          </w:tcPr>
          <w:p w:rsidRPr="00282BCC" w:rsidR="00603481" w:rsidP="00603481" w:rsidRDefault="00603481" w14:paraId="41F78D41" w14:textId="77777777">
            <w:pPr>
              <w:numPr>
                <w:ilvl w:val="1"/>
                <w:numId w:val="12"/>
              </w:numPr>
            </w:pPr>
            <w:r w:rsidRPr="00282BCC">
              <w:t xml:space="preserve">Werknemers die een payrollcontract krijgen, </w:t>
            </w:r>
            <w:bookmarkStart w:name="_Hlk222474897" w:id="6"/>
            <w:r w:rsidRPr="00282BCC">
              <w:t xml:space="preserve">krijgen minimaal dezelfde arbeidsvoorwaarden en dezelfde rechtspositie als werknemers die in dienst zijn van het bedrijf. </w:t>
            </w:r>
          </w:p>
          <w:bookmarkEnd w:id="6"/>
          <w:p w:rsidRPr="00282BCC" w:rsidR="00603481" w:rsidP="00603481" w:rsidRDefault="00603481" w14:paraId="50F2D672" w14:textId="77777777">
            <w:pPr>
              <w:numPr>
                <w:ilvl w:val="1"/>
                <w:numId w:val="12"/>
              </w:numPr>
            </w:pPr>
            <w:r w:rsidRPr="00282BCC">
              <w:t xml:space="preserve">Vanaf 2021 krijgen payrollkrachten recht op een adequate pensioenregeling. </w:t>
            </w:r>
          </w:p>
          <w:p w:rsidRPr="00282BCC" w:rsidR="00603481" w:rsidP="00603481" w:rsidRDefault="00603481" w14:paraId="0F19B978" w14:textId="77777777">
            <w:pPr>
              <w:numPr>
                <w:ilvl w:val="1"/>
                <w:numId w:val="12"/>
              </w:numPr>
            </w:pPr>
            <w:r w:rsidRPr="00282BCC">
              <w:t xml:space="preserve">Voor mensen met een arbeidsbeperking is het mogelijk om een aparte cao, namelijk de cao Wsw of cao Aan de slag, toe te passen. In juli 2021 is de cao Aan de slag ingevoerd voor mensen met een arbeidsbeperking, waaronder personen die zijn opgenomen in het doelgroepregister banenafspraak. </w:t>
            </w:r>
          </w:p>
        </w:tc>
      </w:tr>
    </w:tbl>
    <w:p w:rsidRPr="003B1A90" w:rsidR="00603481" w:rsidP="00F42C6E" w:rsidRDefault="00603481" w14:paraId="653AFE16" w14:textId="77777777">
      <w:pPr>
        <w:rPr>
          <w:i/>
          <w:iCs/>
        </w:rPr>
      </w:pPr>
      <w:r w:rsidRPr="00F42C6E">
        <w:t>Bijlage I:</w:t>
      </w:r>
      <w:r w:rsidRPr="003B1A90">
        <w:rPr>
          <w:i/>
          <w:iCs/>
        </w:rPr>
        <w:t xml:space="preserve"> samenvattende weergave van de wijzigingen die door de Wab geregeld worden. </w:t>
      </w:r>
    </w:p>
    <w:p w:rsidR="00603481" w:rsidRDefault="00603481" w14:paraId="233276EC" w14:textId="77777777">
      <w:pPr>
        <w:spacing w:line="240" w:lineRule="auto"/>
      </w:pPr>
    </w:p>
    <w:tbl>
      <w:tblPr>
        <w:tblStyle w:val="Tabelraster"/>
        <w:tblW w:w="8647" w:type="dxa"/>
        <w:tblInd w:w="-5" w:type="dxa"/>
        <w:tblLook w:val="04A0" w:firstRow="1" w:lastRow="0" w:firstColumn="1" w:lastColumn="0" w:noHBand="0" w:noVBand="1"/>
      </w:tblPr>
      <w:tblGrid>
        <w:gridCol w:w="1798"/>
        <w:gridCol w:w="6849"/>
      </w:tblGrid>
      <w:tr w:rsidRPr="00F069E9" w:rsidR="00603481" w:rsidTr="00F42C6E" w14:paraId="0FA7AFEF" w14:textId="77777777">
        <w:tc>
          <w:tcPr>
            <w:tcW w:w="8647" w:type="dxa"/>
            <w:gridSpan w:val="2"/>
            <w:shd w:val="clear" w:color="auto" w:fill="0F4761" w:themeFill="accent1" w:themeFillShade="BF"/>
          </w:tcPr>
          <w:p w:rsidRPr="00F069E9" w:rsidR="00603481" w:rsidRDefault="00603481" w14:paraId="620908E9" w14:textId="77777777">
            <w:r>
              <w:rPr>
                <w:b/>
                <w:bCs/>
                <w:color w:val="FFFFFF" w:themeColor="background1"/>
              </w:rPr>
              <w:t>Ontslagrecht</w:t>
            </w:r>
          </w:p>
        </w:tc>
      </w:tr>
      <w:tr w:rsidR="00603481" w:rsidTr="00F42C6E" w14:paraId="351EE35A" w14:textId="77777777">
        <w:tc>
          <w:tcPr>
            <w:tcW w:w="1701" w:type="dxa"/>
          </w:tcPr>
          <w:p w:rsidR="00603481" w:rsidRDefault="00603481" w14:paraId="2F151CC5" w14:textId="77777777">
            <w:r>
              <w:t>Cumulatieve grond als nieuwe ontslaggrond</w:t>
            </w:r>
          </w:p>
        </w:tc>
        <w:tc>
          <w:tcPr>
            <w:tcW w:w="6946" w:type="dxa"/>
          </w:tcPr>
          <w:p w:rsidRPr="00282BCC" w:rsidR="00603481" w:rsidRDefault="00603481" w14:paraId="57FD8D34" w14:textId="77777777">
            <w:pPr>
              <w:pStyle w:val="Default"/>
              <w:numPr>
                <w:ilvl w:val="0"/>
                <w:numId w:val="10"/>
              </w:numPr>
              <w:rPr>
                <w:rFonts w:ascii="Verdana" w:hAnsi="Verdana" w:cs="Lohit Hindi"/>
                <w:sz w:val="18"/>
                <w:szCs w:val="18"/>
              </w:rPr>
            </w:pPr>
            <w:bookmarkStart w:name="_Hlk222475246" w:id="7"/>
            <w:r w:rsidRPr="00282BCC">
              <w:rPr>
                <w:rFonts w:ascii="Verdana" w:hAnsi="Verdana" w:cs="Lohit Hindi"/>
                <w:sz w:val="18"/>
                <w:szCs w:val="18"/>
              </w:rPr>
              <w:t>De verschillende ontslaggronden die via de kantonrechter lopen kunnen samen een redelijke grond voor ontslag opleveren</w:t>
            </w:r>
            <w:bookmarkEnd w:id="7"/>
            <w:r w:rsidRPr="00282BCC">
              <w:rPr>
                <w:rFonts w:ascii="Verdana" w:hAnsi="Verdana" w:cs="Lohit Hindi"/>
                <w:sz w:val="18"/>
                <w:szCs w:val="18"/>
              </w:rPr>
              <w:t xml:space="preserve">. De rechter kan een extra vergoeding toekennen aan de werkne-mer bij ontslag op basis van cumulatiegrond. </w:t>
            </w:r>
          </w:p>
        </w:tc>
      </w:tr>
      <w:tr w:rsidR="00603481" w:rsidTr="00F42C6E" w14:paraId="34A35C2A" w14:textId="77777777">
        <w:tc>
          <w:tcPr>
            <w:tcW w:w="1701" w:type="dxa"/>
          </w:tcPr>
          <w:p w:rsidR="00603481" w:rsidRDefault="00603481" w14:paraId="7D04B6E7" w14:textId="77777777">
            <w:r>
              <w:t>Transitievergoeding</w:t>
            </w:r>
          </w:p>
        </w:tc>
        <w:tc>
          <w:tcPr>
            <w:tcW w:w="6946" w:type="dxa"/>
          </w:tcPr>
          <w:p w:rsidRPr="00282BCC" w:rsidR="00603481" w:rsidRDefault="00603481" w14:paraId="38E9B980" w14:textId="77777777">
            <w:pPr>
              <w:pStyle w:val="Default"/>
              <w:numPr>
                <w:ilvl w:val="0"/>
                <w:numId w:val="16"/>
              </w:numPr>
              <w:spacing w:after="42"/>
              <w:rPr>
                <w:rFonts w:ascii="Verdana" w:hAnsi="Verdana" w:cs="Lohit Hindi"/>
                <w:sz w:val="18"/>
                <w:szCs w:val="18"/>
              </w:rPr>
            </w:pPr>
            <w:bookmarkStart w:name="_Hlk222475205" w:id="8"/>
            <w:bookmarkStart w:name="_Hlk222475368" w:id="9"/>
            <w:r w:rsidRPr="00282BCC">
              <w:rPr>
                <w:rFonts w:ascii="Verdana" w:hAnsi="Verdana" w:cs="Lohit Hindi"/>
                <w:sz w:val="18"/>
                <w:szCs w:val="18"/>
              </w:rPr>
              <w:t>De werknemer heeft vanaf de eerste werkdag recht op de transitievergoeding bij ontslag.</w:t>
            </w:r>
            <w:bookmarkEnd w:id="8"/>
            <w:r w:rsidRPr="00282BCC">
              <w:rPr>
                <w:rFonts w:ascii="Verdana" w:hAnsi="Verdana" w:cs="Lohit Hindi"/>
                <w:sz w:val="18"/>
                <w:szCs w:val="18"/>
              </w:rPr>
              <w:t xml:space="preserve"> </w:t>
            </w:r>
          </w:p>
          <w:bookmarkEnd w:id="9"/>
          <w:p w:rsidRPr="00282BCC" w:rsidR="00603481" w:rsidRDefault="00603481" w14:paraId="797E2775" w14:textId="77777777">
            <w:pPr>
              <w:pStyle w:val="Default"/>
              <w:numPr>
                <w:ilvl w:val="0"/>
                <w:numId w:val="16"/>
              </w:numPr>
              <w:spacing w:after="42"/>
              <w:rPr>
                <w:rFonts w:ascii="Verdana" w:hAnsi="Verdana" w:cs="Lohit Hindi"/>
                <w:sz w:val="18"/>
                <w:szCs w:val="18"/>
              </w:rPr>
            </w:pPr>
            <w:r w:rsidRPr="00282BCC">
              <w:rPr>
                <w:rFonts w:ascii="Verdana" w:hAnsi="Verdana" w:cs="Lohit Hindi"/>
                <w:sz w:val="18"/>
                <w:szCs w:val="18"/>
              </w:rPr>
              <w:t xml:space="preserve">De berekening van de transitievergoeding is veranderd. </w:t>
            </w:r>
          </w:p>
          <w:p w:rsidRPr="009215D0" w:rsidR="00603481" w:rsidP="009215D0" w:rsidRDefault="00603481" w14:paraId="77BCAA0A" w14:textId="77777777">
            <w:pPr>
              <w:pStyle w:val="Default"/>
              <w:numPr>
                <w:ilvl w:val="0"/>
                <w:numId w:val="16"/>
              </w:numPr>
              <w:spacing w:after="42"/>
              <w:rPr>
                <w:rFonts w:ascii="Verdana" w:hAnsi="Verdana" w:cs="Lohit Hindi"/>
                <w:sz w:val="18"/>
                <w:szCs w:val="18"/>
              </w:rPr>
            </w:pPr>
            <w:r w:rsidRPr="00282BCC">
              <w:rPr>
                <w:rFonts w:ascii="Verdana" w:hAnsi="Verdana" w:cs="Lohit Hindi"/>
                <w:sz w:val="18"/>
                <w:szCs w:val="18"/>
              </w:rPr>
              <w:t xml:space="preserve">Bij cao kan worden vastgelegd dat een ontslagen werknemer een vervangende voorziening krijgt. </w:t>
            </w:r>
          </w:p>
          <w:p w:rsidRPr="00282BCC" w:rsidR="00603481" w:rsidRDefault="00603481" w14:paraId="1BD42943" w14:textId="77777777">
            <w:pPr>
              <w:pStyle w:val="Default"/>
              <w:numPr>
                <w:ilvl w:val="0"/>
                <w:numId w:val="16"/>
              </w:numPr>
              <w:spacing w:after="42"/>
              <w:rPr>
                <w:rFonts w:ascii="Verdana" w:hAnsi="Verdana" w:cs="Lohit Hindi"/>
                <w:sz w:val="18"/>
                <w:szCs w:val="18"/>
              </w:rPr>
            </w:pPr>
            <w:r w:rsidRPr="00282BCC">
              <w:rPr>
                <w:rFonts w:ascii="Verdana" w:hAnsi="Verdana" w:cs="Lohit Hindi"/>
                <w:sz w:val="18"/>
                <w:szCs w:val="18"/>
              </w:rPr>
              <w:t xml:space="preserve">Er zijn ruimere mogelijkheden om scholingskosten in mindering te brengen op de transitievergoeding. </w:t>
            </w:r>
          </w:p>
          <w:p w:rsidRPr="00282BCC" w:rsidR="00603481" w:rsidRDefault="00603481" w14:paraId="353FAAE9" w14:textId="77777777">
            <w:pPr>
              <w:pStyle w:val="Default"/>
              <w:numPr>
                <w:ilvl w:val="0"/>
                <w:numId w:val="16"/>
              </w:numPr>
              <w:spacing w:after="42"/>
              <w:rPr>
                <w:rFonts w:ascii="Verdana" w:hAnsi="Verdana" w:cs="Lohit Hindi"/>
                <w:sz w:val="18"/>
                <w:szCs w:val="18"/>
              </w:rPr>
            </w:pPr>
            <w:r w:rsidRPr="00282BCC">
              <w:rPr>
                <w:rFonts w:ascii="Verdana" w:hAnsi="Verdana" w:cs="Lohit Hindi"/>
                <w:sz w:val="18"/>
                <w:szCs w:val="18"/>
              </w:rPr>
              <w:t xml:space="preserve">De verhoogde opbouw bij overeenkomsten van langer dan 10 jaar is komen te vervallen. </w:t>
            </w:r>
          </w:p>
          <w:p w:rsidRPr="00282BCC" w:rsidR="00603481" w:rsidRDefault="00603481" w14:paraId="668C6FA1" w14:textId="77777777">
            <w:pPr>
              <w:pStyle w:val="Default"/>
              <w:numPr>
                <w:ilvl w:val="0"/>
                <w:numId w:val="16"/>
              </w:numPr>
              <w:rPr>
                <w:rFonts w:ascii="Verdana" w:hAnsi="Verdana" w:cs="Lohit Hindi"/>
                <w:sz w:val="18"/>
                <w:szCs w:val="18"/>
              </w:rPr>
            </w:pPr>
            <w:r w:rsidRPr="00282BCC">
              <w:rPr>
                <w:rFonts w:ascii="Verdana" w:hAnsi="Verdana" w:cs="Lohit Hindi"/>
                <w:sz w:val="18"/>
                <w:szCs w:val="18"/>
              </w:rPr>
              <w:t xml:space="preserve">Compensatie van de transitievergoeding wordt onder voorwaarden voor kleine werkgevers mogelijk. Dit geldt bij het niet voortzetten van de onderneming bij pensionering en bij overlijden. </w:t>
            </w:r>
          </w:p>
        </w:tc>
      </w:tr>
    </w:tbl>
    <w:p w:rsidR="00603481" w:rsidRDefault="00603481" w14:paraId="7A138794" w14:textId="77777777">
      <w:pPr>
        <w:spacing w:line="240" w:lineRule="auto"/>
      </w:pPr>
    </w:p>
    <w:tbl>
      <w:tblPr>
        <w:tblStyle w:val="Tabelraster"/>
        <w:tblW w:w="8647" w:type="dxa"/>
        <w:tblInd w:w="-5" w:type="dxa"/>
        <w:tblLook w:val="04A0" w:firstRow="1" w:lastRow="0" w:firstColumn="1" w:lastColumn="0" w:noHBand="0" w:noVBand="1"/>
      </w:tblPr>
      <w:tblGrid>
        <w:gridCol w:w="1701"/>
        <w:gridCol w:w="6946"/>
      </w:tblGrid>
      <w:tr w:rsidRPr="00F069E9" w:rsidR="00603481" w:rsidTr="00F42C6E" w14:paraId="2B096677" w14:textId="77777777">
        <w:tc>
          <w:tcPr>
            <w:tcW w:w="8647" w:type="dxa"/>
            <w:gridSpan w:val="2"/>
            <w:shd w:val="clear" w:color="auto" w:fill="0F4761" w:themeFill="accent1" w:themeFillShade="BF"/>
          </w:tcPr>
          <w:p w:rsidRPr="00F069E9" w:rsidR="00603481" w:rsidRDefault="00603481" w14:paraId="5A452E2D" w14:textId="77777777">
            <w:r>
              <w:rPr>
                <w:b/>
                <w:bCs/>
                <w:color w:val="FFFFFF" w:themeColor="background1"/>
              </w:rPr>
              <w:t>WW-premiedifferentiatie</w:t>
            </w:r>
          </w:p>
        </w:tc>
      </w:tr>
      <w:tr w:rsidRPr="00ED7E76" w:rsidR="00603481" w:rsidTr="00F42C6E" w14:paraId="00714522" w14:textId="77777777">
        <w:tc>
          <w:tcPr>
            <w:tcW w:w="1701" w:type="dxa"/>
          </w:tcPr>
          <w:p w:rsidRPr="00ED7E76" w:rsidR="00603481" w:rsidRDefault="00603481" w14:paraId="22ACAF36" w14:textId="77777777">
            <w:pPr>
              <w:pStyle w:val="Default"/>
              <w:spacing w:after="42"/>
              <w:rPr>
                <w:rFonts w:ascii="Verdana" w:hAnsi="Verdana" w:cs="Lohit Hindi"/>
                <w:sz w:val="18"/>
                <w:szCs w:val="18"/>
              </w:rPr>
            </w:pPr>
          </w:p>
        </w:tc>
        <w:tc>
          <w:tcPr>
            <w:tcW w:w="6946" w:type="dxa"/>
          </w:tcPr>
          <w:p w:rsidRPr="00ED7E76" w:rsidR="00603481" w:rsidRDefault="00603481" w14:paraId="55CA6523" w14:textId="77777777">
            <w:pPr>
              <w:pStyle w:val="Default"/>
              <w:numPr>
                <w:ilvl w:val="0"/>
                <w:numId w:val="16"/>
              </w:numPr>
              <w:spacing w:after="42"/>
              <w:rPr>
                <w:rFonts w:ascii="Verdana" w:hAnsi="Verdana" w:cs="Lohit Hindi"/>
                <w:sz w:val="18"/>
                <w:szCs w:val="18"/>
              </w:rPr>
            </w:pPr>
            <w:bookmarkStart w:name="_Hlk222475484" w:id="10"/>
            <w:r w:rsidRPr="00ED7E76">
              <w:rPr>
                <w:rFonts w:ascii="Verdana" w:hAnsi="Verdana" w:cs="Lohit Hindi"/>
                <w:sz w:val="18"/>
                <w:szCs w:val="18"/>
              </w:rPr>
              <w:t xml:space="preserve">Werkgevers betalen een lagere WW-premie voor werknemers met een vast contract dan voor werknemers met een flexibel contract. De sectorpremie is vervallen. </w:t>
            </w:r>
          </w:p>
          <w:bookmarkEnd w:id="10"/>
          <w:p w:rsidRPr="00ED7E76" w:rsidR="00603481" w:rsidRDefault="00603481" w14:paraId="5096C43C" w14:textId="77777777">
            <w:pPr>
              <w:pStyle w:val="Default"/>
              <w:numPr>
                <w:ilvl w:val="0"/>
                <w:numId w:val="16"/>
              </w:numPr>
              <w:spacing w:after="42"/>
              <w:rPr>
                <w:rFonts w:ascii="Verdana" w:hAnsi="Verdana" w:cs="Lohit Hindi"/>
                <w:sz w:val="18"/>
                <w:szCs w:val="18"/>
              </w:rPr>
            </w:pPr>
            <w:r w:rsidRPr="00ED7E76">
              <w:rPr>
                <w:rFonts w:ascii="Verdana" w:hAnsi="Verdana" w:cs="Lohit Hindi"/>
                <w:sz w:val="18"/>
                <w:szCs w:val="18"/>
              </w:rPr>
              <w:t xml:space="preserve">Uitzonderingen voor de lage premie ondanks een flexibel contract gelden onder voorwaarden voor jongeren, BBL-leerlingen en het deel dat een werkgever betaalt als werkgeversbetaling of eigenrisicodrager bij een uitkering werknemersverzekeringen (WW, ZW, WIA, WAO, WAZO). </w:t>
            </w:r>
          </w:p>
          <w:p w:rsidRPr="00ED7E76" w:rsidR="00603481" w:rsidRDefault="00603481" w14:paraId="42F30771" w14:textId="77777777">
            <w:pPr>
              <w:pStyle w:val="Default"/>
              <w:numPr>
                <w:ilvl w:val="0"/>
                <w:numId w:val="16"/>
              </w:numPr>
              <w:spacing w:after="42"/>
              <w:rPr>
                <w:rFonts w:ascii="Verdana" w:hAnsi="Verdana" w:cs="Lohit Hindi"/>
                <w:sz w:val="18"/>
                <w:szCs w:val="18"/>
              </w:rPr>
            </w:pPr>
            <w:r w:rsidRPr="00ED7E76">
              <w:rPr>
                <w:rFonts w:ascii="Verdana" w:hAnsi="Verdana" w:cs="Lohit Hindi"/>
                <w:sz w:val="18"/>
                <w:szCs w:val="18"/>
              </w:rPr>
              <w:t xml:space="preserve">De lage WW-premie wordt herzien als de arbeidsovereenkomst uiterlijk 2 maanden na aanvang van de dienstbetrekking eindigt of er in een kalenderjaar 30% meer uren verloond zijn dan vast-gelegd in de arbeidsovereenkomst. </w:t>
            </w:r>
          </w:p>
        </w:tc>
      </w:tr>
    </w:tbl>
    <w:p w:rsidR="00603481" w:rsidRDefault="00603481" w14:paraId="1475DCFB" w14:textId="77777777">
      <w:pPr>
        <w:spacing w:line="240" w:lineRule="auto"/>
      </w:pPr>
    </w:p>
    <w:p w:rsidR="00603481" w:rsidRDefault="00603481" w14:paraId="08AB426F" w14:textId="77777777">
      <w:pPr>
        <w:spacing w:line="240" w:lineRule="auto"/>
      </w:pPr>
      <w:r>
        <w:rPr>
          <w:i/>
          <w:iCs/>
          <w:sz w:val="16"/>
          <w:szCs w:val="16"/>
        </w:rPr>
        <w:t xml:space="preserve">Bron: </w:t>
      </w:r>
      <w:r w:rsidRPr="00060218">
        <w:rPr>
          <w:sz w:val="16"/>
          <w:szCs w:val="16"/>
        </w:rPr>
        <w:t xml:space="preserve">Regioplan (2025). </w:t>
      </w:r>
      <w:r w:rsidRPr="00060218">
        <w:rPr>
          <w:i/>
          <w:iCs/>
          <w:sz w:val="16"/>
          <w:szCs w:val="16"/>
        </w:rPr>
        <w:t>Syntheserapport Evaluatie Wet arbeidsmarkt in balans</w:t>
      </w:r>
      <w:r>
        <w:rPr>
          <w:sz w:val="16"/>
          <w:szCs w:val="16"/>
        </w:rPr>
        <w:t>, p. 11.</w:t>
      </w:r>
      <w:r>
        <w:br w:type="page"/>
      </w:r>
    </w:p>
    <w:p w:rsidRPr="003B1A90" w:rsidR="00D47625" w:rsidP="00F42C6E" w:rsidRDefault="00603481" w14:paraId="2D20529C" w14:textId="77777777">
      <w:pPr>
        <w:rPr>
          <w:i/>
          <w:iCs/>
        </w:rPr>
      </w:pPr>
      <w:r w:rsidRPr="00D47625">
        <w:rPr>
          <w:noProof/>
        </w:rPr>
        <w:lastRenderedPageBreak/>
        <w:drawing>
          <wp:anchor distT="0" distB="0" distL="114300" distR="114300" simplePos="0" relativeHeight="251658240" behindDoc="0" locked="0" layoutInCell="1" allowOverlap="1" wp14:editId="7B5463B9" wp14:anchorId="0881EC56">
            <wp:simplePos x="0" y="0"/>
            <wp:positionH relativeFrom="column">
              <wp:posOffset>-226695</wp:posOffset>
            </wp:positionH>
            <wp:positionV relativeFrom="paragraph">
              <wp:posOffset>397510</wp:posOffset>
            </wp:positionV>
            <wp:extent cx="6007100" cy="3263900"/>
            <wp:effectExtent l="0" t="0" r="0" b="0"/>
            <wp:wrapSquare wrapText="bothSides"/>
            <wp:docPr id="199044509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7100" cy="326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2C6E" w:rsidR="00D47625">
        <w:t>Bijlage II:</w:t>
      </w:r>
      <w:r w:rsidRPr="003B1A90" w:rsidR="00D47625">
        <w:rPr>
          <w:i/>
          <w:iCs/>
        </w:rPr>
        <w:t xml:space="preserve"> schematische weergave</w:t>
      </w:r>
      <w:r w:rsidR="006F33D4">
        <w:rPr>
          <w:i/>
          <w:iCs/>
        </w:rPr>
        <w:t xml:space="preserve"> van</w:t>
      </w:r>
      <w:r w:rsidRPr="003B1A90" w:rsidR="00D47625">
        <w:rPr>
          <w:i/>
          <w:iCs/>
        </w:rPr>
        <w:t xml:space="preserve"> de beleidstheorie</w:t>
      </w:r>
      <w:r w:rsidR="00D47625">
        <w:rPr>
          <w:i/>
          <w:iCs/>
        </w:rPr>
        <w:t>.</w:t>
      </w:r>
    </w:p>
    <w:p w:rsidR="00D47625" w:rsidP="00B37028" w:rsidRDefault="00D47625" w14:paraId="4C0E084B" w14:textId="77777777"/>
    <w:p w:rsidRPr="00CB0DCA" w:rsidR="00603481" w:rsidP="00603481" w:rsidRDefault="00D47625" w14:paraId="516110BB" w14:textId="77777777">
      <w:pPr>
        <w:pStyle w:val="Voetnoottekst"/>
        <w:rPr>
          <w:sz w:val="16"/>
          <w:szCs w:val="16"/>
        </w:rPr>
      </w:pPr>
      <w:r>
        <w:rPr>
          <w:i/>
          <w:iCs/>
          <w:sz w:val="16"/>
          <w:szCs w:val="16"/>
        </w:rPr>
        <w:t xml:space="preserve">Bron: </w:t>
      </w:r>
      <w:r w:rsidRPr="00060218" w:rsidR="00603481">
        <w:rPr>
          <w:sz w:val="16"/>
          <w:szCs w:val="16"/>
        </w:rPr>
        <w:t xml:space="preserve">Regioplan (2025). </w:t>
      </w:r>
      <w:r w:rsidRPr="00060218" w:rsidR="00603481">
        <w:rPr>
          <w:i/>
          <w:iCs/>
          <w:sz w:val="16"/>
          <w:szCs w:val="16"/>
        </w:rPr>
        <w:t>Syntheserapport Evaluatie Wet arbeidsmarkt in balans</w:t>
      </w:r>
      <w:r w:rsidR="00603481">
        <w:rPr>
          <w:sz w:val="16"/>
          <w:szCs w:val="16"/>
        </w:rPr>
        <w:t xml:space="preserve">, p. 18. </w:t>
      </w:r>
    </w:p>
    <w:p w:rsidRPr="00F42C6E" w:rsidR="00D47625" w:rsidP="00B37028" w:rsidRDefault="00D47625" w14:paraId="13CBB240" w14:textId="77777777">
      <w:pPr>
        <w:rPr>
          <w:i/>
          <w:iCs/>
          <w:sz w:val="16"/>
          <w:szCs w:val="16"/>
        </w:rPr>
      </w:pPr>
    </w:p>
    <w:sectPr w:rsidRPr="00F42C6E" w:rsidR="00D47625">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C72FA" w14:textId="77777777" w:rsidR="002865F7" w:rsidRDefault="002865F7">
      <w:pPr>
        <w:spacing w:line="240" w:lineRule="auto"/>
      </w:pPr>
      <w:r>
        <w:separator/>
      </w:r>
    </w:p>
  </w:endnote>
  <w:endnote w:type="continuationSeparator" w:id="0">
    <w:p w14:paraId="7CA26C67" w14:textId="77777777" w:rsidR="002865F7" w:rsidRDefault="002865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4A08" w14:textId="77777777" w:rsidR="009C540A" w:rsidRDefault="009C54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49A9" w14:textId="77777777" w:rsidR="00222521" w:rsidRDefault="00222521">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2849A" w14:textId="77777777" w:rsidR="009C540A" w:rsidRDefault="009C54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026ED" w14:textId="77777777" w:rsidR="002865F7" w:rsidRDefault="002865F7">
      <w:pPr>
        <w:spacing w:line="240" w:lineRule="auto"/>
      </w:pPr>
      <w:r>
        <w:separator/>
      </w:r>
    </w:p>
  </w:footnote>
  <w:footnote w:type="continuationSeparator" w:id="0">
    <w:p w14:paraId="79F73B33" w14:textId="77777777" w:rsidR="002865F7" w:rsidRDefault="002865F7">
      <w:pPr>
        <w:spacing w:line="240" w:lineRule="auto"/>
      </w:pPr>
      <w:r>
        <w:continuationSeparator/>
      </w:r>
    </w:p>
  </w:footnote>
  <w:footnote w:id="1">
    <w:p w14:paraId="0A4168E7" w14:textId="77777777" w:rsidR="006C3737" w:rsidRPr="00F42C6E" w:rsidRDefault="006C3737">
      <w:pPr>
        <w:pStyle w:val="Voetnoottekst"/>
        <w:rPr>
          <w:sz w:val="16"/>
          <w:szCs w:val="16"/>
        </w:rPr>
      </w:pPr>
      <w:r w:rsidRPr="00F42C6E">
        <w:rPr>
          <w:rStyle w:val="Voetnootmarkering"/>
          <w:sz w:val="16"/>
          <w:szCs w:val="16"/>
        </w:rPr>
        <w:footnoteRef/>
      </w:r>
      <w:r w:rsidRPr="00F42C6E">
        <w:rPr>
          <w:sz w:val="16"/>
          <w:szCs w:val="16"/>
        </w:rPr>
        <w:t xml:space="preserve"> Onder flexwerknemers worden alle werknemers verstaan die een ander soort dan vast contract hebben. </w:t>
      </w:r>
      <w:r>
        <w:rPr>
          <w:sz w:val="16"/>
          <w:szCs w:val="16"/>
        </w:rPr>
        <w:t>Hieronder vallen dus geen zzp’ers.</w:t>
      </w:r>
    </w:p>
  </w:footnote>
  <w:footnote w:id="2">
    <w:p w14:paraId="0A622888" w14:textId="77777777" w:rsidR="008656F5" w:rsidRPr="00ED0F6A" w:rsidRDefault="008656F5">
      <w:pPr>
        <w:pStyle w:val="Voetnoottekst"/>
        <w:rPr>
          <w:sz w:val="16"/>
          <w:szCs w:val="16"/>
        </w:rPr>
      </w:pPr>
      <w:r w:rsidRPr="00ED0F6A">
        <w:rPr>
          <w:rStyle w:val="Voetnootmarkering"/>
          <w:sz w:val="16"/>
          <w:szCs w:val="16"/>
        </w:rPr>
        <w:footnoteRef/>
      </w:r>
      <w:r w:rsidRPr="00ED0F6A">
        <w:rPr>
          <w:sz w:val="16"/>
          <w:szCs w:val="16"/>
        </w:rPr>
        <w:t xml:space="preserve"> in samenwerking met SEOR, Centerdata, Cebeon en de Erasmus universiteit Rotterdam.</w:t>
      </w:r>
    </w:p>
  </w:footnote>
  <w:footnote w:id="3">
    <w:p w14:paraId="72B9AF3D" w14:textId="77777777" w:rsidR="00207ADF" w:rsidRPr="00CB0DCA" w:rsidRDefault="00207ADF" w:rsidP="005D6C65">
      <w:pPr>
        <w:pStyle w:val="Voetnoottekst"/>
        <w:rPr>
          <w:sz w:val="16"/>
          <w:szCs w:val="16"/>
        </w:rPr>
      </w:pPr>
      <w:r w:rsidRPr="00CB0DCA">
        <w:rPr>
          <w:rStyle w:val="Voetnootmarkering"/>
          <w:sz w:val="16"/>
          <w:szCs w:val="16"/>
        </w:rPr>
        <w:footnoteRef/>
      </w:r>
      <w:r w:rsidRPr="00CB0DCA">
        <w:rPr>
          <w:sz w:val="16"/>
          <w:szCs w:val="16"/>
        </w:rPr>
        <w:t xml:space="preserve"> </w:t>
      </w:r>
      <w:r w:rsidR="005D6C65">
        <w:rPr>
          <w:sz w:val="16"/>
          <w:szCs w:val="16"/>
        </w:rPr>
        <w:t xml:space="preserve">Zie bijvoorbeeld: Regioplan (2025). </w:t>
      </w:r>
      <w:r w:rsidR="005D6C65" w:rsidRPr="00CB0DCA">
        <w:rPr>
          <w:i/>
          <w:iCs/>
          <w:sz w:val="16"/>
          <w:szCs w:val="16"/>
        </w:rPr>
        <w:t>Syntheserapport Evaluatie Wet arbeidsmarkt in balans</w:t>
      </w:r>
      <w:r w:rsidR="005D6C65">
        <w:rPr>
          <w:sz w:val="16"/>
          <w:szCs w:val="16"/>
        </w:rPr>
        <w:t>, of</w:t>
      </w:r>
      <w:r w:rsidR="005D6C65" w:rsidRPr="00CB0DCA">
        <w:rPr>
          <w:i/>
          <w:iCs/>
          <w:sz w:val="16"/>
          <w:szCs w:val="16"/>
        </w:rPr>
        <w:t xml:space="preserve"> </w:t>
      </w:r>
      <w:r w:rsidR="007751C6" w:rsidRPr="00CB0DCA">
        <w:rPr>
          <w:sz w:val="16"/>
          <w:szCs w:val="16"/>
        </w:rPr>
        <w:t xml:space="preserve">Smits, W., De Vries, J. &amp; Gringhuis, G. (2021). </w:t>
      </w:r>
      <w:r w:rsidR="007751C6" w:rsidRPr="00CB0DCA">
        <w:rPr>
          <w:i/>
          <w:iCs/>
          <w:sz w:val="16"/>
          <w:szCs w:val="16"/>
        </w:rPr>
        <w:t>Lonen van vaste en flexibele werknemers</w:t>
      </w:r>
      <w:r w:rsidR="007751C6" w:rsidRPr="00CB0DCA">
        <w:rPr>
          <w:sz w:val="16"/>
          <w:szCs w:val="16"/>
        </w:rPr>
        <w:t>. CBS Statistische Trends.</w:t>
      </w:r>
    </w:p>
  </w:footnote>
  <w:footnote w:id="4">
    <w:p w14:paraId="58849C16" w14:textId="77777777" w:rsidR="00207ADF" w:rsidRDefault="00207ADF" w:rsidP="007751C6">
      <w:pPr>
        <w:pStyle w:val="Voetnoottekst"/>
      </w:pPr>
      <w:r w:rsidRPr="00CB0DCA">
        <w:rPr>
          <w:rStyle w:val="Voetnootmarkering"/>
          <w:sz w:val="16"/>
          <w:szCs w:val="16"/>
        </w:rPr>
        <w:footnoteRef/>
      </w:r>
      <w:r w:rsidRPr="00CB0DCA">
        <w:rPr>
          <w:sz w:val="16"/>
          <w:szCs w:val="16"/>
        </w:rPr>
        <w:t xml:space="preserve"> </w:t>
      </w:r>
      <w:r w:rsidR="007751C6" w:rsidRPr="00CB0DCA">
        <w:rPr>
          <w:sz w:val="16"/>
          <w:szCs w:val="16"/>
        </w:rPr>
        <w:t xml:space="preserve">CBS (2024). </w:t>
      </w:r>
      <w:r w:rsidR="007751C6" w:rsidRPr="00CB0DCA">
        <w:rPr>
          <w:i/>
          <w:iCs/>
          <w:sz w:val="16"/>
          <w:szCs w:val="16"/>
        </w:rPr>
        <w:t>Flexwerk in Nederland en de EU</w:t>
      </w:r>
      <w:r w:rsidR="007751C6" w:rsidRPr="00CB0DCA">
        <w:rPr>
          <w:sz w:val="16"/>
          <w:szCs w:val="16"/>
        </w:rPr>
        <w:t>.</w:t>
      </w:r>
    </w:p>
  </w:footnote>
  <w:footnote w:id="5">
    <w:p w14:paraId="7264EB9B" w14:textId="77777777" w:rsidR="005D6C65" w:rsidRDefault="005D6C65">
      <w:pPr>
        <w:pStyle w:val="Voetnoottekst"/>
      </w:pPr>
      <w:r w:rsidRPr="00CB0DCA">
        <w:rPr>
          <w:rStyle w:val="Voetnootmarkering"/>
          <w:sz w:val="16"/>
          <w:szCs w:val="16"/>
        </w:rPr>
        <w:footnoteRef/>
      </w:r>
      <w:r>
        <w:rPr>
          <w:sz w:val="16"/>
          <w:szCs w:val="16"/>
        </w:rPr>
        <w:t xml:space="preserve"> Zie bijvoorbeeld: Regioplan (2025). </w:t>
      </w:r>
      <w:r w:rsidRPr="00351B52">
        <w:rPr>
          <w:i/>
          <w:iCs/>
          <w:sz w:val="16"/>
          <w:szCs w:val="16"/>
        </w:rPr>
        <w:t>Syntheserapport Evaluatie Wet arbeidsmarkt in balans</w:t>
      </w:r>
      <w:r>
        <w:rPr>
          <w:sz w:val="16"/>
          <w:szCs w:val="16"/>
        </w:rPr>
        <w:t>.</w:t>
      </w:r>
    </w:p>
  </w:footnote>
  <w:footnote w:id="6">
    <w:p w14:paraId="24AF7D91" w14:textId="77777777" w:rsidR="005D6C65" w:rsidRPr="00CB0DCA" w:rsidRDefault="005D6C65" w:rsidP="005D6C65">
      <w:pPr>
        <w:pStyle w:val="Voetnoottekst"/>
        <w:rPr>
          <w:sz w:val="16"/>
          <w:szCs w:val="16"/>
        </w:rPr>
      </w:pPr>
      <w:r w:rsidRPr="00CB0DCA">
        <w:rPr>
          <w:rStyle w:val="Voetnootmarkering"/>
          <w:sz w:val="16"/>
          <w:szCs w:val="16"/>
        </w:rPr>
        <w:footnoteRef/>
      </w:r>
      <w:r w:rsidRPr="00CB0DCA">
        <w:rPr>
          <w:sz w:val="16"/>
          <w:szCs w:val="16"/>
        </w:rPr>
        <w:t xml:space="preserve"> </w:t>
      </w:r>
      <w:r w:rsidR="00F46090" w:rsidRPr="00F46090">
        <w:rPr>
          <w:i/>
          <w:iCs/>
          <w:sz w:val="16"/>
          <w:szCs w:val="16"/>
        </w:rPr>
        <w:t xml:space="preserve">Kamerstukken II </w:t>
      </w:r>
      <w:r w:rsidR="00F46090" w:rsidRPr="00F46090">
        <w:rPr>
          <w:sz w:val="16"/>
          <w:szCs w:val="16"/>
        </w:rPr>
        <w:t>2018/19, 35074, nr. 3</w:t>
      </w:r>
    </w:p>
  </w:footnote>
  <w:footnote w:id="7">
    <w:p w14:paraId="7B70D8A6" w14:textId="77777777" w:rsidR="00ED7E76" w:rsidRPr="00AF32CD" w:rsidRDefault="00ED7E76">
      <w:pPr>
        <w:pStyle w:val="Voetnoottekst"/>
        <w:rPr>
          <w:sz w:val="16"/>
          <w:szCs w:val="16"/>
        </w:rPr>
      </w:pPr>
      <w:r w:rsidRPr="00AF32CD">
        <w:rPr>
          <w:rStyle w:val="Voetnootmarkering"/>
          <w:sz w:val="16"/>
          <w:szCs w:val="16"/>
        </w:rPr>
        <w:footnoteRef/>
      </w:r>
      <w:r w:rsidRPr="00AF32CD">
        <w:rPr>
          <w:sz w:val="16"/>
          <w:szCs w:val="16"/>
        </w:rPr>
        <w:t xml:space="preserve"> Voor preciezere uitwerking zie bijlage I</w:t>
      </w:r>
      <w:r w:rsidR="00B357D6">
        <w:rPr>
          <w:sz w:val="16"/>
          <w:szCs w:val="16"/>
        </w:rPr>
        <w:t>., of bijlage I in</w:t>
      </w:r>
      <w:r w:rsidRPr="00AF32CD">
        <w:rPr>
          <w:sz w:val="16"/>
          <w:szCs w:val="16"/>
        </w:rPr>
        <w:t xml:space="preserve"> het rapport </w:t>
      </w:r>
      <w:r w:rsidRPr="00AF32CD">
        <w:rPr>
          <w:i/>
          <w:iCs/>
          <w:sz w:val="16"/>
          <w:szCs w:val="16"/>
        </w:rPr>
        <w:t xml:space="preserve">Evaluatie wet arbeidsmarkt in balans, </w:t>
      </w:r>
      <w:r w:rsidRPr="00AF32CD">
        <w:rPr>
          <w:sz w:val="16"/>
          <w:szCs w:val="16"/>
        </w:rPr>
        <w:t xml:space="preserve">regioplan (2025), of </w:t>
      </w:r>
      <w:hyperlink r:id="rId1" w:history="1">
        <w:r w:rsidRPr="00AF32CD">
          <w:rPr>
            <w:rStyle w:val="Hyperlink"/>
            <w:sz w:val="16"/>
            <w:szCs w:val="16"/>
          </w:rPr>
          <w:t>Wet arbeidsmarkt in balans (WAB): wat is er veranderd sinds 1 januari 2020</w:t>
        </w:r>
      </w:hyperlink>
      <w:r w:rsidRPr="00AF32CD">
        <w:rPr>
          <w:sz w:val="16"/>
          <w:szCs w:val="16"/>
        </w:rPr>
        <w:t>.</w:t>
      </w:r>
    </w:p>
  </w:footnote>
  <w:footnote w:id="8">
    <w:p w14:paraId="33344241" w14:textId="77777777" w:rsidR="00B37028" w:rsidRPr="00201456" w:rsidRDefault="00201456" w:rsidP="00B37028">
      <w:pPr>
        <w:pStyle w:val="Voetnoottekst"/>
        <w:rPr>
          <w:sz w:val="16"/>
          <w:szCs w:val="16"/>
        </w:rPr>
      </w:pPr>
      <w:r>
        <w:rPr>
          <w:sz w:val="16"/>
          <w:szCs w:val="16"/>
          <w:vertAlign w:val="superscript"/>
        </w:rPr>
        <w:t>7</w:t>
      </w:r>
      <w:r>
        <w:rPr>
          <w:sz w:val="16"/>
          <w:szCs w:val="16"/>
        </w:rPr>
        <w:t xml:space="preserve"> </w:t>
      </w:r>
      <w:r w:rsidR="00956231" w:rsidRPr="00CB0DCA">
        <w:rPr>
          <w:sz w:val="16"/>
          <w:szCs w:val="16"/>
        </w:rPr>
        <w:t xml:space="preserve">Voor meer informatie zie regioplan (2025), onderzoeksopzet evaluatie wet </w:t>
      </w:r>
      <w:r w:rsidR="00956231" w:rsidRPr="00B357D6">
        <w:rPr>
          <w:sz w:val="16"/>
          <w:szCs w:val="16"/>
        </w:rPr>
        <w:t>arbeidsmarkt</w:t>
      </w:r>
      <w:r w:rsidR="00956231" w:rsidRPr="00CB0DCA">
        <w:rPr>
          <w:sz w:val="16"/>
          <w:szCs w:val="16"/>
        </w:rPr>
        <w:t xml:space="preserve"> in balans</w:t>
      </w:r>
      <w:r w:rsidR="00956231">
        <w:rPr>
          <w:sz w:val="16"/>
          <w:szCs w:val="16"/>
        </w:rPr>
        <w:t>.</w:t>
      </w:r>
    </w:p>
  </w:footnote>
  <w:footnote w:id="9">
    <w:p w14:paraId="76DE8B74" w14:textId="77777777" w:rsidR="008E69CC" w:rsidRPr="00CB0DCA" w:rsidRDefault="008E69CC">
      <w:pPr>
        <w:pStyle w:val="Voetnoottekst"/>
        <w:rPr>
          <w:sz w:val="16"/>
          <w:szCs w:val="16"/>
        </w:rPr>
      </w:pPr>
      <w:r w:rsidRPr="00CB0DCA">
        <w:rPr>
          <w:rStyle w:val="Voetnootmarkering"/>
          <w:sz w:val="16"/>
          <w:szCs w:val="16"/>
        </w:rPr>
        <w:footnoteRef/>
      </w:r>
      <w:r w:rsidRPr="00CB0DCA">
        <w:rPr>
          <w:sz w:val="16"/>
          <w:szCs w:val="16"/>
        </w:rPr>
        <w:t xml:space="preserve"> Voor een precieze uitwerking zie bijlage</w:t>
      </w:r>
      <w:r w:rsidR="00D165D8">
        <w:rPr>
          <w:sz w:val="16"/>
          <w:szCs w:val="16"/>
        </w:rPr>
        <w:t xml:space="preserve"> I</w:t>
      </w:r>
      <w:r w:rsidRPr="00CB0DCA">
        <w:rPr>
          <w:sz w:val="16"/>
          <w:szCs w:val="16"/>
        </w:rPr>
        <w:t xml:space="preserve"> </w:t>
      </w:r>
      <w:r w:rsidR="00D165D8">
        <w:rPr>
          <w:sz w:val="16"/>
          <w:szCs w:val="16"/>
        </w:rPr>
        <w:t>in</w:t>
      </w:r>
      <w:r w:rsidR="00D165D8" w:rsidRPr="00AF32CD">
        <w:rPr>
          <w:sz w:val="16"/>
          <w:szCs w:val="16"/>
        </w:rPr>
        <w:t xml:space="preserve"> het rapport </w:t>
      </w:r>
      <w:r w:rsidR="00D165D8" w:rsidRPr="00AF32CD">
        <w:rPr>
          <w:i/>
          <w:iCs/>
          <w:sz w:val="16"/>
          <w:szCs w:val="16"/>
        </w:rPr>
        <w:t xml:space="preserve">Evaluatie wet arbeidsmarkt in balans, </w:t>
      </w:r>
      <w:r w:rsidR="00D165D8" w:rsidRPr="00AF32CD">
        <w:rPr>
          <w:sz w:val="16"/>
          <w:szCs w:val="16"/>
        </w:rPr>
        <w:t>regioplan (2025)</w:t>
      </w:r>
      <w:r w:rsidR="00201456">
        <w:rPr>
          <w:sz w:val="16"/>
          <w:szCs w:val="16"/>
        </w:rPr>
        <w:t>,</w:t>
      </w:r>
      <w:r w:rsidR="00201456" w:rsidRPr="00201456">
        <w:rPr>
          <w:sz w:val="16"/>
          <w:szCs w:val="16"/>
        </w:rPr>
        <w:t xml:space="preserve"> </w:t>
      </w:r>
      <w:r w:rsidR="00201456" w:rsidRPr="00AF32CD">
        <w:rPr>
          <w:sz w:val="16"/>
          <w:szCs w:val="16"/>
        </w:rPr>
        <w:t xml:space="preserve">of </w:t>
      </w:r>
      <w:hyperlink r:id="rId2" w:history="1">
        <w:r w:rsidR="00201456" w:rsidRPr="00AF32CD">
          <w:rPr>
            <w:rStyle w:val="Hyperlink"/>
            <w:sz w:val="16"/>
            <w:szCs w:val="16"/>
          </w:rPr>
          <w:t>Wet arbeidsmarkt in balans (WAB): wat is er veranderd sinds 1 januari 2020</w:t>
        </w:r>
      </w:hyperlink>
      <w:r w:rsidR="00201456" w:rsidRPr="00AF32CD">
        <w:rPr>
          <w:sz w:val="16"/>
          <w:szCs w:val="16"/>
        </w:rPr>
        <w:t>.</w:t>
      </w:r>
    </w:p>
  </w:footnote>
  <w:footnote w:id="10">
    <w:p w14:paraId="5298EB28" w14:textId="77777777" w:rsidR="00D22EBC" w:rsidRPr="00F42C6E" w:rsidRDefault="00D22EBC">
      <w:pPr>
        <w:pStyle w:val="Voetnoottekst"/>
        <w:rPr>
          <w:sz w:val="16"/>
          <w:szCs w:val="16"/>
        </w:rPr>
      </w:pPr>
      <w:r w:rsidRPr="00F42C6E">
        <w:rPr>
          <w:rStyle w:val="Voetnootmarkering"/>
          <w:sz w:val="16"/>
          <w:szCs w:val="16"/>
        </w:rPr>
        <w:footnoteRef/>
      </w:r>
      <w:r w:rsidRPr="00F42C6E">
        <w:rPr>
          <w:sz w:val="16"/>
          <w:szCs w:val="16"/>
        </w:rPr>
        <w:t xml:space="preserve"> Voor een precieze uitwerking zie </w:t>
      </w:r>
      <w:r w:rsidRPr="00D22EBC">
        <w:rPr>
          <w:sz w:val="16"/>
          <w:szCs w:val="16"/>
        </w:rPr>
        <w:t xml:space="preserve">Regioplan (2025) </w:t>
      </w:r>
      <w:r w:rsidRPr="00D22EBC">
        <w:rPr>
          <w:i/>
          <w:iCs/>
          <w:sz w:val="16"/>
          <w:szCs w:val="16"/>
        </w:rPr>
        <w:t xml:space="preserve">Evaluatie Wet arbeidsmarkt in balans, </w:t>
      </w:r>
      <w:r w:rsidR="00184EBF">
        <w:rPr>
          <w:i/>
          <w:iCs/>
          <w:sz w:val="16"/>
          <w:szCs w:val="16"/>
        </w:rPr>
        <w:t>D</w:t>
      </w:r>
      <w:r w:rsidRPr="00D22EBC">
        <w:rPr>
          <w:i/>
          <w:iCs/>
          <w:sz w:val="16"/>
          <w:szCs w:val="16"/>
        </w:rPr>
        <w:t>eelonderzoek 1: flexibele arbeid</w:t>
      </w:r>
      <w:r w:rsidRPr="00D22EBC">
        <w:rPr>
          <w:sz w:val="16"/>
          <w:szCs w:val="16"/>
        </w:rPr>
        <w:t xml:space="preserve">, p. 37. </w:t>
      </w:r>
    </w:p>
  </w:footnote>
  <w:footnote w:id="11">
    <w:p w14:paraId="4F824DD9" w14:textId="77777777" w:rsidR="005559D0" w:rsidRPr="00CB0DCA" w:rsidRDefault="005559D0">
      <w:pPr>
        <w:pStyle w:val="Voetnoottekst"/>
        <w:rPr>
          <w:sz w:val="16"/>
          <w:szCs w:val="16"/>
        </w:rPr>
      </w:pPr>
      <w:r w:rsidRPr="00CB0DCA">
        <w:rPr>
          <w:rStyle w:val="Voetnootmarkering"/>
          <w:sz w:val="16"/>
          <w:szCs w:val="16"/>
        </w:rPr>
        <w:footnoteRef/>
      </w:r>
      <w:r w:rsidRPr="00CB0DCA">
        <w:rPr>
          <w:sz w:val="16"/>
          <w:szCs w:val="16"/>
        </w:rPr>
        <w:t xml:space="preserve"> Voor een precieze uitwerking </w:t>
      </w:r>
      <w:r w:rsidR="00184EBF">
        <w:rPr>
          <w:sz w:val="16"/>
          <w:szCs w:val="16"/>
        </w:rPr>
        <w:t xml:space="preserve">zie </w:t>
      </w:r>
      <w:r w:rsidR="00184EBF" w:rsidRPr="00AF32CD">
        <w:rPr>
          <w:sz w:val="16"/>
          <w:szCs w:val="16"/>
        </w:rPr>
        <w:t>regioplan (2025</w:t>
      </w:r>
      <w:r w:rsidR="00184EBF">
        <w:rPr>
          <w:sz w:val="16"/>
          <w:szCs w:val="16"/>
        </w:rPr>
        <w:t>)</w:t>
      </w:r>
      <w:r w:rsidR="00D165D8" w:rsidRPr="00AF32CD">
        <w:rPr>
          <w:sz w:val="16"/>
          <w:szCs w:val="16"/>
        </w:rPr>
        <w:t xml:space="preserve"> </w:t>
      </w:r>
      <w:r w:rsidR="00D165D8" w:rsidRPr="00AF32CD">
        <w:rPr>
          <w:i/>
          <w:iCs/>
          <w:sz w:val="16"/>
          <w:szCs w:val="16"/>
        </w:rPr>
        <w:t>Evaluatie wet arbeidsmarkt in balans,</w:t>
      </w:r>
      <w:r w:rsidR="00184EBF">
        <w:rPr>
          <w:i/>
          <w:iCs/>
          <w:sz w:val="16"/>
          <w:szCs w:val="16"/>
        </w:rPr>
        <w:t xml:space="preserve"> Deelonderzoek 1: flexibele arbeid</w:t>
      </w:r>
      <w:r w:rsidR="00D165D8" w:rsidRPr="00AF32CD">
        <w:rPr>
          <w:sz w:val="16"/>
          <w:szCs w:val="16"/>
        </w:rPr>
        <w:t>)</w:t>
      </w:r>
      <w:r w:rsidR="00201456">
        <w:rPr>
          <w:sz w:val="16"/>
          <w:szCs w:val="16"/>
        </w:rPr>
        <w:t xml:space="preserve">, </w:t>
      </w:r>
      <w:r w:rsidR="00184EBF">
        <w:rPr>
          <w:sz w:val="16"/>
          <w:szCs w:val="16"/>
        </w:rPr>
        <w:t xml:space="preserve">p. 48. </w:t>
      </w:r>
      <w:r w:rsidR="00201456" w:rsidRPr="00AF32CD">
        <w:rPr>
          <w:sz w:val="16"/>
          <w:szCs w:val="16"/>
        </w:rPr>
        <w:t xml:space="preserve">of </w:t>
      </w:r>
      <w:r w:rsidR="00480AA6" w:rsidRPr="00F46090">
        <w:rPr>
          <w:i/>
          <w:iCs/>
          <w:sz w:val="16"/>
          <w:szCs w:val="16"/>
        </w:rPr>
        <w:t xml:space="preserve">Kamerstukken II </w:t>
      </w:r>
      <w:r w:rsidR="00480AA6" w:rsidRPr="00F46090">
        <w:rPr>
          <w:sz w:val="16"/>
          <w:szCs w:val="16"/>
        </w:rPr>
        <w:t>2018/19, 35074, nr. 3</w:t>
      </w:r>
      <w:r w:rsidR="00480AA6">
        <w:rPr>
          <w:sz w:val="16"/>
          <w:szCs w:val="16"/>
        </w:rPr>
        <w:t xml:space="preserve"> pp. 17-30.</w:t>
      </w:r>
    </w:p>
  </w:footnote>
  <w:footnote w:id="12">
    <w:p w14:paraId="54F16263" w14:textId="77777777" w:rsidR="00060218" w:rsidRDefault="00060218">
      <w:pPr>
        <w:pStyle w:val="Voetnoottekst"/>
      </w:pPr>
      <w:r w:rsidRPr="00CB0DCA">
        <w:rPr>
          <w:rStyle w:val="Voetnootmarkering"/>
          <w:sz w:val="16"/>
          <w:szCs w:val="16"/>
        </w:rPr>
        <w:footnoteRef/>
      </w:r>
      <w:r w:rsidRPr="00CB0DCA">
        <w:rPr>
          <w:sz w:val="16"/>
          <w:szCs w:val="16"/>
        </w:rPr>
        <w:t xml:space="preserve"> </w:t>
      </w:r>
      <w:r w:rsidRPr="00060218">
        <w:rPr>
          <w:sz w:val="16"/>
          <w:szCs w:val="16"/>
        </w:rPr>
        <w:t xml:space="preserve">Zie bijvoorbeeld: Regioplan (2025). </w:t>
      </w:r>
      <w:r w:rsidRPr="00060218">
        <w:rPr>
          <w:i/>
          <w:iCs/>
          <w:sz w:val="16"/>
          <w:szCs w:val="16"/>
        </w:rPr>
        <w:t>Syntheserapport Evaluatie Wet arbeidsmarkt in balans</w:t>
      </w:r>
      <w:r w:rsidRPr="00060218">
        <w:rPr>
          <w:sz w:val="16"/>
          <w:szCs w:val="16"/>
        </w:rPr>
        <w:t>.</w:t>
      </w:r>
    </w:p>
  </w:footnote>
  <w:footnote w:id="13">
    <w:p w14:paraId="4B5840AA" w14:textId="77777777" w:rsidR="00407137" w:rsidRDefault="00407137">
      <w:pPr>
        <w:pStyle w:val="Voetnoottekst"/>
      </w:pPr>
      <w:r>
        <w:rPr>
          <w:rStyle w:val="Voetnootmarkering"/>
        </w:rPr>
        <w:footnoteRef/>
      </w:r>
      <w:r>
        <w:t xml:space="preserve"> </w:t>
      </w:r>
      <w:r w:rsidRPr="0034444B">
        <w:rPr>
          <w:sz w:val="16"/>
          <w:szCs w:val="16"/>
        </w:rPr>
        <w:t xml:space="preserve">Regioplan (2025) </w:t>
      </w:r>
      <w:r w:rsidRPr="0034444B">
        <w:rPr>
          <w:i/>
          <w:iCs/>
          <w:sz w:val="16"/>
          <w:szCs w:val="16"/>
        </w:rPr>
        <w:t>Evaluatie Wet arbeidsmarkt in balans, deelonderzoek 1: flexibele arbeid</w:t>
      </w:r>
      <w:r w:rsidRPr="0034444B">
        <w:rPr>
          <w:sz w:val="16"/>
          <w:szCs w:val="16"/>
        </w:rPr>
        <w:t xml:space="preserve">, p. </w:t>
      </w:r>
      <w:r>
        <w:rPr>
          <w:sz w:val="16"/>
          <w:szCs w:val="16"/>
        </w:rPr>
        <w:t xml:space="preserve">70. Of </w:t>
      </w:r>
      <w:r w:rsidR="00480AA6" w:rsidRPr="00F46090">
        <w:rPr>
          <w:i/>
          <w:iCs/>
          <w:sz w:val="16"/>
          <w:szCs w:val="16"/>
        </w:rPr>
        <w:t xml:space="preserve">Kamerstukken II </w:t>
      </w:r>
      <w:r w:rsidR="00480AA6" w:rsidRPr="00F46090">
        <w:rPr>
          <w:sz w:val="16"/>
          <w:szCs w:val="16"/>
        </w:rPr>
        <w:t>2018/19, 35074, nr. 3</w:t>
      </w:r>
      <w:r w:rsidR="00480AA6">
        <w:rPr>
          <w:sz w:val="16"/>
          <w:szCs w:val="16"/>
        </w:rPr>
        <w:t>, pp. 30-50.</w:t>
      </w:r>
    </w:p>
  </w:footnote>
  <w:footnote w:id="14">
    <w:p w14:paraId="13B5854A" w14:textId="77777777" w:rsidR="00480AA6" w:rsidRPr="0049775F" w:rsidRDefault="00480AA6" w:rsidP="00480AA6">
      <w:pPr>
        <w:pStyle w:val="Voetnoottekst"/>
        <w:rPr>
          <w:sz w:val="16"/>
          <w:szCs w:val="16"/>
        </w:rPr>
      </w:pPr>
      <w:r w:rsidRPr="0049775F">
        <w:rPr>
          <w:rStyle w:val="Voetnootmarkering"/>
          <w:sz w:val="16"/>
          <w:szCs w:val="16"/>
        </w:rPr>
        <w:footnoteRef/>
      </w:r>
      <w:r w:rsidRPr="0049775F">
        <w:rPr>
          <w:sz w:val="16"/>
          <w:szCs w:val="16"/>
        </w:rPr>
        <w:t xml:space="preserve"> </w:t>
      </w:r>
      <w:r w:rsidRPr="0034444B">
        <w:rPr>
          <w:sz w:val="16"/>
          <w:szCs w:val="16"/>
        </w:rPr>
        <w:t xml:space="preserve">Ongeveer 20% van de werkgevers geeft aan payroll te vervangen door vaste krachten. 14% zegt juist vaker gebruik te maken van uitzendkrachten en ZZP’ers. Regioplan (2025) </w:t>
      </w:r>
      <w:r w:rsidRPr="0034444B">
        <w:rPr>
          <w:i/>
          <w:iCs/>
          <w:sz w:val="16"/>
          <w:szCs w:val="16"/>
        </w:rPr>
        <w:t>Evaluatie Wet arbeidsmarkt in balans, deelonderzoek 1: flexibele arbeid</w:t>
      </w:r>
      <w:r w:rsidRPr="0034444B">
        <w:rPr>
          <w:sz w:val="16"/>
          <w:szCs w:val="16"/>
        </w:rPr>
        <w:t>, p. 81</w:t>
      </w:r>
    </w:p>
  </w:footnote>
  <w:footnote w:id="15">
    <w:p w14:paraId="35C71EF5" w14:textId="77777777" w:rsidR="00F36BFE" w:rsidRPr="00F42C6E" w:rsidRDefault="00F36BFE">
      <w:pPr>
        <w:pStyle w:val="Voetnoottekst"/>
        <w:rPr>
          <w:sz w:val="16"/>
          <w:szCs w:val="16"/>
        </w:rPr>
      </w:pPr>
      <w:r w:rsidRPr="00F42C6E">
        <w:rPr>
          <w:rStyle w:val="Voetnootmarkering"/>
          <w:sz w:val="16"/>
          <w:szCs w:val="16"/>
        </w:rPr>
        <w:footnoteRef/>
      </w:r>
      <w:r w:rsidRPr="00F42C6E">
        <w:rPr>
          <w:sz w:val="16"/>
          <w:szCs w:val="16"/>
        </w:rPr>
        <w:t xml:space="preserve"> Voor een precieze </w:t>
      </w:r>
      <w:r w:rsidRPr="00F36BFE">
        <w:rPr>
          <w:sz w:val="16"/>
          <w:szCs w:val="16"/>
        </w:rPr>
        <w:t>uitwerking</w:t>
      </w:r>
      <w:r w:rsidRPr="00F42C6E">
        <w:rPr>
          <w:sz w:val="16"/>
          <w:szCs w:val="16"/>
        </w:rPr>
        <w:t xml:space="preserve"> zie </w:t>
      </w:r>
      <w:r w:rsidRPr="00F36BFE">
        <w:rPr>
          <w:sz w:val="16"/>
          <w:szCs w:val="16"/>
        </w:rPr>
        <w:t xml:space="preserve">Regioplan (2025) </w:t>
      </w:r>
      <w:r w:rsidRPr="00F36BFE">
        <w:rPr>
          <w:i/>
          <w:iCs/>
          <w:sz w:val="16"/>
          <w:szCs w:val="16"/>
        </w:rPr>
        <w:t>Evaluatie Wet arbeidsmarkt in balans, deelonderzoek 3: premiedifferentiatie</w:t>
      </w:r>
      <w:r w:rsidRPr="00F36BFE">
        <w:rPr>
          <w:sz w:val="16"/>
          <w:szCs w:val="16"/>
        </w:rPr>
        <w:t xml:space="preserve">, p. 5. Of zie </w:t>
      </w:r>
      <w:r w:rsidRPr="00F36BFE">
        <w:rPr>
          <w:i/>
          <w:iCs/>
          <w:sz w:val="16"/>
          <w:szCs w:val="16"/>
        </w:rPr>
        <w:t xml:space="preserve">Kamerstukken II </w:t>
      </w:r>
      <w:r w:rsidRPr="00F36BFE">
        <w:rPr>
          <w:sz w:val="16"/>
          <w:szCs w:val="16"/>
        </w:rPr>
        <w:t xml:space="preserve">2018/19, 35074, nr. 3, pp. 74-91. </w:t>
      </w:r>
    </w:p>
  </w:footnote>
  <w:footnote w:id="16">
    <w:p w14:paraId="32FB63E3" w14:textId="77777777" w:rsidR="002610EC" w:rsidRDefault="002610EC">
      <w:pPr>
        <w:pStyle w:val="Voetnoottekst"/>
      </w:pPr>
      <w:r>
        <w:rPr>
          <w:rStyle w:val="Voetnootmarkering"/>
        </w:rPr>
        <w:footnoteRef/>
      </w:r>
      <w:r>
        <w:t xml:space="preserve"> </w:t>
      </w:r>
      <w:r w:rsidRPr="003B1A90">
        <w:rPr>
          <w:sz w:val="16"/>
          <w:szCs w:val="16"/>
        </w:rPr>
        <w:t xml:space="preserve">Voor een precieze </w:t>
      </w:r>
      <w:r w:rsidRPr="00F36BFE">
        <w:rPr>
          <w:sz w:val="16"/>
          <w:szCs w:val="16"/>
        </w:rPr>
        <w:t>uitwerking</w:t>
      </w:r>
      <w:r w:rsidRPr="003B1A90">
        <w:rPr>
          <w:sz w:val="16"/>
          <w:szCs w:val="16"/>
        </w:rPr>
        <w:t xml:space="preserve"> zie </w:t>
      </w:r>
      <w:r w:rsidRPr="00F36BFE">
        <w:rPr>
          <w:sz w:val="16"/>
          <w:szCs w:val="16"/>
        </w:rPr>
        <w:t xml:space="preserve">Regioplan (2025) </w:t>
      </w:r>
      <w:r w:rsidRPr="00F36BFE">
        <w:rPr>
          <w:i/>
          <w:iCs/>
          <w:sz w:val="16"/>
          <w:szCs w:val="16"/>
        </w:rPr>
        <w:t xml:space="preserve">Evaluatie Wet arbeidsmarkt in balans, deelonderzoek </w:t>
      </w:r>
      <w:r>
        <w:rPr>
          <w:i/>
          <w:iCs/>
          <w:sz w:val="16"/>
          <w:szCs w:val="16"/>
        </w:rPr>
        <w:t>2</w:t>
      </w:r>
      <w:r w:rsidRPr="00F36BFE">
        <w:rPr>
          <w:i/>
          <w:iCs/>
          <w:sz w:val="16"/>
          <w:szCs w:val="16"/>
        </w:rPr>
        <w:t xml:space="preserve">: </w:t>
      </w:r>
      <w:r>
        <w:rPr>
          <w:i/>
          <w:iCs/>
          <w:sz w:val="16"/>
          <w:szCs w:val="16"/>
        </w:rPr>
        <w:t>ontslagrecht</w:t>
      </w:r>
      <w:r w:rsidRPr="00F36BFE">
        <w:rPr>
          <w:sz w:val="16"/>
          <w:szCs w:val="16"/>
        </w:rPr>
        <w:t>, p</w:t>
      </w:r>
      <w:r>
        <w:rPr>
          <w:sz w:val="16"/>
          <w:szCs w:val="16"/>
        </w:rPr>
        <w:t>p</w:t>
      </w:r>
      <w:r w:rsidRPr="00F36BFE">
        <w:rPr>
          <w:sz w:val="16"/>
          <w:szCs w:val="16"/>
        </w:rPr>
        <w:t xml:space="preserve">. </w:t>
      </w:r>
      <w:r>
        <w:rPr>
          <w:sz w:val="16"/>
          <w:szCs w:val="16"/>
        </w:rPr>
        <w:t>33-35</w:t>
      </w:r>
      <w:r w:rsidRPr="00F36BFE">
        <w:rPr>
          <w:sz w:val="16"/>
          <w:szCs w:val="16"/>
        </w:rPr>
        <w:t xml:space="preserve">. Of zie </w:t>
      </w:r>
      <w:r w:rsidRPr="00F36BFE">
        <w:rPr>
          <w:i/>
          <w:iCs/>
          <w:sz w:val="16"/>
          <w:szCs w:val="16"/>
        </w:rPr>
        <w:t xml:space="preserve">Kamerstukken II </w:t>
      </w:r>
      <w:r w:rsidRPr="00F36BFE">
        <w:rPr>
          <w:sz w:val="16"/>
          <w:szCs w:val="16"/>
        </w:rPr>
        <w:t xml:space="preserve">2018/19, 35074, nr. 3, pp. </w:t>
      </w:r>
      <w:r>
        <w:rPr>
          <w:sz w:val="16"/>
          <w:szCs w:val="16"/>
        </w:rPr>
        <w:t>5</w:t>
      </w:r>
      <w:r w:rsidRPr="00F36BFE">
        <w:rPr>
          <w:sz w:val="16"/>
          <w:szCs w:val="16"/>
        </w:rPr>
        <w:t>4-</w:t>
      </w:r>
      <w:r>
        <w:rPr>
          <w:sz w:val="16"/>
          <w:szCs w:val="16"/>
        </w:rPr>
        <w:t>58</w:t>
      </w:r>
      <w:r w:rsidRPr="00F36BFE">
        <w:rPr>
          <w:sz w:val="16"/>
          <w:szCs w:val="16"/>
        </w:rPr>
        <w:t>.</w:t>
      </w:r>
    </w:p>
  </w:footnote>
  <w:footnote w:id="17">
    <w:p w14:paraId="7133CEDB" w14:textId="77777777" w:rsidR="009A33AE" w:rsidRPr="00F42C6E" w:rsidRDefault="009A33AE">
      <w:pPr>
        <w:pStyle w:val="Voetnoottekst"/>
        <w:rPr>
          <w:sz w:val="16"/>
          <w:szCs w:val="16"/>
        </w:rPr>
      </w:pPr>
      <w:r w:rsidRPr="00F42C6E">
        <w:rPr>
          <w:rStyle w:val="Voetnootmarkering"/>
          <w:sz w:val="16"/>
          <w:szCs w:val="16"/>
        </w:rPr>
        <w:footnoteRef/>
      </w:r>
      <w:r w:rsidRPr="00F42C6E">
        <w:rPr>
          <w:sz w:val="16"/>
          <w:szCs w:val="16"/>
        </w:rPr>
        <w:t xml:space="preserve"> </w:t>
      </w:r>
      <w:r w:rsidRPr="009A33AE">
        <w:rPr>
          <w:sz w:val="16"/>
          <w:szCs w:val="16"/>
        </w:rPr>
        <w:t xml:space="preserve">Voor een precieze uitwerking zie Regioplan (2025) </w:t>
      </w:r>
      <w:r w:rsidRPr="009A33AE">
        <w:rPr>
          <w:i/>
          <w:iCs/>
          <w:sz w:val="16"/>
          <w:szCs w:val="16"/>
        </w:rPr>
        <w:t>Evaluatie Wet arbeidsmarkt in balans, deelonderzoek 2: ontslagrecht</w:t>
      </w:r>
      <w:r w:rsidRPr="009A33AE">
        <w:rPr>
          <w:sz w:val="16"/>
          <w:szCs w:val="16"/>
        </w:rPr>
        <w:t>, pp. 49-50, 61.</w:t>
      </w:r>
    </w:p>
  </w:footnote>
  <w:footnote w:id="18">
    <w:p w14:paraId="6B93AE21" w14:textId="77777777" w:rsidR="00A346FF" w:rsidRDefault="00A346FF">
      <w:pPr>
        <w:pStyle w:val="Voetnoottekst"/>
      </w:pPr>
      <w:r>
        <w:rPr>
          <w:rStyle w:val="Voetnootmarkering"/>
        </w:rPr>
        <w:footnoteRef/>
      </w:r>
      <w:r>
        <w:t xml:space="preserve"> </w:t>
      </w:r>
      <w:r w:rsidRPr="003B1A90">
        <w:rPr>
          <w:sz w:val="16"/>
          <w:szCs w:val="16"/>
        </w:rPr>
        <w:t xml:space="preserve">Voor een precieze </w:t>
      </w:r>
      <w:r w:rsidRPr="00F36BFE">
        <w:rPr>
          <w:sz w:val="16"/>
          <w:szCs w:val="16"/>
        </w:rPr>
        <w:t>uitwerking</w:t>
      </w:r>
      <w:r w:rsidRPr="003B1A90">
        <w:rPr>
          <w:sz w:val="16"/>
          <w:szCs w:val="16"/>
        </w:rPr>
        <w:t xml:space="preserve"> zie </w:t>
      </w:r>
      <w:r w:rsidRPr="00F36BFE">
        <w:rPr>
          <w:sz w:val="16"/>
          <w:szCs w:val="16"/>
        </w:rPr>
        <w:t xml:space="preserve">Regioplan (2025) </w:t>
      </w:r>
      <w:r w:rsidRPr="00F36BFE">
        <w:rPr>
          <w:i/>
          <w:iCs/>
          <w:sz w:val="16"/>
          <w:szCs w:val="16"/>
        </w:rPr>
        <w:t xml:space="preserve">Evaluatie Wet arbeidsmarkt in balans, deelonderzoek </w:t>
      </w:r>
      <w:r>
        <w:rPr>
          <w:i/>
          <w:iCs/>
          <w:sz w:val="16"/>
          <w:szCs w:val="16"/>
        </w:rPr>
        <w:t>2</w:t>
      </w:r>
      <w:r w:rsidRPr="00F36BFE">
        <w:rPr>
          <w:i/>
          <w:iCs/>
          <w:sz w:val="16"/>
          <w:szCs w:val="16"/>
        </w:rPr>
        <w:t xml:space="preserve">: </w:t>
      </w:r>
      <w:r>
        <w:rPr>
          <w:i/>
          <w:iCs/>
          <w:sz w:val="16"/>
          <w:szCs w:val="16"/>
        </w:rPr>
        <w:t>ontslagrecht</w:t>
      </w:r>
      <w:r w:rsidRPr="00F36BFE">
        <w:rPr>
          <w:sz w:val="16"/>
          <w:szCs w:val="16"/>
        </w:rPr>
        <w:t>, p</w:t>
      </w:r>
      <w:r>
        <w:rPr>
          <w:sz w:val="16"/>
          <w:szCs w:val="16"/>
        </w:rPr>
        <w:t>p. 55-57.</w:t>
      </w:r>
    </w:p>
  </w:footnote>
  <w:footnote w:id="19">
    <w:p w14:paraId="1B8C0A86" w14:textId="77777777" w:rsidR="00060218" w:rsidRPr="00CB0DCA" w:rsidRDefault="00060218">
      <w:pPr>
        <w:pStyle w:val="Voetnoottekst"/>
        <w:rPr>
          <w:sz w:val="16"/>
          <w:szCs w:val="16"/>
        </w:rPr>
      </w:pPr>
      <w:r w:rsidRPr="00CB0DCA">
        <w:rPr>
          <w:rStyle w:val="Voetnootmarkering"/>
          <w:sz w:val="16"/>
          <w:szCs w:val="16"/>
        </w:rPr>
        <w:footnoteRef/>
      </w:r>
      <w:r w:rsidRPr="00CB0DCA">
        <w:rPr>
          <w:sz w:val="16"/>
          <w:szCs w:val="16"/>
        </w:rPr>
        <w:t xml:space="preserve"> </w:t>
      </w:r>
      <w:r w:rsidRPr="00060218">
        <w:rPr>
          <w:sz w:val="16"/>
          <w:szCs w:val="16"/>
        </w:rPr>
        <w:t xml:space="preserve">Zie bijvoorbeeld: Regioplan (2025). </w:t>
      </w:r>
      <w:r w:rsidRPr="00060218">
        <w:rPr>
          <w:i/>
          <w:iCs/>
          <w:sz w:val="16"/>
          <w:szCs w:val="16"/>
        </w:rPr>
        <w:t>Syntheserapport Evaluatie Wet arbeidsmarkt in balans</w:t>
      </w:r>
      <w:r w:rsidRPr="00060218">
        <w:rPr>
          <w:sz w:val="16"/>
          <w:szCs w:val="16"/>
        </w:rPr>
        <w:t>.</w:t>
      </w:r>
    </w:p>
  </w:footnote>
  <w:footnote w:id="20">
    <w:p w14:paraId="667C64C2" w14:textId="77777777" w:rsidR="00D165D8" w:rsidRPr="00CB0DCA" w:rsidRDefault="00D165D8" w:rsidP="00D165D8">
      <w:pPr>
        <w:pStyle w:val="Voetnoottekst"/>
        <w:rPr>
          <w:sz w:val="16"/>
          <w:szCs w:val="16"/>
        </w:rPr>
      </w:pPr>
      <w:r w:rsidRPr="00CB0DCA">
        <w:rPr>
          <w:rStyle w:val="Voetnootmarkering"/>
          <w:sz w:val="16"/>
          <w:szCs w:val="16"/>
        </w:rPr>
        <w:footnoteRef/>
      </w:r>
      <w:r w:rsidRPr="00CB0DCA">
        <w:rPr>
          <w:sz w:val="16"/>
          <w:szCs w:val="16"/>
        </w:rPr>
        <w:t xml:space="preserve"> </w:t>
      </w:r>
      <w:hyperlink r:id="rId3" w:history="1">
        <w:r w:rsidRPr="00CB0DCA">
          <w:rPr>
            <w:rStyle w:val="Hyperlink"/>
            <w:sz w:val="16"/>
            <w:szCs w:val="16"/>
          </w:rPr>
          <w:t xml:space="preserve">Rapport 'In wat voor land willen wij werken?' </w:t>
        </w:r>
      </w:hyperlink>
    </w:p>
  </w:footnote>
  <w:footnote w:id="21">
    <w:p w14:paraId="4D325B84" w14:textId="77777777" w:rsidR="00060218" w:rsidRDefault="00060218">
      <w:pPr>
        <w:pStyle w:val="Voetnoottekst"/>
      </w:pPr>
      <w:r w:rsidRPr="00D165D8">
        <w:rPr>
          <w:rStyle w:val="Voetnootmarkering"/>
          <w:sz w:val="16"/>
          <w:szCs w:val="16"/>
        </w:rPr>
        <w:footnoteRef/>
      </w:r>
      <w:r w:rsidRPr="00D165D8">
        <w:rPr>
          <w:sz w:val="16"/>
          <w:szCs w:val="16"/>
        </w:rPr>
        <w:t xml:space="preserve"> </w:t>
      </w:r>
      <w:hyperlink r:id="rId4" w:history="1">
        <w:r w:rsidR="00D165D8" w:rsidRPr="00D165D8">
          <w:rPr>
            <w:rStyle w:val="Hyperlink"/>
            <w:sz w:val="16"/>
            <w:szCs w:val="16"/>
          </w:rPr>
          <w:t>Kamerbrief over voortgang uitwerking arbeidsmarktpakket</w:t>
        </w:r>
        <w:r w:rsidR="00D936C2">
          <w:rPr>
            <w:rStyle w:val="Hyperlink"/>
            <w:sz w:val="16"/>
            <w:szCs w:val="16"/>
          </w:rPr>
          <w:t>.</w:t>
        </w:r>
        <w:r w:rsidR="00D165D8" w:rsidRPr="00D165D8">
          <w:rPr>
            <w:rStyle w:val="Hyperlink"/>
            <w:sz w:val="16"/>
            <w:szCs w:val="16"/>
          </w:rPr>
          <w:t xml:space="preserve"> </w:t>
        </w:r>
      </w:hyperlink>
    </w:p>
  </w:footnote>
  <w:footnote w:id="22">
    <w:p w14:paraId="1FEDA628" w14:textId="77777777" w:rsidR="00A86105" w:rsidRPr="00F46090" w:rsidRDefault="00A86105" w:rsidP="00A86105">
      <w:pPr>
        <w:pStyle w:val="Voetnoottekst"/>
        <w:rPr>
          <w:sz w:val="16"/>
          <w:szCs w:val="16"/>
        </w:rPr>
      </w:pPr>
      <w:r w:rsidRPr="00F46090">
        <w:rPr>
          <w:rStyle w:val="Voetnootmarkering"/>
          <w:sz w:val="16"/>
          <w:szCs w:val="16"/>
        </w:rPr>
        <w:footnoteRef/>
      </w:r>
      <w:r w:rsidRPr="00F46090">
        <w:rPr>
          <w:sz w:val="16"/>
          <w:szCs w:val="16"/>
        </w:rPr>
        <w:t xml:space="preserve"> Zoals ook geschetst wordt in de WRR-onderzoeken ‘Weten is nog geen doen’ (2017) en ‘Grip: Het maatschappelijke belang van persoonlijke controle (2025)</w:t>
      </w:r>
    </w:p>
  </w:footnote>
  <w:footnote w:id="23">
    <w:p w14:paraId="7B0BFFC7" w14:textId="77777777" w:rsidR="00A86105" w:rsidRPr="00F914B5" w:rsidRDefault="00A86105" w:rsidP="00A86105">
      <w:pPr>
        <w:pStyle w:val="Voetnoottekst"/>
        <w:rPr>
          <w:sz w:val="16"/>
          <w:szCs w:val="16"/>
        </w:rPr>
      </w:pPr>
      <w:r w:rsidRPr="00F42C6E">
        <w:rPr>
          <w:rStyle w:val="Voetnootmarkering"/>
          <w:sz w:val="16"/>
          <w:szCs w:val="16"/>
        </w:rPr>
        <w:footnoteRef/>
      </w:r>
      <w:r w:rsidRPr="00F42C6E">
        <w:rPr>
          <w:sz w:val="16"/>
          <w:szCs w:val="16"/>
        </w:rPr>
        <w:t xml:space="preserve"> </w:t>
      </w:r>
      <w:r w:rsidRPr="00CB2198">
        <w:rPr>
          <w:sz w:val="16"/>
          <w:szCs w:val="16"/>
        </w:rPr>
        <w:t>Dit is het eerste experiment op grond van de tijdelijke experimentenwet rechtspleging</w:t>
      </w:r>
      <w:r w:rsidRPr="00F914B5">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6E44" w14:textId="77777777" w:rsidR="009C540A" w:rsidRDefault="009C54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B9FC5" w14:textId="77777777" w:rsidR="00222521" w:rsidRDefault="00EF05BA">
    <w:r>
      <w:rPr>
        <w:noProof/>
      </w:rPr>
      <mc:AlternateContent>
        <mc:Choice Requires="wps">
          <w:drawing>
            <wp:anchor distT="0" distB="0" distL="0" distR="0" simplePos="0" relativeHeight="251652096" behindDoc="0" locked="1" layoutInCell="1" allowOverlap="1" wp14:anchorId="0089D5AB" wp14:editId="42D6BFD6">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EECCADA" w14:textId="77777777" w:rsidR="00EF05BA" w:rsidRDefault="00EF05BA"/>
                      </w:txbxContent>
                    </wps:txbx>
                    <wps:bodyPr vert="horz" wrap="square" lIns="0" tIns="0" rIns="0" bIns="0" anchor="t" anchorCtr="0"/>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eVNEmkAEAAA0DAAAOAAAAZHJzL2Uyb0RvYy54bWysUttu2zAMfS+wfxD0vtgJtl6MOAW2okOBYivQ7gMUWYoNWKJGqrHTry+lxEnRvRV9oShSOjw85PJ6dL3YGqQOfC3ns1IK4zU0nd/U8u/T7ddLKSgq36gevKnlzpC8Xn05Ww6hMgtooW8MCgbxVA2hlm2MoSoK0q1ximYQjOekBXQq8hU3RYNqYHTXF4uyPC8GwCYgaEPE0Zt9Uq4yvrVGxz/WkomiryVzi9litutki9VSVRtUoe30gYb6AAunOs9Fj1A3KirxjN1/UK7TCAQ2zjS4AqzttMk9cDfz8l03j60KJvfC4lA4ykSfB6t/bx/DA4o4/oCRB5gEGQJVxMHUz2jRpZOZCs6zhLujbGaMQnPw28XlxVXJKc25+fn8avE9wRSn3wEp/jLgRHJqiTyWrJba3lPcP52epGIebru+T/ETleTFcT0e+K2h2TFt3jzGawFfpBh4irWkf88KjRT9nWeZ0sgnBydnPTnKa/5ayyjF3v0Z82pMlVnz3MZhP9JQ394zv9MWr14BAAD//wMAUEsDBBQABgAIAAAAIQBrFm3S4AAAAAsBAAAPAAAAZHJzL2Rvd25yZXYueG1sTI/BTsMwEETvSP0Haytxo3ZbpTQhTlUhOCEh0nDg6MRuYjVeh9htw9+znOhxZp9mZ/Ld5Hp2MWOwHiUsFwKYwcZri62Ez+r1YQssRIVa9R6NhB8TYFfM7nKVaX/F0lwOsWUUgiFTEroYh4zz0HTGqbDwg0G6Hf3oVCQ5tlyP6krhrucrITbcKYv0oVODee5MczqcnYT9F5Yv9vu9/iiPpa2qVODb5iTl/XzaPwGLZor/MPzVp+pQUKfan1EH1pNOto+ESliLNAFGRLpckVOTs04E8CLntxuKXwAAAP//AwBQSwECLQAUAAYACAAAACEAtoM4kv4AAADhAQAAEwAAAAAAAAAAAAAAAAAAAAAAW0NvbnRlbnRfVHlwZXNdLnhtbFBLAQItABQABgAIAAAAIQA4/SH/1gAAAJQBAAALAAAAAAAAAAAAAAAAAC8BAABfcmVscy8ucmVsc1BLAQItABQABgAIAAAAIQBeVNEmkAEAAA0DAAAOAAAAAAAAAAAAAAAAAC4CAABkcnMvZTJvRG9jLnhtbFBLAQItABQABgAIAAAAIQBrFm3S4AAAAAsBAAAPAAAAAAAAAAAAAAAAAOoDAABkcnMvZG93bnJldi54bWxQSwUGAAAAAAQABADzAAAA9wQAAAAA"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id="46feee07-aa3c-11ea-a756-beb5f67e67be" o:spid="_x0000_s1026" stroked="f" filled="f">
              <v:textbox inset="0,0,0,0">
                <w:txbxContent>
                  <w:p w:rsidR="00EF05BA" w:rsidRDefault="00EF05BA" w14:paraId="46BCCC92" w14:textId="77777777"/>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38A4FDB" wp14:editId="2C26651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4C5021D" w14:textId="77777777" w:rsidR="00EF05BA" w:rsidRDefault="00EF05BA"/>
                      </w:txbxContent>
                    </wps:txbx>
                    <wps:bodyPr vert="horz" wrap="square" lIns="0" tIns="0" rIns="0" bIns="0" anchor="t" anchorCtr="0"/>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B82LpkgEAABQDAAAOAAAAZHJzL2Uyb0RvYy54bWysUttu2zAMfR/QfxD03tgJtl6MOAW2osOAYhvQ7QMUWYoFWKJGqrGzrx+l1EnRvQ17kY5I6ejwkOu7yQ9ib5AchFYuF7UUJmjoXNi18uePh8sbKSip0KkBgmnlwZC821y8W4+xMSvoYegMCiYJ1IyxlX1Ksakq0r3xihYQTeCkBfQq8RF3VYdqZHY/VKu6vqpGwC4iaEPE0ftjUm4Kv7VGp2/WkkliaCVrS2XFsm7zWm3Wqtmhir3TLzLUP6jwygX+9ER1r5ISz+j+ovJOIxDYtNDgK7DWaVNq4GqW9ZtqnnoVTamFzaF4son+H63+un+K31Gk6SNM3MBsyBipIQ7meiaLPu+sVHCeLTycbDNTEpqD769vrm9rTmnOLa+Wt6sPmaY6v45I6bMBLzJoJXJbiltq/0jpeHW+kj8L8OCGIcfPUjJK03YSrnslcwvdgdXzADJtD/hbipGb2Ur69azQSDF8CexW7vwMcAbbGaig+WkrkxRH+CmVCZkFsPWlmpcxyb19fS4yz8O8+QMAAP//AwBQSwMEFAAGAAgAAAAhAH6EGBrgAAAADQEAAA8AAABkcnMvZG93bnJldi54bWxMj8FOwzAQRO9I/IO1SNyonaKENsSpKgQnJEQaDhyd2E2sxusQu234e7YnetuZHc2+LTazG9jJTMF6lJAsBDCDrdcWOwlf9dvDCliICrUaPBoJvybApry9KVSu/Rkrc9rFjlEJhlxJ6GMcc85D2xunwsKPBmm395NTkeTUcT2pM5W7gS+FyLhTFulCr0bz0pv2sDs6CdtvrF7tz0fzWe0rW9drge/ZQcr7u3n7DCyaOf6H4YJP6FASU+OPqAMbSKerJ4rSkIk0BUaRdbIkq7lYj4kAXhb8+ovyDwAA//8DAFBLAQItABQABgAIAAAAIQC2gziS/gAAAOEBAAATAAAAAAAAAAAAAAAAAAAAAABbQ29udGVudF9UeXBlc10ueG1sUEsBAi0AFAAGAAgAAAAhADj9If/WAAAAlAEAAAsAAAAAAAAAAAAAAAAALwEAAF9yZWxzLy5yZWxzUEsBAi0AFAAGAAgAAAAhAAHzYumSAQAAFAMAAA4AAAAAAAAAAAAAAAAALgIAAGRycy9lMm9Eb2MueG1sUEsBAi0AFAAGAAgAAAAhAH6EGBrgAAAADQEAAA8AAAAAAAAAAAAAAAAA7AMAAGRycy9kb3ducmV2LnhtbFBLBQYAAAAABAAEAPMAAAD5BAAAAAA="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id="46fef0b8-aa3c-11ea-a756-beb5f67e67be" o:spid="_x0000_s1027" stroked="f" filled="f">
              <v:textbox inset="0,0,0,0">
                <w:txbxContent>
                  <w:p w:rsidR="00EF05BA" w:rsidRDefault="00EF05BA" w14:paraId="46BCCC95" w14:textId="77777777"/>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8001537" wp14:editId="163AC93B">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E6D3F59" w14:textId="77777777" w:rsidR="007D19F8" w:rsidRDefault="009C540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type w14:anchorId="58001537" id="_x0000_t202" coordsize="21600,21600" o:spt="202" path="m,l,21600r21600,l21600,xe">
              <v:stroke joinstyle="miter"/>
              <v:path gradientshapeok="t" o:connecttype="rect"/>
            </v:shapetype>
            <v:shape id="46fef06f-aa3c-11ea-a756-beb5f67e67be" o:spid="_x0000_s1028"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1E6D3F59" w14:textId="77777777" w:rsidR="007D19F8" w:rsidRDefault="009C540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7CC59" w14:textId="77777777" w:rsidR="00222521" w:rsidRDefault="00EF05BA">
    <w:pPr>
      <w:spacing w:after="6377" w:line="14" w:lineRule="exact"/>
    </w:pPr>
    <w:r>
      <w:rPr>
        <w:noProof/>
      </w:rPr>
      <mc:AlternateContent>
        <mc:Choice Requires="wps">
          <w:drawing>
            <wp:anchor distT="0" distB="0" distL="0" distR="0" simplePos="0" relativeHeight="251656192" behindDoc="0" locked="1" layoutInCell="1" allowOverlap="1" wp14:anchorId="6846A5A3" wp14:editId="794D49C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1488471" w14:textId="77777777" w:rsidR="00222521" w:rsidRDefault="00EF05BA">
                          <w:pPr>
                            <w:spacing w:line="240" w:lineRule="auto"/>
                          </w:pPr>
                          <w:r>
                            <w:rPr>
                              <w:noProof/>
                            </w:rPr>
                            <w:drawing>
                              <wp:inline distT="0" distB="0" distL="0" distR="0" wp14:anchorId="5F39E003" wp14:editId="4A53B83E">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846A5A3" id="_x0000_t202" coordsize="21600,21600" o:spt="202" path="m,l,21600r21600,l21600,xe">
              <v:stroke joinstyle="miter"/>
              <v:path gradientshapeok="t" o:connecttype="rect"/>
            </v:shapetype>
            <v:shape id="8cd303e7-05ab-474b-9412-44e5272a8f7f" o:spid="_x0000_s1029"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FLlQEAABQDAAAOAAAAZHJzL2Uyb0RvYy54bWysUttuGyEQfY/Uf0C817tO4lxWxpHaKFGk&#10;qo2U9gMwC16khSED8a7z9R1w1o7atygvcJiBw5kzs7wZXc+2GqMFL/h8VnOmvYLW+o3gf37ffb3i&#10;LCbpW9mD14LvdOQ3qy8nyyE0+hQ66FuNjEh8bIYgeJdSaKoqqk47GWcQtKekAXQy0RE3VYtyIHbX&#10;V6d1fVENgG1AUDpGit7uk3xV+I3RKv0yJurEesFJWyorlnWd12q1lM0GZeisepMhP6DCSevp0wPV&#10;rUySvaD9j8pZhRDBpJkCV4ExVulSA1Uzr/+p5qmTQZdayJwYDjbFz6NVP7dP4RFZGr/BSA3Mhgwh&#10;NpGCuZ7RoMs7KWWUJwt3B9v0mJii4PnF5fX1gjNFqfni6qxeLDJNdXwdMKZ7DY5lIDhSW4pbcvsj&#10;pv3V6Ur+zMOd7fscP0rJKI3rkdlW8LNJ5hraHamnASTaDvCVs4GaKXh8fpGoOesfPLmVOz8BnMB6&#10;AtIreip44mwPv6cyIZMAsr5U8zYmubfvz0XmcZhXfwE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X/lRS5UBAAAUAwAA&#10;DgAAAAAAAAAAAAAAAAAuAgAAZHJzL2Uyb0RvYy54bWxQSwECLQAUAAYACAAAACEA7IjYZN8AAAAI&#10;AQAADwAAAAAAAAAAAAAAAADvAwAAZHJzL2Rvd25yZXYueG1sUEsFBgAAAAAEAAQA8wAAAPsEAAAA&#10;AA==&#10;" filled="f" stroked="f">
              <v:textbox inset="0,0,0,0">
                <w:txbxContent>
                  <w:p w14:paraId="61488471" w14:textId="77777777" w:rsidR="00222521" w:rsidRDefault="00EF05BA">
                    <w:pPr>
                      <w:spacing w:line="240" w:lineRule="auto"/>
                    </w:pPr>
                    <w:r>
                      <w:rPr>
                        <w:noProof/>
                      </w:rPr>
                      <w:drawing>
                        <wp:inline distT="0" distB="0" distL="0" distR="0" wp14:anchorId="5F39E003" wp14:editId="4A53B83E">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515841C" wp14:editId="4579EE07">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A840C70" w14:textId="77777777" w:rsidR="00222521" w:rsidRDefault="00EF05BA">
                          <w:pPr>
                            <w:spacing w:line="240" w:lineRule="auto"/>
                          </w:pPr>
                          <w:r>
                            <w:rPr>
                              <w:noProof/>
                            </w:rPr>
                            <w:drawing>
                              <wp:inline distT="0" distB="0" distL="0" distR="0" wp14:anchorId="08D0049C" wp14:editId="2F4D7F3C">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515841C" id="583cb846-a587-474e-9efc-17a024d629a0" o:spid="_x0000_s1030"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4A840C70" w14:textId="77777777" w:rsidR="00222521" w:rsidRDefault="00EF05BA">
                    <w:pPr>
                      <w:spacing w:line="240" w:lineRule="auto"/>
                    </w:pPr>
                    <w:r>
                      <w:rPr>
                        <w:noProof/>
                      </w:rPr>
                      <w:drawing>
                        <wp:inline distT="0" distB="0" distL="0" distR="0" wp14:anchorId="08D0049C" wp14:editId="2F4D7F3C">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1AD63CC" wp14:editId="23DA8079">
              <wp:simplePos x="0" y="0"/>
              <wp:positionH relativeFrom="page">
                <wp:posOffset>1007744</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BA0080E" w14:textId="77777777" w:rsidR="00222521" w:rsidRDefault="00EF05BA">
                          <w:pPr>
                            <w:pStyle w:val="Referentiegegevens"/>
                          </w:pPr>
                          <w:r>
                            <w:t>&gt; Retouradres Postbus 90801 2509 LV  Den Haag</w:t>
                          </w:r>
                        </w:p>
                      </w:txbxContent>
                    </wps:txbx>
                    <wps:bodyPr vert="horz" wrap="square" lIns="0" tIns="0" rIns="0" bIns="0" anchor="t" anchorCtr="0"/>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clKD0lAEAABQDAAAOAAAAZHJzL2Uyb0RvYy54bWysUttuGyEQfY+Uf0C8x7u20lxWxpHaKFWlKImU5AMwC16khSED8a779R1w1q6St6ovcJiBw5kzs7wZXc+2GqMFL/h8VnOmvYLW+o3gry93Z1ecxSR9K3vwWvCdjvxmdXqyHEKjF9BB32pkROJjMwTBu5RCU1VRddrJOIOgPSUNoJOJjripWpQDsbu+WtT1RTUAtgFB6RgpertP8lXhN0ar9GhM1In1gpO2VFYs6zqv1Wopmw3K0Fn1IUP+gwonradPD1S3Mkn2jvYLlbMKIYJJMwWuAmOs0qUGqmZef6rmuZNBl1rInBgONsX/R6sets/hCVkav8NIDcyGDCE2kYK5ntGgyzspZZQnC3cH2/SYmKLg+eXV5XVNKUW5+cX8evEt01TH1wFj+qnBsQwER2pLcUtu72PaX52u5M883Nm+z/GjlIzSuB6ZbQUv/DmyhnZH6mkAibYD/M3ZQM0UPL69S9Sc9b88uZU7PwGcwHoC0it6KnjibA9/pDIhkwCyvlTzMSa5t3+fi8zjMK/+AAAA//8DAFBLAwQUAAYACAAAACEAZGAkV98AAAALAQAADwAAAGRycy9kb3ducmV2LnhtbEyPwU7DMBBE70j8g7VI3KjdCNImxKkqBCekijQcODqxm1iN1yF22/D3XU5wnNmn2ZliM7uBnc0UrEcJy4UAZrD12mIn4bN+e1gDC1GhVoNHI+HHBNiUtzeFyrW/YGXO+9gxCsGQKwl9jGPOeWh741RY+NEg3Q5+ciqSnDquJ3WhcDfwRIiUO2WRPvRqNC+9aY/7k5Ow/cLq1X7vmo/qUNm6zgS+p0cp7+/m7TOwaOb4B8NvfaoOJXVq/Al1YAPpp/WKUAnJSmTAiMiWCTkNOVn6CLws+P8N5RUAAP//AwBQSwECLQAUAAYACAAAACEAtoM4kv4AAADhAQAAEwAAAAAAAAAAAAAAAAAAAAAAW0NvbnRlbnRfVHlwZXNdLnhtbFBLAQItABQABgAIAAAAIQA4/SH/1gAAAJQBAAALAAAAAAAAAAAAAAAAAC8BAABfcmVscy8ucmVsc1BLAQItABQABgAIAAAAIQBclKD0lAEAABQDAAAOAAAAAAAAAAAAAAAAAC4CAABkcnMvZTJvRG9jLnhtbFBLAQItABQABgAIAAAAIQBkYCRX3wAAAAsBAAAPAAAAAAAAAAAAAAAAAO4DAABkcnMvZG93bnJldi54bWxQSwUGAAAAAAQABADzAAAA+gQAAAAA" type="#_x0000_t202" style="position:absolute;margin-left:79.35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id="f053fe88-db2b-430b-bcc5-fbb915a19314" o:spid="_x0000_s1031" stroked="f" filled="f">
              <v:textbox inset="0,0,0,0">
                <w:txbxContent>
                  <w:p w:rsidR="00222521" w:rsidRDefault="00EF05BA" w14:paraId="46BCCC57"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07F6313" wp14:editId="02087D76">
              <wp:simplePos x="0" y="0"/>
              <wp:positionH relativeFrom="page">
                <wp:posOffset>1007744</wp:posOffset>
              </wp:positionH>
              <wp:positionV relativeFrom="page">
                <wp:posOffset>1965325</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471FAC8" w14:textId="77777777" w:rsidR="008F4669" w:rsidRDefault="00EF05BA">
                          <w:r>
                            <w:t xml:space="preserve">De voorzitter van de Tweede Kamer </w:t>
                          </w:r>
                        </w:p>
                        <w:p w14:paraId="43AE9C07" w14:textId="77777777" w:rsidR="00222521" w:rsidRDefault="00EF05BA">
                          <w:r>
                            <w:t>der Staten-Generaal</w:t>
                          </w:r>
                        </w:p>
                        <w:p w14:paraId="1CA49C6D" w14:textId="77777777" w:rsidR="00222521" w:rsidRDefault="008F4669">
                          <w:r>
                            <w:t>Postbus 20018</w:t>
                          </w:r>
                        </w:p>
                        <w:p w14:paraId="7211B9F1" w14:textId="77777777" w:rsidR="00222521" w:rsidRDefault="008F4669">
                          <w:r>
                            <w:t>2500 EA</w:t>
                          </w:r>
                          <w:r w:rsidR="00EF05BA">
                            <w:t xml:space="preserve">  Den Haag</w:t>
                          </w:r>
                        </w:p>
                        <w:p w14:paraId="2D17432B" w14:textId="77777777" w:rsidR="00222521" w:rsidRDefault="00EF05BA">
                          <w:pPr>
                            <w:pStyle w:val="KixBarcode"/>
                          </w:pPr>
                          <w:r>
                            <w:t>2595 BD6</w:t>
                          </w:r>
                        </w:p>
                      </w:txbxContent>
                    </wps:txbx>
                    <wps:bodyPr vert="horz" wrap="square" lIns="0" tIns="0" rIns="0" bIns="0" anchor="t" anchorCtr="0"/>
                  </wps:wsp>
                </a:graphicData>
              </a:graphic>
            </wp:anchor>
          </w:drawing>
        </mc:Choice>
        <mc:Fallback>
          <w:pict>
            <v:shape w14:anchorId="46BCCC4B" id="d302f2a1-bb28-4417-9701-e3b1450e5fb6" o:spid="_x0000_s1032" type="#_x0000_t202" style="position:absolute;margin-left:79.35pt;margin-top:154.75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y1xlAEAABUDAAAOAAAAZHJzL2Uyb0RvYy54bWysUsFuGyEQvUfqPyDu9e5GjZOsjCO1UapI&#10;VRIp7QdgFrxIC0MH4l3n6zPgrB21t6oXeMzA482bWd1MbmA7jdGCF7xZ1Jxpr6Czfiv4r593n684&#10;i0n6Tg7gteB7HfnN+tPZagytPocehk4jIxIf2zEI3qcU2qqKqtdOxgUE7SlpAJ1MdMRt1aEcid0N&#10;1XldL6sRsAsISsdI0dtDkq8LvzFapUdjok5sEJy0pbJiWTd5rdYr2W5Rht6qdxnyH1Q4aT19eqS6&#10;lUmyF7R/UTmrECKYtFDgKjDGKl1qoGqa+o9qnnsZdKmFzInhaFP8f7TqYfccnpCl6StM1MBsyBhi&#10;GymY65kMuryTUkZ5snB/tE1PiSkKfrm8uryuKaUo1zTNxfL6IvNUp+cBY/quwbEMBEfqS7FL7n7E&#10;dLg6X8m/ebizw5DjJy0ZpWkzMdsJvpx1bqDbk3yaQKLtAV85G6mbgsffLxI1Z8O9J7ty62eAM9jM&#10;QHpFTwVPnB3gt1RGZBZA3pdq3uckN/fjucg8TfP6DQAA//8DAFBLAwQUAAYACAAAACEAT6XsneAA&#10;AAALAQAADwAAAGRycy9kb3ducmV2LnhtbEyPwU7DMAyG70i8Q+RJ3Fi6QkfbNZ0mBCcktK4cOKZN&#10;1kZrnNJkW3l7zAmOv/3p9+diO9uBXfTkjUMBq2UETGPrlMFOwEf9ep8C80GikoNDLeBbe9iWtzeF&#10;zJW7YqUvh9AxKkGfSwF9CGPOuW97baVfulEj7Y5usjJQnDquJnmlcjvwOIrW3EqDdKGXo37udXs6&#10;nK2A3SdWL+brvdlXx8rUdRbh2/okxN1i3m2ABT2HPxh+9UkdSnJq3BmVZwPlJH0iVMBDlCXAiMhW&#10;MU0aAY9pEgMvC/7/h/IHAAD//wMAUEsBAi0AFAAGAAgAAAAhALaDOJL+AAAA4QEAABMAAAAAAAAA&#10;AAAAAAAAAAAAAFtDb250ZW50X1R5cGVzXS54bWxQSwECLQAUAAYACAAAACEAOP0h/9YAAACUAQAA&#10;CwAAAAAAAAAAAAAAAAAvAQAAX3JlbHMvLnJlbHNQSwECLQAUAAYACAAAACEAeIMtcZQBAAAVAwAA&#10;DgAAAAAAAAAAAAAAAAAuAgAAZHJzL2Uyb0RvYy54bWxQSwECLQAUAAYACAAAACEAT6XsneAAAAAL&#10;AQAADwAAAAAAAAAAAAAAAADuAwAAZHJzL2Rvd25yZXYueG1sUEsFBgAAAAAEAAQA8wAAAPsEAAAA&#10;AA==&#10;" filled="f" stroked="f">
              <v:textbox inset="0,0,0,0">
                <w:txbxContent>
                  <w:p w14:paraId="23398BF0" w14:textId="77777777" w:rsidR="008F4669" w:rsidRDefault="00EF05BA">
                    <w:r>
                      <w:t xml:space="preserve">De voorzitter van de Tweede Kamer </w:t>
                    </w:r>
                  </w:p>
                  <w:p w14:paraId="46BCCC58" w14:textId="0A240752" w:rsidR="00222521" w:rsidRDefault="00EF05BA">
                    <w:proofErr w:type="gramStart"/>
                    <w:r>
                      <w:t>der</w:t>
                    </w:r>
                    <w:proofErr w:type="gramEnd"/>
                    <w:r>
                      <w:t xml:space="preserve"> Staten-Generaal</w:t>
                    </w:r>
                  </w:p>
                  <w:p w14:paraId="46BCCC59" w14:textId="7ADC76F0" w:rsidR="00222521" w:rsidRDefault="008F4669">
                    <w:r>
                      <w:t>Postbus 20018</w:t>
                    </w:r>
                  </w:p>
                  <w:p w14:paraId="46BCCC5A" w14:textId="6E97AD25" w:rsidR="00222521" w:rsidRDefault="008F4669">
                    <w:r>
                      <w:t>2500 EA</w:t>
                    </w:r>
                    <w:r w:rsidR="00EF05BA">
                      <w:t xml:space="preserve">  Den Haag</w:t>
                    </w:r>
                  </w:p>
                  <w:p w14:paraId="46BCCC5B" w14:textId="77777777" w:rsidR="00222521" w:rsidRDefault="00EF05BA">
                    <w:pPr>
                      <w:pStyle w:val="KixBarcode"/>
                    </w:pPr>
                    <w:r>
                      <w:t>2595 BD6</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AC1DC21" wp14:editId="1A26A3AD">
              <wp:simplePos x="0" y="0"/>
              <wp:positionH relativeFrom="margin">
                <wp:align>left</wp:align>
              </wp:positionH>
              <wp:positionV relativeFrom="page">
                <wp:posOffset>3369310</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22521" w14:paraId="43ED9875" w14:textId="77777777">
                            <w:trPr>
                              <w:trHeight w:val="240"/>
                            </w:trPr>
                            <w:tc>
                              <w:tcPr>
                                <w:tcW w:w="1140" w:type="dxa"/>
                              </w:tcPr>
                              <w:p w14:paraId="5F08DA05" w14:textId="77777777" w:rsidR="00222521" w:rsidRDefault="00EF05BA">
                                <w:r>
                                  <w:t>Datum</w:t>
                                </w:r>
                              </w:p>
                            </w:tc>
                            <w:tc>
                              <w:tcPr>
                                <w:tcW w:w="5918" w:type="dxa"/>
                              </w:tcPr>
                              <w:p w14:paraId="71A0E13B" w14:textId="77777777" w:rsidR="00156AE2" w:rsidRDefault="008F4669">
                                <w:r>
                                  <w:t>26 maart 2026</w:t>
                                </w:r>
                              </w:p>
                            </w:tc>
                          </w:tr>
                          <w:tr w:rsidR="00222521" w14:paraId="710A48E7" w14:textId="77777777">
                            <w:trPr>
                              <w:trHeight w:val="240"/>
                            </w:trPr>
                            <w:tc>
                              <w:tcPr>
                                <w:tcW w:w="1140" w:type="dxa"/>
                              </w:tcPr>
                              <w:p w14:paraId="0CFE9C72" w14:textId="77777777" w:rsidR="00222521" w:rsidRDefault="00EF05BA">
                                <w:r>
                                  <w:t>Betreft</w:t>
                                </w:r>
                              </w:p>
                            </w:tc>
                            <w:tc>
                              <w:tcPr>
                                <w:tcW w:w="5918" w:type="dxa"/>
                              </w:tcPr>
                              <w:p w14:paraId="1EC47006" w14:textId="4636112F" w:rsidR="00156AE2" w:rsidRDefault="0055508A">
                                <w:fldSimple w:instr=" DOCPROPERTY  &quot;iOnderwerp&quot;  \* MERGEFORMAT ">
                                  <w:r w:rsidR="009C540A">
                                    <w:t>Kabinetsreactie evaluatie Wet Arbeidsmarkt in Balans</w:t>
                                  </w:r>
                                </w:fldSimple>
                              </w:p>
                            </w:tc>
                          </w:tr>
                        </w:tbl>
                        <w:p w14:paraId="329BC4FF" w14:textId="77777777" w:rsidR="00EF05BA" w:rsidRDefault="00EF05BA"/>
                      </w:txbxContent>
                    </wps:txbx>
                    <wps:bodyPr vert="horz" wrap="square" lIns="0" tIns="0" rIns="0" bIns="0" anchor="t" anchorCtr="0"/>
                  </wps:wsp>
                </a:graphicData>
              </a:graphic>
            </wp:anchor>
          </w:drawing>
        </mc:Choice>
        <mc:Fallback>
          <w:pict>
            <v:shape w14:anchorId="1AC1DC21" id="1670fa0c-13cb-45ec-92be-ef1f34d237c5" o:spid="_x0000_s1033" type="#_x0000_t202" style="position:absolute;margin-left:0;margin-top:265.3pt;width:377pt;height:25.5pt;z-index:251660288;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uAlAEAABQDAAAOAAAAZHJzL2Uyb0RvYy54bWysUlFPGzEMfp/Ef4jyvt5R2FpOTZEGYkKa&#10;GBLwA9Jc0ot0iYMTetf9epzAtWi8TXtxHDv5/PmzV5ej69lOY7TgBT+d1Zxpr6C1fiv40+PN1yVn&#10;MUnfyh68FnyvI79cn3xZDaHRc+igbzUyAvGxGYLgXUqhqaqoOu1knEHQnpIG0MlEV9xWLcqB0F1f&#10;zev6ezUAtgFB6Rgpev2W5OuCb4xW6bcxUSfWC07cUrFY7Cbbar2SzRZl6Kx6pyH/gYWT1lPRA9S1&#10;TJK9oP0E5axCiGDSTIGrwBirdOmBujmt/+rmoZNBl15InBgOMsX/B6vudg/hHlkaf8BIA8yCDCE2&#10;kYK5n9GgyycxZZQnCfcH2fSYmKLg+WK5uKgppSh3Nj9bfiu6VsffAWP6qcGx7AiONJailtz9iokq&#10;0tPpSS7m4cb2fY4fqWQvjZuR2VbwxURzA+2e2NMCEmwH+IezgYYpeHx+kag56289qZUnPzk4OZvJ&#10;kV7RV8ETZ2/uVSobMhEg6QvF9zXJs/14LzSPy7x+BQAA//8DAFBLAwQUAAYACAAAACEA6CClEt4A&#10;AAAIAQAADwAAAGRycy9kb3ducmV2LnhtbEyPwU7DMBBE70j8g7VI3KhdoKFN41QVghMSahoOHJ14&#10;m0SN1yF22/D3LCc47sxo9k22mVwvzjiGzpOG+UyBQKq97ajR8FG+3i1BhGjImt4TavjGAJv8+ioz&#10;qfUXKvC8j43gEgqp0dDGOKRShrpFZ8LMD0jsHfzoTORzbKQdzYXLXS/vlUqkMx3xh9YM+Nxifdyf&#10;nIbtJxUv3dd7tSsORVeWK0VvyVHr25tpuwYRcYp/YfjFZ3TImanyJ7JB9Bp4SNSweFAJCLafFo+s&#10;VKws5wnIPJP/B+Q/AAAA//8DAFBLAQItABQABgAIAAAAIQC2gziS/gAAAOEBAAATAAAAAAAAAAAA&#10;AAAAAAAAAABbQ29udGVudF9UeXBlc10ueG1sUEsBAi0AFAAGAAgAAAAhADj9If/WAAAAlAEAAAsA&#10;AAAAAAAAAAAAAAAALwEAAF9yZWxzLy5yZWxzUEsBAi0AFAAGAAgAAAAhAEQZq4CUAQAAFAMAAA4A&#10;AAAAAAAAAAAAAAAALgIAAGRycy9lMm9Eb2MueG1sUEsBAi0AFAAGAAgAAAAhAOggpRLeAAAACAEA&#10;AA8AAAAAAAAAAAAAAAAA7gMAAGRycy9kb3ducmV2LnhtbFBLBQYAAAAABAAEAPMAAAD5B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22521" w14:paraId="43ED9875" w14:textId="77777777">
                      <w:trPr>
                        <w:trHeight w:val="240"/>
                      </w:trPr>
                      <w:tc>
                        <w:tcPr>
                          <w:tcW w:w="1140" w:type="dxa"/>
                        </w:tcPr>
                        <w:p w14:paraId="5F08DA05" w14:textId="77777777" w:rsidR="00222521" w:rsidRDefault="00EF05BA">
                          <w:r>
                            <w:t>Datum</w:t>
                          </w:r>
                        </w:p>
                      </w:tc>
                      <w:tc>
                        <w:tcPr>
                          <w:tcW w:w="5918" w:type="dxa"/>
                        </w:tcPr>
                        <w:p w14:paraId="71A0E13B" w14:textId="77777777" w:rsidR="00156AE2" w:rsidRDefault="008F4669">
                          <w:r>
                            <w:t>26 maart 2026</w:t>
                          </w:r>
                        </w:p>
                      </w:tc>
                    </w:tr>
                    <w:tr w:rsidR="00222521" w14:paraId="710A48E7" w14:textId="77777777">
                      <w:trPr>
                        <w:trHeight w:val="240"/>
                      </w:trPr>
                      <w:tc>
                        <w:tcPr>
                          <w:tcW w:w="1140" w:type="dxa"/>
                        </w:tcPr>
                        <w:p w14:paraId="0CFE9C72" w14:textId="77777777" w:rsidR="00222521" w:rsidRDefault="00EF05BA">
                          <w:r>
                            <w:t>Betreft</w:t>
                          </w:r>
                        </w:p>
                      </w:tc>
                      <w:tc>
                        <w:tcPr>
                          <w:tcW w:w="5918" w:type="dxa"/>
                        </w:tcPr>
                        <w:p w14:paraId="1EC47006" w14:textId="4636112F" w:rsidR="00156AE2" w:rsidRDefault="0055508A">
                          <w:fldSimple w:instr=" DOCPROPERTY  &quot;iOnderwerp&quot;  \* MERGEFORMAT ">
                            <w:r w:rsidR="009C540A">
                              <w:t>Kabinetsreactie evaluatie Wet Arbeidsmarkt in Balans</w:t>
                            </w:r>
                          </w:fldSimple>
                        </w:p>
                      </w:tc>
                    </w:tr>
                  </w:tbl>
                  <w:p w14:paraId="329BC4FF" w14:textId="77777777" w:rsidR="00EF05BA" w:rsidRDefault="00EF05BA"/>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5761EB7A" wp14:editId="62939A09">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968C9DB" w14:textId="77777777" w:rsidR="00222521" w:rsidRDefault="00222521">
                          <w:pPr>
                            <w:pStyle w:val="WitregelW1"/>
                          </w:pPr>
                        </w:p>
                        <w:p w14:paraId="14149F2B" w14:textId="77777777" w:rsidR="00222521" w:rsidRPr="008F4669" w:rsidRDefault="00EF05BA">
                          <w:pPr>
                            <w:pStyle w:val="Referentiegegevens"/>
                            <w:rPr>
                              <w:lang w:val="de-DE"/>
                            </w:rPr>
                          </w:pPr>
                          <w:r w:rsidRPr="008F4669">
                            <w:rPr>
                              <w:lang w:val="de-DE"/>
                            </w:rPr>
                            <w:t>Parnassusplein 5</w:t>
                          </w:r>
                        </w:p>
                        <w:p w14:paraId="762AE878" w14:textId="77777777" w:rsidR="00222521" w:rsidRPr="006F4718" w:rsidRDefault="00EF05BA">
                          <w:pPr>
                            <w:pStyle w:val="Referentiegegevens"/>
                            <w:rPr>
                              <w:lang w:val="de-DE"/>
                            </w:rPr>
                          </w:pPr>
                          <w:r w:rsidRPr="006F4718">
                            <w:rPr>
                              <w:lang w:val="de-DE"/>
                            </w:rPr>
                            <w:t>Postbus 90801</w:t>
                          </w:r>
                        </w:p>
                        <w:p w14:paraId="6725381B" w14:textId="77777777" w:rsidR="00222521" w:rsidRPr="006F4718" w:rsidRDefault="00EF05BA">
                          <w:pPr>
                            <w:pStyle w:val="Referentiegegevens"/>
                            <w:rPr>
                              <w:lang w:val="de-DE"/>
                            </w:rPr>
                          </w:pPr>
                          <w:r w:rsidRPr="006F4718">
                            <w:rPr>
                              <w:lang w:val="de-DE"/>
                            </w:rPr>
                            <w:t xml:space="preserve">2509 </w:t>
                          </w:r>
                          <w:r w:rsidR="008F4669" w:rsidRPr="006F4718">
                            <w:rPr>
                              <w:lang w:val="de-DE"/>
                            </w:rPr>
                            <w:t>LV Den</w:t>
                          </w:r>
                          <w:r w:rsidRPr="006F4718">
                            <w:rPr>
                              <w:lang w:val="de-DE"/>
                            </w:rPr>
                            <w:t xml:space="preserve"> Haag</w:t>
                          </w:r>
                        </w:p>
                        <w:p w14:paraId="19E64F09" w14:textId="77777777" w:rsidR="00222521" w:rsidRPr="006F4718" w:rsidRDefault="009C540A">
                          <w:pPr>
                            <w:pStyle w:val="Referentiegegevens"/>
                            <w:rPr>
                              <w:lang w:val="de-DE"/>
                            </w:rPr>
                          </w:pPr>
                          <w:sdt>
                            <w:sdtPr>
                              <w:rPr>
                                <w:lang w:val="de-DE"/>
                              </w:rPr>
                              <w:id w:val="-266771610"/>
                              <w:dataBinding w:prefixMappings="xmlns:ns0='docgen-assistant'" w:xpath="/ns0:CustomXml[1]/ns0:Variables[1]/ns0:Variable[1]/ns0:Value[1]" w:storeItemID="{69D6EEC8-C9E1-4904-8281-341938F2DEB0}"/>
                              <w:text/>
                            </w:sdtPr>
                            <w:sdtEndPr/>
                            <w:sdtContent>
                              <w:r w:rsidR="006F4718" w:rsidRPr="006F4718">
                                <w:rPr>
                                  <w:lang w:val="de-DE"/>
                                </w:rPr>
                                <w:t>www.rijksoverheid.nl</w:t>
                              </w:r>
                            </w:sdtContent>
                          </w:sdt>
                        </w:p>
                        <w:p w14:paraId="3372BCF9" w14:textId="77777777" w:rsidR="00222521" w:rsidRPr="006F4718" w:rsidRDefault="00222521">
                          <w:pPr>
                            <w:pStyle w:val="WitregelW2"/>
                            <w:rPr>
                              <w:lang w:val="de-DE"/>
                            </w:rPr>
                          </w:pPr>
                        </w:p>
                        <w:p w14:paraId="53C878D8" w14:textId="77777777" w:rsidR="00222521" w:rsidRPr="00201456" w:rsidRDefault="00EF05BA">
                          <w:pPr>
                            <w:pStyle w:val="Referentiegegevensbold"/>
                          </w:pPr>
                          <w:r w:rsidRPr="00201456">
                            <w:t>Onze referentie</w:t>
                          </w:r>
                        </w:p>
                        <w:p w14:paraId="4CD0CEE2" w14:textId="1E9E370E" w:rsidR="00156AE2" w:rsidRDefault="0055508A">
                          <w:pPr>
                            <w:pStyle w:val="Referentiegegevens"/>
                          </w:pPr>
                          <w:fldSimple w:instr=" DOCPROPERTY  &quot;iOnsKenmerk&quot;  \* MERGEFORMAT ">
                            <w:r w:rsidR="009C540A">
                              <w:t>2026-0000014694</w:t>
                            </w:r>
                          </w:fldSimple>
                        </w:p>
                        <w:p w14:paraId="019D9AD5" w14:textId="77777777" w:rsidR="00222521" w:rsidRDefault="00222521">
                          <w:pPr>
                            <w:pStyle w:val="WitregelW1"/>
                          </w:pPr>
                        </w:p>
                        <w:p w14:paraId="760E37AE" w14:textId="77777777" w:rsidR="00222521" w:rsidRDefault="00222521">
                          <w:pPr>
                            <w:pStyle w:val="WitregelW1"/>
                          </w:pPr>
                        </w:p>
                        <w:p w14:paraId="1A7B1712" w14:textId="77777777" w:rsidR="00222521" w:rsidRDefault="00EF05BA">
                          <w:pPr>
                            <w:pStyle w:val="Referentiegegevensbold"/>
                          </w:pPr>
                          <w:r>
                            <w:t>Bijlage(n)</w:t>
                          </w:r>
                        </w:p>
                        <w:p w14:paraId="7F30CB5A" w14:textId="77777777" w:rsidR="00222521" w:rsidRDefault="009C540A">
                          <w:pPr>
                            <w:pStyle w:val="Referentiegegevens"/>
                          </w:pPr>
                          <w:sdt>
                            <w:sdtPr>
                              <w:id w:val="-1914534388"/>
                              <w:dataBinding w:prefixMappings="xmlns:ns0='docgen-assistant'" w:xpath="/ns0:CustomXml[1]/ns0:Variables[1]/ns0:Variable[2]/ns0:Value[1]" w:storeItemID="{69D6EEC8-C9E1-4904-8281-341938F2DEB0}"/>
                              <w:text/>
                            </w:sdtPr>
                            <w:sdtEndPr/>
                            <w:sdtContent>
                              <w:r w:rsidR="008F4669">
                                <w:t>5</w:t>
                              </w:r>
                            </w:sdtContent>
                          </w:sdt>
                        </w:p>
                      </w:txbxContent>
                    </wps:txbx>
                    <wps:bodyPr vert="horz" wrap="square" lIns="0" tIns="0" rIns="0" bIns="0" anchor="t" anchorCtr="0"/>
                  </wps:wsp>
                </a:graphicData>
              </a:graphic>
            </wp:anchor>
          </w:drawing>
        </mc:Choice>
        <mc:Fallback>
          <w:pict>
            <v:shape w14:anchorId="5761EB7A" id="aa29ef58-fa5a-4ef1-bc47-43f659f7c670" o:spid="_x0000_s1034"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0968C9DB" w14:textId="77777777" w:rsidR="00222521" w:rsidRDefault="00222521">
                    <w:pPr>
                      <w:pStyle w:val="WitregelW1"/>
                    </w:pPr>
                  </w:p>
                  <w:p w14:paraId="14149F2B" w14:textId="77777777" w:rsidR="00222521" w:rsidRPr="008F4669" w:rsidRDefault="00EF05BA">
                    <w:pPr>
                      <w:pStyle w:val="Referentiegegevens"/>
                      <w:rPr>
                        <w:lang w:val="de-DE"/>
                      </w:rPr>
                    </w:pPr>
                    <w:r w:rsidRPr="008F4669">
                      <w:rPr>
                        <w:lang w:val="de-DE"/>
                      </w:rPr>
                      <w:t>Parnassusplein 5</w:t>
                    </w:r>
                  </w:p>
                  <w:p w14:paraId="762AE878" w14:textId="77777777" w:rsidR="00222521" w:rsidRPr="006F4718" w:rsidRDefault="00EF05BA">
                    <w:pPr>
                      <w:pStyle w:val="Referentiegegevens"/>
                      <w:rPr>
                        <w:lang w:val="de-DE"/>
                      </w:rPr>
                    </w:pPr>
                    <w:r w:rsidRPr="006F4718">
                      <w:rPr>
                        <w:lang w:val="de-DE"/>
                      </w:rPr>
                      <w:t>Postbus 90801</w:t>
                    </w:r>
                  </w:p>
                  <w:p w14:paraId="6725381B" w14:textId="77777777" w:rsidR="00222521" w:rsidRPr="006F4718" w:rsidRDefault="00EF05BA">
                    <w:pPr>
                      <w:pStyle w:val="Referentiegegevens"/>
                      <w:rPr>
                        <w:lang w:val="de-DE"/>
                      </w:rPr>
                    </w:pPr>
                    <w:r w:rsidRPr="006F4718">
                      <w:rPr>
                        <w:lang w:val="de-DE"/>
                      </w:rPr>
                      <w:t xml:space="preserve">2509 </w:t>
                    </w:r>
                    <w:r w:rsidR="008F4669" w:rsidRPr="006F4718">
                      <w:rPr>
                        <w:lang w:val="de-DE"/>
                      </w:rPr>
                      <w:t>LV Den</w:t>
                    </w:r>
                    <w:r w:rsidRPr="006F4718">
                      <w:rPr>
                        <w:lang w:val="de-DE"/>
                      </w:rPr>
                      <w:t xml:space="preserve"> Haag</w:t>
                    </w:r>
                  </w:p>
                  <w:p w14:paraId="19E64F09" w14:textId="77777777" w:rsidR="00222521" w:rsidRPr="006F4718" w:rsidRDefault="009C540A">
                    <w:pPr>
                      <w:pStyle w:val="Referentiegegevens"/>
                      <w:rPr>
                        <w:lang w:val="de-DE"/>
                      </w:rPr>
                    </w:pPr>
                    <w:sdt>
                      <w:sdtPr>
                        <w:rPr>
                          <w:lang w:val="de-DE"/>
                        </w:rPr>
                        <w:id w:val="-266771610"/>
                        <w:dataBinding w:prefixMappings="xmlns:ns0='docgen-assistant'" w:xpath="/ns0:CustomXml[1]/ns0:Variables[1]/ns0:Variable[1]/ns0:Value[1]" w:storeItemID="{69D6EEC8-C9E1-4904-8281-341938F2DEB0}"/>
                        <w:text/>
                      </w:sdtPr>
                      <w:sdtEndPr/>
                      <w:sdtContent>
                        <w:r w:rsidR="006F4718" w:rsidRPr="006F4718">
                          <w:rPr>
                            <w:lang w:val="de-DE"/>
                          </w:rPr>
                          <w:t>www.rijksoverheid.nl</w:t>
                        </w:r>
                      </w:sdtContent>
                    </w:sdt>
                  </w:p>
                  <w:p w14:paraId="3372BCF9" w14:textId="77777777" w:rsidR="00222521" w:rsidRPr="006F4718" w:rsidRDefault="00222521">
                    <w:pPr>
                      <w:pStyle w:val="WitregelW2"/>
                      <w:rPr>
                        <w:lang w:val="de-DE"/>
                      </w:rPr>
                    </w:pPr>
                  </w:p>
                  <w:p w14:paraId="53C878D8" w14:textId="77777777" w:rsidR="00222521" w:rsidRPr="00201456" w:rsidRDefault="00EF05BA">
                    <w:pPr>
                      <w:pStyle w:val="Referentiegegevensbold"/>
                    </w:pPr>
                    <w:r w:rsidRPr="00201456">
                      <w:t>Onze referentie</w:t>
                    </w:r>
                  </w:p>
                  <w:p w14:paraId="4CD0CEE2" w14:textId="1E9E370E" w:rsidR="00156AE2" w:rsidRDefault="0055508A">
                    <w:pPr>
                      <w:pStyle w:val="Referentiegegevens"/>
                    </w:pPr>
                    <w:fldSimple w:instr=" DOCPROPERTY  &quot;iOnsKenmerk&quot;  \* MERGEFORMAT ">
                      <w:r w:rsidR="009C540A">
                        <w:t>2026-0000014694</w:t>
                      </w:r>
                    </w:fldSimple>
                  </w:p>
                  <w:p w14:paraId="019D9AD5" w14:textId="77777777" w:rsidR="00222521" w:rsidRDefault="00222521">
                    <w:pPr>
                      <w:pStyle w:val="WitregelW1"/>
                    </w:pPr>
                  </w:p>
                  <w:p w14:paraId="760E37AE" w14:textId="77777777" w:rsidR="00222521" w:rsidRDefault="00222521">
                    <w:pPr>
                      <w:pStyle w:val="WitregelW1"/>
                    </w:pPr>
                  </w:p>
                  <w:p w14:paraId="1A7B1712" w14:textId="77777777" w:rsidR="00222521" w:rsidRDefault="00EF05BA">
                    <w:pPr>
                      <w:pStyle w:val="Referentiegegevensbold"/>
                    </w:pPr>
                    <w:r>
                      <w:t>Bijlage(n)</w:t>
                    </w:r>
                  </w:p>
                  <w:p w14:paraId="7F30CB5A" w14:textId="77777777" w:rsidR="00222521" w:rsidRDefault="009C540A">
                    <w:pPr>
                      <w:pStyle w:val="Referentiegegevens"/>
                    </w:pPr>
                    <w:sdt>
                      <w:sdtPr>
                        <w:id w:val="-1914534388"/>
                        <w:dataBinding w:prefixMappings="xmlns:ns0='docgen-assistant'" w:xpath="/ns0:CustomXml[1]/ns0:Variables[1]/ns0:Variable[2]/ns0:Value[1]" w:storeItemID="{69D6EEC8-C9E1-4904-8281-341938F2DEB0}"/>
                        <w:text/>
                      </w:sdtPr>
                      <w:sdtEndPr/>
                      <w:sdtContent>
                        <w:r w:rsidR="008F4669">
                          <w:t>5</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38928A1" wp14:editId="4FE88EC4">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98D21ED" w14:textId="77777777" w:rsidR="007D19F8" w:rsidRDefault="009C540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38928A1" id="fc795519-edb4-40fa-b772-922592680a29" o:spid="_x0000_s1035"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398D21ED" w14:textId="77777777" w:rsidR="007D19F8" w:rsidRDefault="009C540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7B9CCB9" wp14:editId="1DEF8EAE">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9FE97E3" w14:textId="77777777" w:rsidR="00EF05BA" w:rsidRDefault="00EF05BA"/>
                      </w:txbxContent>
                    </wps:txbx>
                    <wps:bodyPr vert="horz" wrap="square" lIns="0" tIns="0" rIns="0" bIns="0" anchor="t" anchorCtr="0"/>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TeyyTlQEAABUDAAAOAAAAZHJzL2Uyb0RvYy54bWysUttu2zAMfR/QfxD03tgJul6MOAW2osOAYRvQ7gMUWYoFWKJKqrGzrx+l1MmwvQ17oShSOjw85Pp+8oPYGyQHoZXLRS2FCRo6F3at/PH8eHkrBSUVOjVAMK08GJL3m4t36zE2ZgU9DJ1BwSCBmjG2sk8pNlVFujde0QKiCZy0gF4lvuKu6lCNjO6HalXX19UI2EUEbYg4+nBMyk3Bt9bo9M1aMkkMrWRuqVgsdptttVmrZocq9k6/0VD/wMIrF7joCepBJSVe0f0F5Z1GILBpocFXYK3TpvTA3SzrP7p56lU0pRcWh+JJJvp/sPrr/il+R5GmDzDxALMgY6SGOJj7mSz6fDJTwXmW8HCSzUxJaA5e3dze3NWc0pxbXi/vVu8zTHX+HZHSJwNeZKeVyGMpaqn9F0rHp/OTXCzAoxuGHD9TyV6atpNwHRcpg8uhLXQHps8byLg94E8pRp5mK+nlVaGRYvgcWK48+tnB2dnOjgqav7YySXF0P6ayIjMD1r6087Ynebi/3wvP8zZvfgEAAP//AwBQSwMEFAAGAAgAAAAhAOXjkh/hAAAADQEAAA8AAABkcnMvZG93bnJldi54bWxMj8FOwzAQRO9I/IO1SNyonUIDCXGqCsEJCTUNB45O7CZW43WI3Tb8PdsT3HZmR7Nvi/XsBnYyU7AeJSQLAcxg67XFTsJn/Xb3BCxEhVoNHo2EHxNgXV5fFSrX/oyVOe1ix6gEQ64k9DGOOeeh7Y1TYeFHg7Tb+8mpSHLquJ7UmcrdwJdCpNwpi3ShV6N56U172B2dhM0XVq/2+6PZVvvK1nUm8D09SHl7M2+egUUzx78wXPAJHUpiavwRdWAD6dXjkqI0pGKVAaNIliRkNRfrPnkAXhb8/xflLwAAAP//AwBQSwECLQAUAAYACAAAACEAtoM4kv4AAADhAQAAEwAAAAAAAAAAAAAAAAAAAAAAW0NvbnRlbnRfVHlwZXNdLnhtbFBLAQItABQABgAIAAAAIQA4/SH/1gAAAJQBAAALAAAAAAAAAAAAAAAAAC8BAABfcmVscy8ucmVsc1BLAQItABQABgAIAAAAIQATeyyTlQEAABUDAAAOAAAAAAAAAAAAAAAAAC4CAABkcnMvZTJvRG9jLnhtbFBLAQItABQABgAIAAAAIQDl45If4QAAAA0BAAAPAAAAAAAAAAAAAAAAAO8DAABkcnMvZG93bnJldi54bWxQSwUGAAAAAAQABADzAAAA/QQAAAAA"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id="ea113d41-b39a-4e3b-9a6a-dce66e72abe4" o:spid="_x0000_s1036" stroked="f" filled="f">
              <v:textbox inset="0,0,0,0">
                <w:txbxContent>
                  <w:p w:rsidR="00EF05BA" w:rsidRDefault="00EF05BA" w14:paraId="46BCCC90" w14:textId="777777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2FB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0EA2B9"/>
    <w:multiLevelType w:val="multilevel"/>
    <w:tmpl w:val="90115FC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A7DA916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9DEFAE7"/>
    <w:multiLevelType w:val="multilevel"/>
    <w:tmpl w:val="6D06D1F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AA09A4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B7A805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A7F7D69"/>
    <w:multiLevelType w:val="multilevel"/>
    <w:tmpl w:val="DC8349B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FFCF17CD"/>
    <w:multiLevelType w:val="multilevel"/>
    <w:tmpl w:val="46267C98"/>
    <w:name w:val="Lijst Overeenkomst - Toelichting"/>
    <w:lvl w:ilvl="0">
      <w:start w:val="1"/>
      <w:numFmt w:val="decimal"/>
      <w:pStyle w:val="Lijstniveau1Overeenkomst-Toelichting"/>
      <w:lvlText w:val="%1."/>
      <w:lvlJc w:val="left"/>
      <w:pPr>
        <w:ind w:left="0" w:firstLine="0"/>
      </w:p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0FEC8B2D"/>
    <w:multiLevelType w:val="multilevel"/>
    <w:tmpl w:val="0465C7D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1977B300"/>
    <w:multiLevelType w:val="multilevel"/>
    <w:tmpl w:val="02D0661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24F62805"/>
    <w:multiLevelType w:val="hybridMultilevel"/>
    <w:tmpl w:val="343C5D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A2392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0531326"/>
    <w:multiLevelType w:val="hybridMultilevel"/>
    <w:tmpl w:val="963A92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14B5372"/>
    <w:multiLevelType w:val="hybridMultilevel"/>
    <w:tmpl w:val="CC3EDE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1750F48"/>
    <w:multiLevelType w:val="hybridMultilevel"/>
    <w:tmpl w:val="E1C014D2"/>
    <w:lvl w:ilvl="0" w:tplc="0FD00746">
      <w:start w:val="1"/>
      <w:numFmt w:val="bullet"/>
      <w:lvlText w:val=""/>
      <w:lvlJc w:val="left"/>
      <w:pPr>
        <w:ind w:left="1440" w:hanging="360"/>
      </w:pPr>
      <w:rPr>
        <w:rFonts w:ascii="Symbol" w:hAnsi="Symbol"/>
      </w:rPr>
    </w:lvl>
    <w:lvl w:ilvl="1" w:tplc="5B60D556">
      <w:start w:val="1"/>
      <w:numFmt w:val="bullet"/>
      <w:lvlText w:val=""/>
      <w:lvlJc w:val="left"/>
      <w:pPr>
        <w:ind w:left="1440" w:hanging="360"/>
      </w:pPr>
      <w:rPr>
        <w:rFonts w:ascii="Symbol" w:hAnsi="Symbol"/>
      </w:rPr>
    </w:lvl>
    <w:lvl w:ilvl="2" w:tplc="C494F314">
      <w:start w:val="1"/>
      <w:numFmt w:val="bullet"/>
      <w:lvlText w:val=""/>
      <w:lvlJc w:val="left"/>
      <w:pPr>
        <w:ind w:left="1440" w:hanging="360"/>
      </w:pPr>
      <w:rPr>
        <w:rFonts w:ascii="Symbol" w:hAnsi="Symbol"/>
      </w:rPr>
    </w:lvl>
    <w:lvl w:ilvl="3" w:tplc="FB34C0EC">
      <w:start w:val="1"/>
      <w:numFmt w:val="bullet"/>
      <w:lvlText w:val=""/>
      <w:lvlJc w:val="left"/>
      <w:pPr>
        <w:ind w:left="1440" w:hanging="360"/>
      </w:pPr>
      <w:rPr>
        <w:rFonts w:ascii="Symbol" w:hAnsi="Symbol"/>
      </w:rPr>
    </w:lvl>
    <w:lvl w:ilvl="4" w:tplc="A5D4654A">
      <w:start w:val="1"/>
      <w:numFmt w:val="bullet"/>
      <w:lvlText w:val=""/>
      <w:lvlJc w:val="left"/>
      <w:pPr>
        <w:ind w:left="1440" w:hanging="360"/>
      </w:pPr>
      <w:rPr>
        <w:rFonts w:ascii="Symbol" w:hAnsi="Symbol"/>
      </w:rPr>
    </w:lvl>
    <w:lvl w:ilvl="5" w:tplc="3C980DC0">
      <w:start w:val="1"/>
      <w:numFmt w:val="bullet"/>
      <w:lvlText w:val=""/>
      <w:lvlJc w:val="left"/>
      <w:pPr>
        <w:ind w:left="1440" w:hanging="360"/>
      </w:pPr>
      <w:rPr>
        <w:rFonts w:ascii="Symbol" w:hAnsi="Symbol"/>
      </w:rPr>
    </w:lvl>
    <w:lvl w:ilvl="6" w:tplc="FD7E7C70">
      <w:start w:val="1"/>
      <w:numFmt w:val="bullet"/>
      <w:lvlText w:val=""/>
      <w:lvlJc w:val="left"/>
      <w:pPr>
        <w:ind w:left="1440" w:hanging="360"/>
      </w:pPr>
      <w:rPr>
        <w:rFonts w:ascii="Symbol" w:hAnsi="Symbol"/>
      </w:rPr>
    </w:lvl>
    <w:lvl w:ilvl="7" w:tplc="6CE4BE9C">
      <w:start w:val="1"/>
      <w:numFmt w:val="bullet"/>
      <w:lvlText w:val=""/>
      <w:lvlJc w:val="left"/>
      <w:pPr>
        <w:ind w:left="1440" w:hanging="360"/>
      </w:pPr>
      <w:rPr>
        <w:rFonts w:ascii="Symbol" w:hAnsi="Symbol"/>
      </w:rPr>
    </w:lvl>
    <w:lvl w:ilvl="8" w:tplc="EBF0E7AA">
      <w:start w:val="1"/>
      <w:numFmt w:val="bullet"/>
      <w:lvlText w:val=""/>
      <w:lvlJc w:val="left"/>
      <w:pPr>
        <w:ind w:left="1440" w:hanging="360"/>
      </w:pPr>
      <w:rPr>
        <w:rFonts w:ascii="Symbol" w:hAnsi="Symbol"/>
      </w:rPr>
    </w:lvl>
  </w:abstractNum>
  <w:abstractNum w:abstractNumId="15" w15:restartNumberingAfterBreak="0">
    <w:nsid w:val="39C614AD"/>
    <w:multiLevelType w:val="hybridMultilevel"/>
    <w:tmpl w:val="CB50325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CD90FFB"/>
    <w:multiLevelType w:val="hybridMultilevel"/>
    <w:tmpl w:val="0CF6B82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E823AA1"/>
    <w:multiLevelType w:val="hybridMultilevel"/>
    <w:tmpl w:val="74208B16"/>
    <w:lvl w:ilvl="0" w:tplc="D32CD574">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46A567B0"/>
    <w:multiLevelType w:val="hybridMultilevel"/>
    <w:tmpl w:val="DB5270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A446045"/>
    <w:multiLevelType w:val="multilevel"/>
    <w:tmpl w:val="07273AA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15:restartNumberingAfterBreak="0">
    <w:nsid w:val="690BD6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A9D69BA"/>
    <w:multiLevelType w:val="hybridMultilevel"/>
    <w:tmpl w:val="BE9AAC5A"/>
    <w:lvl w:ilvl="0" w:tplc="A0C634FC">
      <w:start w:val="1"/>
      <w:numFmt w:val="bullet"/>
      <w:lvlText w:val=""/>
      <w:lvlJc w:val="left"/>
      <w:pPr>
        <w:ind w:left="1440" w:hanging="360"/>
      </w:pPr>
      <w:rPr>
        <w:rFonts w:ascii="Symbol" w:hAnsi="Symbol"/>
      </w:rPr>
    </w:lvl>
    <w:lvl w:ilvl="1" w:tplc="1AB60510">
      <w:start w:val="1"/>
      <w:numFmt w:val="bullet"/>
      <w:lvlText w:val=""/>
      <w:lvlJc w:val="left"/>
      <w:pPr>
        <w:ind w:left="1440" w:hanging="360"/>
      </w:pPr>
      <w:rPr>
        <w:rFonts w:ascii="Symbol" w:hAnsi="Symbol"/>
      </w:rPr>
    </w:lvl>
    <w:lvl w:ilvl="2" w:tplc="8758BA8E">
      <w:start w:val="1"/>
      <w:numFmt w:val="bullet"/>
      <w:lvlText w:val=""/>
      <w:lvlJc w:val="left"/>
      <w:pPr>
        <w:ind w:left="1440" w:hanging="360"/>
      </w:pPr>
      <w:rPr>
        <w:rFonts w:ascii="Symbol" w:hAnsi="Symbol"/>
      </w:rPr>
    </w:lvl>
    <w:lvl w:ilvl="3" w:tplc="72D85F3E">
      <w:start w:val="1"/>
      <w:numFmt w:val="bullet"/>
      <w:lvlText w:val=""/>
      <w:lvlJc w:val="left"/>
      <w:pPr>
        <w:ind w:left="1440" w:hanging="360"/>
      </w:pPr>
      <w:rPr>
        <w:rFonts w:ascii="Symbol" w:hAnsi="Symbol"/>
      </w:rPr>
    </w:lvl>
    <w:lvl w:ilvl="4" w:tplc="45427B44">
      <w:start w:val="1"/>
      <w:numFmt w:val="bullet"/>
      <w:lvlText w:val=""/>
      <w:lvlJc w:val="left"/>
      <w:pPr>
        <w:ind w:left="1440" w:hanging="360"/>
      </w:pPr>
      <w:rPr>
        <w:rFonts w:ascii="Symbol" w:hAnsi="Symbol"/>
      </w:rPr>
    </w:lvl>
    <w:lvl w:ilvl="5" w:tplc="73922BD2">
      <w:start w:val="1"/>
      <w:numFmt w:val="bullet"/>
      <w:lvlText w:val=""/>
      <w:lvlJc w:val="left"/>
      <w:pPr>
        <w:ind w:left="1440" w:hanging="360"/>
      </w:pPr>
      <w:rPr>
        <w:rFonts w:ascii="Symbol" w:hAnsi="Symbol"/>
      </w:rPr>
    </w:lvl>
    <w:lvl w:ilvl="6" w:tplc="84982512">
      <w:start w:val="1"/>
      <w:numFmt w:val="bullet"/>
      <w:lvlText w:val=""/>
      <w:lvlJc w:val="left"/>
      <w:pPr>
        <w:ind w:left="1440" w:hanging="360"/>
      </w:pPr>
      <w:rPr>
        <w:rFonts w:ascii="Symbol" w:hAnsi="Symbol"/>
      </w:rPr>
    </w:lvl>
    <w:lvl w:ilvl="7" w:tplc="850A680C">
      <w:start w:val="1"/>
      <w:numFmt w:val="bullet"/>
      <w:lvlText w:val=""/>
      <w:lvlJc w:val="left"/>
      <w:pPr>
        <w:ind w:left="1440" w:hanging="360"/>
      </w:pPr>
      <w:rPr>
        <w:rFonts w:ascii="Symbol" w:hAnsi="Symbol"/>
      </w:rPr>
    </w:lvl>
    <w:lvl w:ilvl="8" w:tplc="2BDE570A">
      <w:start w:val="1"/>
      <w:numFmt w:val="bullet"/>
      <w:lvlText w:val=""/>
      <w:lvlJc w:val="left"/>
      <w:pPr>
        <w:ind w:left="1440" w:hanging="360"/>
      </w:pPr>
      <w:rPr>
        <w:rFonts w:ascii="Symbol" w:hAnsi="Symbol"/>
      </w:rPr>
    </w:lvl>
  </w:abstractNum>
  <w:abstractNum w:abstractNumId="22" w15:restartNumberingAfterBreak="0">
    <w:nsid w:val="70913A03"/>
    <w:multiLevelType w:val="hybridMultilevel"/>
    <w:tmpl w:val="7EBA293C"/>
    <w:lvl w:ilvl="0" w:tplc="5178EDFE">
      <w:start w:val="1"/>
      <w:numFmt w:val="bullet"/>
      <w:lvlText w:val=""/>
      <w:lvlJc w:val="left"/>
      <w:pPr>
        <w:ind w:left="1440" w:hanging="360"/>
      </w:pPr>
      <w:rPr>
        <w:rFonts w:ascii="Symbol" w:hAnsi="Symbol"/>
      </w:rPr>
    </w:lvl>
    <w:lvl w:ilvl="1" w:tplc="CA886AA6">
      <w:start w:val="1"/>
      <w:numFmt w:val="bullet"/>
      <w:lvlText w:val=""/>
      <w:lvlJc w:val="left"/>
      <w:pPr>
        <w:ind w:left="1440" w:hanging="360"/>
      </w:pPr>
      <w:rPr>
        <w:rFonts w:ascii="Symbol" w:hAnsi="Symbol"/>
      </w:rPr>
    </w:lvl>
    <w:lvl w:ilvl="2" w:tplc="C3D69392">
      <w:start w:val="1"/>
      <w:numFmt w:val="bullet"/>
      <w:lvlText w:val=""/>
      <w:lvlJc w:val="left"/>
      <w:pPr>
        <w:ind w:left="1440" w:hanging="360"/>
      </w:pPr>
      <w:rPr>
        <w:rFonts w:ascii="Symbol" w:hAnsi="Symbol"/>
      </w:rPr>
    </w:lvl>
    <w:lvl w:ilvl="3" w:tplc="F55A1A38">
      <w:start w:val="1"/>
      <w:numFmt w:val="bullet"/>
      <w:lvlText w:val=""/>
      <w:lvlJc w:val="left"/>
      <w:pPr>
        <w:ind w:left="1440" w:hanging="360"/>
      </w:pPr>
      <w:rPr>
        <w:rFonts w:ascii="Symbol" w:hAnsi="Symbol"/>
      </w:rPr>
    </w:lvl>
    <w:lvl w:ilvl="4" w:tplc="309ACD50">
      <w:start w:val="1"/>
      <w:numFmt w:val="bullet"/>
      <w:lvlText w:val=""/>
      <w:lvlJc w:val="left"/>
      <w:pPr>
        <w:ind w:left="1440" w:hanging="360"/>
      </w:pPr>
      <w:rPr>
        <w:rFonts w:ascii="Symbol" w:hAnsi="Symbol"/>
      </w:rPr>
    </w:lvl>
    <w:lvl w:ilvl="5" w:tplc="FAA42ED0">
      <w:start w:val="1"/>
      <w:numFmt w:val="bullet"/>
      <w:lvlText w:val=""/>
      <w:lvlJc w:val="left"/>
      <w:pPr>
        <w:ind w:left="1440" w:hanging="360"/>
      </w:pPr>
      <w:rPr>
        <w:rFonts w:ascii="Symbol" w:hAnsi="Symbol"/>
      </w:rPr>
    </w:lvl>
    <w:lvl w:ilvl="6" w:tplc="723020BA">
      <w:start w:val="1"/>
      <w:numFmt w:val="bullet"/>
      <w:lvlText w:val=""/>
      <w:lvlJc w:val="left"/>
      <w:pPr>
        <w:ind w:left="1440" w:hanging="360"/>
      </w:pPr>
      <w:rPr>
        <w:rFonts w:ascii="Symbol" w:hAnsi="Symbol"/>
      </w:rPr>
    </w:lvl>
    <w:lvl w:ilvl="7" w:tplc="ED30E44C">
      <w:start w:val="1"/>
      <w:numFmt w:val="bullet"/>
      <w:lvlText w:val=""/>
      <w:lvlJc w:val="left"/>
      <w:pPr>
        <w:ind w:left="1440" w:hanging="360"/>
      </w:pPr>
      <w:rPr>
        <w:rFonts w:ascii="Symbol" w:hAnsi="Symbol"/>
      </w:rPr>
    </w:lvl>
    <w:lvl w:ilvl="8" w:tplc="C9741EE0">
      <w:start w:val="1"/>
      <w:numFmt w:val="bullet"/>
      <w:lvlText w:val=""/>
      <w:lvlJc w:val="left"/>
      <w:pPr>
        <w:ind w:left="1440" w:hanging="360"/>
      </w:pPr>
      <w:rPr>
        <w:rFonts w:ascii="Symbol" w:hAnsi="Symbol"/>
      </w:rPr>
    </w:lvl>
  </w:abstractNum>
  <w:abstractNum w:abstractNumId="23" w15:restartNumberingAfterBreak="0">
    <w:nsid w:val="71FF01CD"/>
    <w:multiLevelType w:val="hybridMultilevel"/>
    <w:tmpl w:val="53CAD47C"/>
    <w:lvl w:ilvl="0" w:tplc="FFFFFFFF">
      <w:start w:val="1"/>
      <w:numFmt w:val="bullet"/>
      <w:lvlText w:val="•"/>
      <w:lvlJc w:val="left"/>
    </w:lvl>
    <w:lvl w:ilvl="1" w:tplc="0413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8D3030F"/>
    <w:multiLevelType w:val="hybridMultilevel"/>
    <w:tmpl w:val="9C76D2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47420553">
    <w:abstractNumId w:val="9"/>
  </w:num>
  <w:num w:numId="2" w16cid:durableId="658004688">
    <w:abstractNumId w:val="1"/>
  </w:num>
  <w:num w:numId="3" w16cid:durableId="1766530985">
    <w:abstractNumId w:val="8"/>
  </w:num>
  <w:num w:numId="4" w16cid:durableId="1057046189">
    <w:abstractNumId w:val="6"/>
  </w:num>
  <w:num w:numId="5" w16cid:durableId="1083801051">
    <w:abstractNumId w:val="3"/>
  </w:num>
  <w:num w:numId="6" w16cid:durableId="1066494334">
    <w:abstractNumId w:val="19"/>
  </w:num>
  <w:num w:numId="7" w16cid:durableId="302542592">
    <w:abstractNumId w:val="7"/>
  </w:num>
  <w:num w:numId="8" w16cid:durableId="646786927">
    <w:abstractNumId w:val="18"/>
  </w:num>
  <w:num w:numId="9" w16cid:durableId="1932637">
    <w:abstractNumId w:val="4"/>
  </w:num>
  <w:num w:numId="10" w16cid:durableId="909267507">
    <w:abstractNumId w:val="15"/>
  </w:num>
  <w:num w:numId="11" w16cid:durableId="1727028231">
    <w:abstractNumId w:val="2"/>
  </w:num>
  <w:num w:numId="12" w16cid:durableId="1033311974">
    <w:abstractNumId w:val="23"/>
  </w:num>
  <w:num w:numId="13" w16cid:durableId="1502697296">
    <w:abstractNumId w:val="11"/>
  </w:num>
  <w:num w:numId="14" w16cid:durableId="1492409124">
    <w:abstractNumId w:val="20"/>
  </w:num>
  <w:num w:numId="15" w16cid:durableId="1669476969">
    <w:abstractNumId w:val="5"/>
  </w:num>
  <w:num w:numId="16" w16cid:durableId="1434746349">
    <w:abstractNumId w:val="13"/>
  </w:num>
  <w:num w:numId="17" w16cid:durableId="1379472449">
    <w:abstractNumId w:val="0"/>
  </w:num>
  <w:num w:numId="18" w16cid:durableId="1912078669">
    <w:abstractNumId w:val="16"/>
  </w:num>
  <w:num w:numId="19" w16cid:durableId="1053311442">
    <w:abstractNumId w:val="17"/>
  </w:num>
  <w:num w:numId="20" w16cid:durableId="2133546590">
    <w:abstractNumId w:val="14"/>
  </w:num>
  <w:num w:numId="21" w16cid:durableId="1336499299">
    <w:abstractNumId w:val="21"/>
  </w:num>
  <w:num w:numId="22" w16cid:durableId="1991865535">
    <w:abstractNumId w:val="22"/>
  </w:num>
  <w:num w:numId="23" w16cid:durableId="200829367">
    <w:abstractNumId w:val="24"/>
  </w:num>
  <w:num w:numId="24" w16cid:durableId="967660940">
    <w:abstractNumId w:val="12"/>
  </w:num>
  <w:num w:numId="25" w16cid:durableId="18335270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521"/>
    <w:rsid w:val="000021FE"/>
    <w:rsid w:val="000210D5"/>
    <w:rsid w:val="00021154"/>
    <w:rsid w:val="000323F6"/>
    <w:rsid w:val="00053472"/>
    <w:rsid w:val="00060218"/>
    <w:rsid w:val="00063FDF"/>
    <w:rsid w:val="0007658A"/>
    <w:rsid w:val="00085865"/>
    <w:rsid w:val="00087F17"/>
    <w:rsid w:val="0009638F"/>
    <w:rsid w:val="000A3961"/>
    <w:rsid w:val="000B2325"/>
    <w:rsid w:val="000B6D9F"/>
    <w:rsid w:val="000F68EF"/>
    <w:rsid w:val="00102114"/>
    <w:rsid w:val="00104552"/>
    <w:rsid w:val="001057AA"/>
    <w:rsid w:val="001104B9"/>
    <w:rsid w:val="001335CC"/>
    <w:rsid w:val="00144034"/>
    <w:rsid w:val="00156AE2"/>
    <w:rsid w:val="001631AC"/>
    <w:rsid w:val="00171654"/>
    <w:rsid w:val="00184EBF"/>
    <w:rsid w:val="00191F33"/>
    <w:rsid w:val="001A374A"/>
    <w:rsid w:val="001B02C3"/>
    <w:rsid w:val="001C4C00"/>
    <w:rsid w:val="001C6DC6"/>
    <w:rsid w:val="001D6DB7"/>
    <w:rsid w:val="001F0814"/>
    <w:rsid w:val="001F72D2"/>
    <w:rsid w:val="001F7C43"/>
    <w:rsid w:val="00201456"/>
    <w:rsid w:val="00204472"/>
    <w:rsid w:val="00207ADF"/>
    <w:rsid w:val="00222521"/>
    <w:rsid w:val="00236707"/>
    <w:rsid w:val="00241A14"/>
    <w:rsid w:val="00243C2C"/>
    <w:rsid w:val="00251698"/>
    <w:rsid w:val="002610EC"/>
    <w:rsid w:val="00263D90"/>
    <w:rsid w:val="002706E9"/>
    <w:rsid w:val="00277429"/>
    <w:rsid w:val="00282BCC"/>
    <w:rsid w:val="002865F7"/>
    <w:rsid w:val="002B6F42"/>
    <w:rsid w:val="002C18C3"/>
    <w:rsid w:val="002F282E"/>
    <w:rsid w:val="00306D6E"/>
    <w:rsid w:val="0030741F"/>
    <w:rsid w:val="003146EA"/>
    <w:rsid w:val="00325A40"/>
    <w:rsid w:val="0034444B"/>
    <w:rsid w:val="00355949"/>
    <w:rsid w:val="00381531"/>
    <w:rsid w:val="0039453A"/>
    <w:rsid w:val="003D0ED5"/>
    <w:rsid w:val="00407137"/>
    <w:rsid w:val="00412F26"/>
    <w:rsid w:val="0043131A"/>
    <w:rsid w:val="00434978"/>
    <w:rsid w:val="00444C3A"/>
    <w:rsid w:val="004475AB"/>
    <w:rsid w:val="00450C77"/>
    <w:rsid w:val="00462679"/>
    <w:rsid w:val="00474862"/>
    <w:rsid w:val="00480AA6"/>
    <w:rsid w:val="00490E88"/>
    <w:rsid w:val="00497280"/>
    <w:rsid w:val="00497B85"/>
    <w:rsid w:val="004A0D9D"/>
    <w:rsid w:val="004A36DC"/>
    <w:rsid w:val="004A486D"/>
    <w:rsid w:val="004A57D2"/>
    <w:rsid w:val="004A5A1B"/>
    <w:rsid w:val="004B1CE3"/>
    <w:rsid w:val="004B47E2"/>
    <w:rsid w:val="004C0F42"/>
    <w:rsid w:val="004E1E17"/>
    <w:rsid w:val="004F0400"/>
    <w:rsid w:val="004F30A1"/>
    <w:rsid w:val="00511D48"/>
    <w:rsid w:val="00523C48"/>
    <w:rsid w:val="00551776"/>
    <w:rsid w:val="0055508A"/>
    <w:rsid w:val="005559D0"/>
    <w:rsid w:val="0056125A"/>
    <w:rsid w:val="0056307B"/>
    <w:rsid w:val="005656A0"/>
    <w:rsid w:val="00585B9B"/>
    <w:rsid w:val="005A1576"/>
    <w:rsid w:val="005A75FD"/>
    <w:rsid w:val="005D2DC2"/>
    <w:rsid w:val="005D5E99"/>
    <w:rsid w:val="005D6C65"/>
    <w:rsid w:val="00601EDF"/>
    <w:rsid w:val="00603481"/>
    <w:rsid w:val="00617761"/>
    <w:rsid w:val="00631D40"/>
    <w:rsid w:val="00635BD7"/>
    <w:rsid w:val="00637516"/>
    <w:rsid w:val="00654D84"/>
    <w:rsid w:val="0065726B"/>
    <w:rsid w:val="00664662"/>
    <w:rsid w:val="006B1374"/>
    <w:rsid w:val="006C3737"/>
    <w:rsid w:val="006D4388"/>
    <w:rsid w:val="006E1A6A"/>
    <w:rsid w:val="006E3B4F"/>
    <w:rsid w:val="006F33D4"/>
    <w:rsid w:val="006F4718"/>
    <w:rsid w:val="007263AE"/>
    <w:rsid w:val="007434C6"/>
    <w:rsid w:val="00761589"/>
    <w:rsid w:val="00764132"/>
    <w:rsid w:val="0077183F"/>
    <w:rsid w:val="007740C7"/>
    <w:rsid w:val="007751C6"/>
    <w:rsid w:val="00775AE9"/>
    <w:rsid w:val="00786079"/>
    <w:rsid w:val="007A46F8"/>
    <w:rsid w:val="007B0383"/>
    <w:rsid w:val="007D19F8"/>
    <w:rsid w:val="007D224D"/>
    <w:rsid w:val="007D3545"/>
    <w:rsid w:val="007D44BE"/>
    <w:rsid w:val="007D7882"/>
    <w:rsid w:val="007E1E41"/>
    <w:rsid w:val="007E242B"/>
    <w:rsid w:val="0080282B"/>
    <w:rsid w:val="008104AA"/>
    <w:rsid w:val="00827722"/>
    <w:rsid w:val="008365D8"/>
    <w:rsid w:val="008656F5"/>
    <w:rsid w:val="008775FD"/>
    <w:rsid w:val="0088282D"/>
    <w:rsid w:val="008A1DF5"/>
    <w:rsid w:val="008A2C50"/>
    <w:rsid w:val="008B5A28"/>
    <w:rsid w:val="008D53D1"/>
    <w:rsid w:val="008E69CC"/>
    <w:rsid w:val="008F345E"/>
    <w:rsid w:val="008F4669"/>
    <w:rsid w:val="00904792"/>
    <w:rsid w:val="009215D0"/>
    <w:rsid w:val="009232BD"/>
    <w:rsid w:val="00935796"/>
    <w:rsid w:val="00945451"/>
    <w:rsid w:val="00956231"/>
    <w:rsid w:val="009A33AE"/>
    <w:rsid w:val="009A3E85"/>
    <w:rsid w:val="009A6EDC"/>
    <w:rsid w:val="009C540A"/>
    <w:rsid w:val="009C62B1"/>
    <w:rsid w:val="009D0170"/>
    <w:rsid w:val="009D0C4E"/>
    <w:rsid w:val="009E3167"/>
    <w:rsid w:val="009E5A86"/>
    <w:rsid w:val="00A03DD0"/>
    <w:rsid w:val="00A12486"/>
    <w:rsid w:val="00A17ADC"/>
    <w:rsid w:val="00A2153F"/>
    <w:rsid w:val="00A2353A"/>
    <w:rsid w:val="00A346FF"/>
    <w:rsid w:val="00A54F89"/>
    <w:rsid w:val="00A75424"/>
    <w:rsid w:val="00A86105"/>
    <w:rsid w:val="00A91C24"/>
    <w:rsid w:val="00AA6BD8"/>
    <w:rsid w:val="00AF32CD"/>
    <w:rsid w:val="00AF34D0"/>
    <w:rsid w:val="00AF3DCD"/>
    <w:rsid w:val="00AF795E"/>
    <w:rsid w:val="00B07636"/>
    <w:rsid w:val="00B357D6"/>
    <w:rsid w:val="00B37028"/>
    <w:rsid w:val="00B63140"/>
    <w:rsid w:val="00B718A4"/>
    <w:rsid w:val="00B91129"/>
    <w:rsid w:val="00BA2437"/>
    <w:rsid w:val="00BA2722"/>
    <w:rsid w:val="00BD0A13"/>
    <w:rsid w:val="00BE230B"/>
    <w:rsid w:val="00BE4767"/>
    <w:rsid w:val="00C07BC5"/>
    <w:rsid w:val="00C239CE"/>
    <w:rsid w:val="00C25D37"/>
    <w:rsid w:val="00C33456"/>
    <w:rsid w:val="00C430EE"/>
    <w:rsid w:val="00C44125"/>
    <w:rsid w:val="00C61817"/>
    <w:rsid w:val="00C832E7"/>
    <w:rsid w:val="00C92428"/>
    <w:rsid w:val="00CA39A8"/>
    <w:rsid w:val="00CB0DCA"/>
    <w:rsid w:val="00CB2198"/>
    <w:rsid w:val="00CC703F"/>
    <w:rsid w:val="00CE18EC"/>
    <w:rsid w:val="00CE28A8"/>
    <w:rsid w:val="00CE792F"/>
    <w:rsid w:val="00CF6820"/>
    <w:rsid w:val="00CF6E5E"/>
    <w:rsid w:val="00CF7857"/>
    <w:rsid w:val="00D1489E"/>
    <w:rsid w:val="00D1509D"/>
    <w:rsid w:val="00D165D8"/>
    <w:rsid w:val="00D22EBC"/>
    <w:rsid w:val="00D46D9B"/>
    <w:rsid w:val="00D47625"/>
    <w:rsid w:val="00D517AB"/>
    <w:rsid w:val="00D55016"/>
    <w:rsid w:val="00D602F2"/>
    <w:rsid w:val="00D82E57"/>
    <w:rsid w:val="00D90421"/>
    <w:rsid w:val="00D92F8F"/>
    <w:rsid w:val="00D936C2"/>
    <w:rsid w:val="00D95E16"/>
    <w:rsid w:val="00DA172B"/>
    <w:rsid w:val="00DD0362"/>
    <w:rsid w:val="00DE4DA4"/>
    <w:rsid w:val="00DF2C0E"/>
    <w:rsid w:val="00DF5077"/>
    <w:rsid w:val="00DF5189"/>
    <w:rsid w:val="00E01D47"/>
    <w:rsid w:val="00E26205"/>
    <w:rsid w:val="00E3451A"/>
    <w:rsid w:val="00E5343A"/>
    <w:rsid w:val="00E5489B"/>
    <w:rsid w:val="00E56AFF"/>
    <w:rsid w:val="00E60516"/>
    <w:rsid w:val="00E73C69"/>
    <w:rsid w:val="00ED0F6A"/>
    <w:rsid w:val="00ED7E76"/>
    <w:rsid w:val="00EE6640"/>
    <w:rsid w:val="00EF05BA"/>
    <w:rsid w:val="00F17516"/>
    <w:rsid w:val="00F24F56"/>
    <w:rsid w:val="00F30C26"/>
    <w:rsid w:val="00F31215"/>
    <w:rsid w:val="00F36BFE"/>
    <w:rsid w:val="00F37C96"/>
    <w:rsid w:val="00F4206D"/>
    <w:rsid w:val="00F42C6E"/>
    <w:rsid w:val="00F46090"/>
    <w:rsid w:val="00F547D6"/>
    <w:rsid w:val="00F65BBA"/>
    <w:rsid w:val="00F75CF8"/>
    <w:rsid w:val="00F82254"/>
    <w:rsid w:val="00F862C9"/>
    <w:rsid w:val="00F914B5"/>
    <w:rsid w:val="00FA7CE6"/>
    <w:rsid w:val="00FC79D0"/>
    <w:rsid w:val="00FD6F98"/>
    <w:rsid w:val="00FE03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74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tabs>
        <w:tab w:val="num" w:pos="360"/>
      </w:tabs>
      <w:spacing w:before="360"/>
      <w:ind w:left="0" w:firstLine="0"/>
    </w:pPr>
    <w:rPr>
      <w:b/>
    </w:rPr>
  </w:style>
  <w:style w:type="paragraph" w:customStyle="1" w:styleId="Comparitienummer">
    <w:name w:val="Comparitienummer"/>
    <w:basedOn w:val="Standaard"/>
    <w:next w:val="Standaard"/>
    <w:pPr>
      <w:numPr>
        <w:numId w:val="3"/>
      </w:numPr>
      <w:tabs>
        <w:tab w:val="num" w:pos="360"/>
      </w:tabs>
      <w:ind w:left="0" w:firstLine="0"/>
    </w:pPr>
  </w:style>
  <w:style w:type="paragraph" w:customStyle="1" w:styleId="CopyofLijstniveau11">
    <w:name w:val="Copy of Lijst niveau 1 1"/>
    <w:basedOn w:val="Standaard"/>
    <w:next w:val="Lijstniveau1"/>
    <w:uiPriority w:val="3"/>
    <w:qFormat/>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1Overeenkomst-Toelichting">
    <w:name w:val="Kop 1 Overeenkomst - Toelichting"/>
    <w:basedOn w:val="Standaard"/>
    <w:next w:val="Standaard"/>
    <w:uiPriority w:val="1"/>
    <w:qFormat/>
    <w:pPr>
      <w:tabs>
        <w:tab w:val="left" w:pos="0"/>
      </w:tabs>
      <w:spacing w:before="240"/>
      <w:outlineLvl w:val="0"/>
    </w:pPr>
    <w:rPr>
      <w:b/>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pPr>
  </w:style>
  <w:style w:type="paragraph" w:customStyle="1" w:styleId="Lijstniveau1Overeenkomst-Toelichting">
    <w:name w:val="Lijst niveau 1 Overeenkomst - Toelichting"/>
    <w:basedOn w:val="Standaard"/>
    <w:uiPriority w:val="3"/>
    <w:qFormat/>
    <w:pPr>
      <w:numPr>
        <w:numId w:val="7"/>
      </w:numPr>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andenopvullinggrijs">
    <w:name w:val="Tabel rand en opvulling grijs"/>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CCCCCC"/>
    </w:tcPr>
  </w:style>
  <w:style w:type="table" w:customStyle="1" w:styleId="Tabelrandenopvullingwit">
    <w:name w:val="Tabel rand en opvulling wit"/>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FFFFF"/>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F471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F4718"/>
    <w:rPr>
      <w:rFonts w:ascii="Verdana" w:hAnsi="Verdana"/>
      <w:color w:val="000000"/>
      <w:sz w:val="18"/>
      <w:szCs w:val="18"/>
    </w:rPr>
  </w:style>
  <w:style w:type="paragraph" w:styleId="Voettekst">
    <w:name w:val="footer"/>
    <w:basedOn w:val="Standaard"/>
    <w:link w:val="VoettekstChar"/>
    <w:uiPriority w:val="99"/>
    <w:unhideWhenUsed/>
    <w:rsid w:val="006F471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F4718"/>
    <w:rPr>
      <w:rFonts w:ascii="Verdana" w:hAnsi="Verdana"/>
      <w:color w:val="000000"/>
      <w:sz w:val="18"/>
      <w:szCs w:val="18"/>
    </w:rPr>
  </w:style>
  <w:style w:type="paragraph" w:styleId="Lijstalinea">
    <w:name w:val="List Paragraph"/>
    <w:basedOn w:val="Standaard"/>
    <w:uiPriority w:val="34"/>
    <w:semiHidden/>
    <w:rsid w:val="00635BD7"/>
    <w:pPr>
      <w:ind w:left="720"/>
      <w:contextualSpacing/>
    </w:pPr>
  </w:style>
  <w:style w:type="paragraph" w:customStyle="1" w:styleId="Default">
    <w:name w:val="Default"/>
    <w:rsid w:val="00282BCC"/>
    <w:pPr>
      <w:autoSpaceDE w:val="0"/>
      <w:adjustRightInd w:val="0"/>
      <w:textAlignment w:val="auto"/>
    </w:pPr>
    <w:rPr>
      <w:rFonts w:ascii="Calibri" w:hAnsi="Calibri" w:cs="Calibri"/>
      <w:color w:val="000000"/>
      <w:sz w:val="24"/>
      <w:szCs w:val="24"/>
    </w:rPr>
  </w:style>
  <w:style w:type="paragraph" w:styleId="Voetnoottekst">
    <w:name w:val="footnote text"/>
    <w:basedOn w:val="Standaard"/>
    <w:link w:val="VoetnoottekstChar"/>
    <w:uiPriority w:val="99"/>
    <w:semiHidden/>
    <w:unhideWhenUsed/>
    <w:rsid w:val="00ED7E7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D7E76"/>
    <w:rPr>
      <w:rFonts w:ascii="Verdana" w:hAnsi="Verdana"/>
      <w:color w:val="000000"/>
    </w:rPr>
  </w:style>
  <w:style w:type="character" w:styleId="Voetnootmarkering">
    <w:name w:val="footnote reference"/>
    <w:basedOn w:val="Standaardalinea-lettertype"/>
    <w:uiPriority w:val="99"/>
    <w:semiHidden/>
    <w:unhideWhenUsed/>
    <w:rsid w:val="00ED7E76"/>
    <w:rPr>
      <w:vertAlign w:val="superscript"/>
    </w:rPr>
  </w:style>
  <w:style w:type="character" w:styleId="Onopgelostemelding">
    <w:name w:val="Unresolved Mention"/>
    <w:basedOn w:val="Standaardalinea-lettertype"/>
    <w:uiPriority w:val="99"/>
    <w:semiHidden/>
    <w:unhideWhenUsed/>
    <w:rsid w:val="00ED7E76"/>
    <w:rPr>
      <w:color w:val="605E5C"/>
      <w:shd w:val="clear" w:color="auto" w:fill="E1DFDD"/>
    </w:rPr>
  </w:style>
  <w:style w:type="character" w:styleId="Verwijzingopmerking">
    <w:name w:val="annotation reference"/>
    <w:basedOn w:val="Standaardalinea-lettertype"/>
    <w:uiPriority w:val="99"/>
    <w:semiHidden/>
    <w:unhideWhenUsed/>
    <w:rsid w:val="00C07BC5"/>
    <w:rPr>
      <w:sz w:val="16"/>
      <w:szCs w:val="16"/>
    </w:rPr>
  </w:style>
  <w:style w:type="paragraph" w:styleId="Tekstopmerking">
    <w:name w:val="annotation text"/>
    <w:basedOn w:val="Standaard"/>
    <w:link w:val="TekstopmerkingChar"/>
    <w:uiPriority w:val="99"/>
    <w:unhideWhenUsed/>
    <w:rsid w:val="00C07BC5"/>
    <w:pPr>
      <w:spacing w:line="240" w:lineRule="auto"/>
    </w:pPr>
    <w:rPr>
      <w:sz w:val="20"/>
      <w:szCs w:val="20"/>
    </w:rPr>
  </w:style>
  <w:style w:type="character" w:customStyle="1" w:styleId="TekstopmerkingChar">
    <w:name w:val="Tekst opmerking Char"/>
    <w:basedOn w:val="Standaardalinea-lettertype"/>
    <w:link w:val="Tekstopmerking"/>
    <w:uiPriority w:val="99"/>
    <w:rsid w:val="00C07BC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07BC5"/>
    <w:rPr>
      <w:b/>
      <w:bCs/>
    </w:rPr>
  </w:style>
  <w:style w:type="character" w:customStyle="1" w:styleId="OnderwerpvanopmerkingChar">
    <w:name w:val="Onderwerp van opmerking Char"/>
    <w:basedOn w:val="TekstopmerkingChar"/>
    <w:link w:val="Onderwerpvanopmerking"/>
    <w:uiPriority w:val="99"/>
    <w:semiHidden/>
    <w:rsid w:val="00C07BC5"/>
    <w:rPr>
      <w:rFonts w:ascii="Verdana" w:hAnsi="Verdana"/>
      <w:b/>
      <w:bCs/>
      <w:color w:val="000000"/>
    </w:rPr>
  </w:style>
  <w:style w:type="paragraph" w:styleId="Revisie">
    <w:name w:val="Revision"/>
    <w:hidden/>
    <w:uiPriority w:val="99"/>
    <w:semiHidden/>
    <w:rsid w:val="00243C2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439689248">
      <w:bodyDiv w:val="1"/>
      <w:marLeft w:val="0"/>
      <w:marRight w:val="0"/>
      <w:marTop w:val="0"/>
      <w:marBottom w:val="0"/>
      <w:divBdr>
        <w:top w:val="none" w:sz="0" w:space="0" w:color="auto"/>
        <w:left w:val="none" w:sz="0" w:space="0" w:color="auto"/>
        <w:bottom w:val="none" w:sz="0" w:space="0" w:color="auto"/>
        <w:right w:val="none" w:sz="0" w:space="0" w:color="auto"/>
      </w:divBdr>
    </w:div>
    <w:div w:id="601763614">
      <w:bodyDiv w:val="1"/>
      <w:marLeft w:val="0"/>
      <w:marRight w:val="0"/>
      <w:marTop w:val="0"/>
      <w:marBottom w:val="0"/>
      <w:divBdr>
        <w:top w:val="none" w:sz="0" w:space="0" w:color="auto"/>
        <w:left w:val="none" w:sz="0" w:space="0" w:color="auto"/>
        <w:bottom w:val="none" w:sz="0" w:space="0" w:color="auto"/>
        <w:right w:val="none" w:sz="0" w:space="0" w:color="auto"/>
      </w:divBdr>
      <w:divsChild>
        <w:div w:id="1676809492">
          <w:marLeft w:val="0"/>
          <w:marRight w:val="0"/>
          <w:marTop w:val="0"/>
          <w:marBottom w:val="0"/>
          <w:divBdr>
            <w:top w:val="none" w:sz="0" w:space="0" w:color="auto"/>
            <w:left w:val="none" w:sz="0" w:space="0" w:color="auto"/>
            <w:bottom w:val="none" w:sz="0" w:space="0" w:color="auto"/>
            <w:right w:val="none" w:sz="0" w:space="0" w:color="auto"/>
          </w:divBdr>
          <w:divsChild>
            <w:div w:id="1862550732">
              <w:marLeft w:val="0"/>
              <w:marRight w:val="0"/>
              <w:marTop w:val="0"/>
              <w:marBottom w:val="0"/>
              <w:divBdr>
                <w:top w:val="none" w:sz="0" w:space="0" w:color="auto"/>
                <w:left w:val="none" w:sz="0" w:space="0" w:color="auto"/>
                <w:bottom w:val="none" w:sz="0" w:space="0" w:color="auto"/>
                <w:right w:val="none" w:sz="0" w:space="0" w:color="auto"/>
              </w:divBdr>
              <w:divsChild>
                <w:div w:id="1090004253">
                  <w:marLeft w:val="0"/>
                  <w:marRight w:val="0"/>
                  <w:marTop w:val="0"/>
                  <w:marBottom w:val="0"/>
                  <w:divBdr>
                    <w:top w:val="none" w:sz="0" w:space="0" w:color="auto"/>
                    <w:left w:val="none" w:sz="0" w:space="0" w:color="auto"/>
                    <w:bottom w:val="none" w:sz="0" w:space="0" w:color="auto"/>
                    <w:right w:val="none" w:sz="0" w:space="0" w:color="auto"/>
                  </w:divBdr>
                  <w:divsChild>
                    <w:div w:id="230847388">
                      <w:marLeft w:val="0"/>
                      <w:marRight w:val="0"/>
                      <w:marTop w:val="0"/>
                      <w:marBottom w:val="0"/>
                      <w:divBdr>
                        <w:top w:val="none" w:sz="0" w:space="0" w:color="auto"/>
                        <w:left w:val="none" w:sz="0" w:space="0" w:color="auto"/>
                        <w:bottom w:val="none" w:sz="0" w:space="0" w:color="auto"/>
                        <w:right w:val="none" w:sz="0" w:space="0" w:color="auto"/>
                      </w:divBdr>
                      <w:divsChild>
                        <w:div w:id="757101389">
                          <w:marLeft w:val="0"/>
                          <w:marRight w:val="0"/>
                          <w:marTop w:val="0"/>
                          <w:marBottom w:val="0"/>
                          <w:divBdr>
                            <w:top w:val="none" w:sz="0" w:space="0" w:color="auto"/>
                            <w:left w:val="none" w:sz="0" w:space="0" w:color="auto"/>
                            <w:bottom w:val="none" w:sz="0" w:space="0" w:color="auto"/>
                            <w:right w:val="none" w:sz="0" w:space="0" w:color="auto"/>
                          </w:divBdr>
                          <w:divsChild>
                            <w:div w:id="80813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117796">
      <w:bodyDiv w:val="1"/>
      <w:marLeft w:val="0"/>
      <w:marRight w:val="0"/>
      <w:marTop w:val="0"/>
      <w:marBottom w:val="0"/>
      <w:divBdr>
        <w:top w:val="none" w:sz="0" w:space="0" w:color="auto"/>
        <w:left w:val="none" w:sz="0" w:space="0" w:color="auto"/>
        <w:bottom w:val="none" w:sz="0" w:space="0" w:color="auto"/>
        <w:right w:val="none" w:sz="0" w:space="0" w:color="auto"/>
      </w:divBdr>
    </w:div>
    <w:div w:id="736511770">
      <w:bodyDiv w:val="1"/>
      <w:marLeft w:val="0"/>
      <w:marRight w:val="0"/>
      <w:marTop w:val="0"/>
      <w:marBottom w:val="0"/>
      <w:divBdr>
        <w:top w:val="none" w:sz="0" w:space="0" w:color="auto"/>
        <w:left w:val="none" w:sz="0" w:space="0" w:color="auto"/>
        <w:bottom w:val="none" w:sz="0" w:space="0" w:color="auto"/>
        <w:right w:val="none" w:sz="0" w:space="0" w:color="auto"/>
      </w:divBdr>
    </w:div>
    <w:div w:id="822431496">
      <w:bodyDiv w:val="1"/>
      <w:marLeft w:val="0"/>
      <w:marRight w:val="0"/>
      <w:marTop w:val="0"/>
      <w:marBottom w:val="0"/>
      <w:divBdr>
        <w:top w:val="none" w:sz="0" w:space="0" w:color="auto"/>
        <w:left w:val="none" w:sz="0" w:space="0" w:color="auto"/>
        <w:bottom w:val="none" w:sz="0" w:space="0" w:color="auto"/>
        <w:right w:val="none" w:sz="0" w:space="0" w:color="auto"/>
      </w:divBdr>
    </w:div>
    <w:div w:id="831212905">
      <w:bodyDiv w:val="1"/>
      <w:marLeft w:val="0"/>
      <w:marRight w:val="0"/>
      <w:marTop w:val="0"/>
      <w:marBottom w:val="0"/>
      <w:divBdr>
        <w:top w:val="none" w:sz="0" w:space="0" w:color="auto"/>
        <w:left w:val="none" w:sz="0" w:space="0" w:color="auto"/>
        <w:bottom w:val="none" w:sz="0" w:space="0" w:color="auto"/>
        <w:right w:val="none" w:sz="0" w:space="0" w:color="auto"/>
      </w:divBdr>
    </w:div>
    <w:div w:id="836068183">
      <w:bodyDiv w:val="1"/>
      <w:marLeft w:val="0"/>
      <w:marRight w:val="0"/>
      <w:marTop w:val="0"/>
      <w:marBottom w:val="0"/>
      <w:divBdr>
        <w:top w:val="none" w:sz="0" w:space="0" w:color="auto"/>
        <w:left w:val="none" w:sz="0" w:space="0" w:color="auto"/>
        <w:bottom w:val="none" w:sz="0" w:space="0" w:color="auto"/>
        <w:right w:val="none" w:sz="0" w:space="0" w:color="auto"/>
      </w:divBdr>
    </w:div>
    <w:div w:id="959382762">
      <w:bodyDiv w:val="1"/>
      <w:marLeft w:val="0"/>
      <w:marRight w:val="0"/>
      <w:marTop w:val="0"/>
      <w:marBottom w:val="0"/>
      <w:divBdr>
        <w:top w:val="none" w:sz="0" w:space="0" w:color="auto"/>
        <w:left w:val="none" w:sz="0" w:space="0" w:color="auto"/>
        <w:bottom w:val="none" w:sz="0" w:space="0" w:color="auto"/>
        <w:right w:val="none" w:sz="0" w:space="0" w:color="auto"/>
      </w:divBdr>
    </w:div>
    <w:div w:id="998265490">
      <w:bodyDiv w:val="1"/>
      <w:marLeft w:val="0"/>
      <w:marRight w:val="0"/>
      <w:marTop w:val="0"/>
      <w:marBottom w:val="0"/>
      <w:divBdr>
        <w:top w:val="none" w:sz="0" w:space="0" w:color="auto"/>
        <w:left w:val="none" w:sz="0" w:space="0" w:color="auto"/>
        <w:bottom w:val="none" w:sz="0" w:space="0" w:color="auto"/>
        <w:right w:val="none" w:sz="0" w:space="0" w:color="auto"/>
      </w:divBdr>
      <w:divsChild>
        <w:div w:id="943419788">
          <w:marLeft w:val="0"/>
          <w:marRight w:val="0"/>
          <w:marTop w:val="0"/>
          <w:marBottom w:val="0"/>
          <w:divBdr>
            <w:top w:val="none" w:sz="0" w:space="0" w:color="auto"/>
            <w:left w:val="none" w:sz="0" w:space="0" w:color="auto"/>
            <w:bottom w:val="none" w:sz="0" w:space="0" w:color="auto"/>
            <w:right w:val="none" w:sz="0" w:space="0" w:color="auto"/>
          </w:divBdr>
          <w:divsChild>
            <w:div w:id="983001747">
              <w:marLeft w:val="0"/>
              <w:marRight w:val="0"/>
              <w:marTop w:val="0"/>
              <w:marBottom w:val="0"/>
              <w:divBdr>
                <w:top w:val="none" w:sz="0" w:space="0" w:color="auto"/>
                <w:left w:val="none" w:sz="0" w:space="0" w:color="auto"/>
                <w:bottom w:val="none" w:sz="0" w:space="0" w:color="auto"/>
                <w:right w:val="none" w:sz="0" w:space="0" w:color="auto"/>
              </w:divBdr>
              <w:divsChild>
                <w:div w:id="1057051715">
                  <w:marLeft w:val="0"/>
                  <w:marRight w:val="0"/>
                  <w:marTop w:val="0"/>
                  <w:marBottom w:val="0"/>
                  <w:divBdr>
                    <w:top w:val="none" w:sz="0" w:space="0" w:color="auto"/>
                    <w:left w:val="none" w:sz="0" w:space="0" w:color="auto"/>
                    <w:bottom w:val="none" w:sz="0" w:space="0" w:color="auto"/>
                    <w:right w:val="none" w:sz="0" w:space="0" w:color="auto"/>
                  </w:divBdr>
                  <w:divsChild>
                    <w:div w:id="1639140142">
                      <w:marLeft w:val="0"/>
                      <w:marRight w:val="0"/>
                      <w:marTop w:val="0"/>
                      <w:marBottom w:val="0"/>
                      <w:divBdr>
                        <w:top w:val="none" w:sz="0" w:space="0" w:color="auto"/>
                        <w:left w:val="none" w:sz="0" w:space="0" w:color="auto"/>
                        <w:bottom w:val="none" w:sz="0" w:space="0" w:color="auto"/>
                        <w:right w:val="none" w:sz="0" w:space="0" w:color="auto"/>
                      </w:divBdr>
                      <w:divsChild>
                        <w:div w:id="130025922">
                          <w:marLeft w:val="0"/>
                          <w:marRight w:val="0"/>
                          <w:marTop w:val="0"/>
                          <w:marBottom w:val="0"/>
                          <w:divBdr>
                            <w:top w:val="none" w:sz="0" w:space="0" w:color="auto"/>
                            <w:left w:val="none" w:sz="0" w:space="0" w:color="auto"/>
                            <w:bottom w:val="none" w:sz="0" w:space="0" w:color="auto"/>
                            <w:right w:val="none" w:sz="0" w:space="0" w:color="auto"/>
                          </w:divBdr>
                          <w:divsChild>
                            <w:div w:id="18102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777347">
      <w:bodyDiv w:val="1"/>
      <w:marLeft w:val="0"/>
      <w:marRight w:val="0"/>
      <w:marTop w:val="0"/>
      <w:marBottom w:val="0"/>
      <w:divBdr>
        <w:top w:val="none" w:sz="0" w:space="0" w:color="auto"/>
        <w:left w:val="none" w:sz="0" w:space="0" w:color="auto"/>
        <w:bottom w:val="none" w:sz="0" w:space="0" w:color="auto"/>
        <w:right w:val="none" w:sz="0" w:space="0" w:color="auto"/>
      </w:divBdr>
    </w:div>
    <w:div w:id="1060521505">
      <w:bodyDiv w:val="1"/>
      <w:marLeft w:val="0"/>
      <w:marRight w:val="0"/>
      <w:marTop w:val="0"/>
      <w:marBottom w:val="0"/>
      <w:divBdr>
        <w:top w:val="none" w:sz="0" w:space="0" w:color="auto"/>
        <w:left w:val="none" w:sz="0" w:space="0" w:color="auto"/>
        <w:bottom w:val="none" w:sz="0" w:space="0" w:color="auto"/>
        <w:right w:val="none" w:sz="0" w:space="0" w:color="auto"/>
      </w:divBdr>
    </w:div>
    <w:div w:id="1078408111">
      <w:bodyDiv w:val="1"/>
      <w:marLeft w:val="0"/>
      <w:marRight w:val="0"/>
      <w:marTop w:val="0"/>
      <w:marBottom w:val="0"/>
      <w:divBdr>
        <w:top w:val="none" w:sz="0" w:space="0" w:color="auto"/>
        <w:left w:val="none" w:sz="0" w:space="0" w:color="auto"/>
        <w:bottom w:val="none" w:sz="0" w:space="0" w:color="auto"/>
        <w:right w:val="none" w:sz="0" w:space="0" w:color="auto"/>
      </w:divBdr>
    </w:div>
    <w:div w:id="1089159010">
      <w:bodyDiv w:val="1"/>
      <w:marLeft w:val="0"/>
      <w:marRight w:val="0"/>
      <w:marTop w:val="0"/>
      <w:marBottom w:val="0"/>
      <w:divBdr>
        <w:top w:val="none" w:sz="0" w:space="0" w:color="auto"/>
        <w:left w:val="none" w:sz="0" w:space="0" w:color="auto"/>
        <w:bottom w:val="none" w:sz="0" w:space="0" w:color="auto"/>
        <w:right w:val="none" w:sz="0" w:space="0" w:color="auto"/>
      </w:divBdr>
    </w:div>
    <w:div w:id="1230578140">
      <w:bodyDiv w:val="1"/>
      <w:marLeft w:val="0"/>
      <w:marRight w:val="0"/>
      <w:marTop w:val="0"/>
      <w:marBottom w:val="0"/>
      <w:divBdr>
        <w:top w:val="none" w:sz="0" w:space="0" w:color="auto"/>
        <w:left w:val="none" w:sz="0" w:space="0" w:color="auto"/>
        <w:bottom w:val="none" w:sz="0" w:space="0" w:color="auto"/>
        <w:right w:val="none" w:sz="0" w:space="0" w:color="auto"/>
      </w:divBdr>
    </w:div>
    <w:div w:id="1635136706">
      <w:bodyDiv w:val="1"/>
      <w:marLeft w:val="0"/>
      <w:marRight w:val="0"/>
      <w:marTop w:val="0"/>
      <w:marBottom w:val="0"/>
      <w:divBdr>
        <w:top w:val="none" w:sz="0" w:space="0" w:color="auto"/>
        <w:left w:val="none" w:sz="0" w:space="0" w:color="auto"/>
        <w:bottom w:val="none" w:sz="0" w:space="0" w:color="auto"/>
        <w:right w:val="none" w:sz="0" w:space="0" w:color="auto"/>
      </w:divBdr>
    </w:div>
    <w:div w:id="1732800512">
      <w:bodyDiv w:val="1"/>
      <w:marLeft w:val="0"/>
      <w:marRight w:val="0"/>
      <w:marTop w:val="0"/>
      <w:marBottom w:val="0"/>
      <w:divBdr>
        <w:top w:val="none" w:sz="0" w:space="0" w:color="auto"/>
        <w:left w:val="none" w:sz="0" w:space="0" w:color="auto"/>
        <w:bottom w:val="none" w:sz="0" w:space="0" w:color="auto"/>
        <w:right w:val="none" w:sz="0" w:space="0" w:color="auto"/>
      </w:divBdr>
    </w:div>
    <w:div w:id="1765805550">
      <w:bodyDiv w:val="1"/>
      <w:marLeft w:val="0"/>
      <w:marRight w:val="0"/>
      <w:marTop w:val="0"/>
      <w:marBottom w:val="0"/>
      <w:divBdr>
        <w:top w:val="none" w:sz="0" w:space="0" w:color="auto"/>
        <w:left w:val="none" w:sz="0" w:space="0" w:color="auto"/>
        <w:bottom w:val="none" w:sz="0" w:space="0" w:color="auto"/>
        <w:right w:val="none" w:sz="0" w:space="0" w:color="auto"/>
      </w:divBdr>
    </w:div>
    <w:div w:id="1936669078">
      <w:bodyDiv w:val="1"/>
      <w:marLeft w:val="0"/>
      <w:marRight w:val="0"/>
      <w:marTop w:val="0"/>
      <w:marBottom w:val="0"/>
      <w:divBdr>
        <w:top w:val="none" w:sz="0" w:space="0" w:color="auto"/>
        <w:left w:val="none" w:sz="0" w:space="0" w:color="auto"/>
        <w:bottom w:val="none" w:sz="0" w:space="0" w:color="auto"/>
        <w:right w:val="none" w:sz="0" w:space="0" w:color="auto"/>
      </w:divBdr>
    </w:div>
    <w:div w:id="2141066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23" Type="http://schemas.openxmlformats.org/officeDocument/2006/relationships/webSetting" Target="webSettings0.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0/01/23/rapport-in-wat-voor-land-willen-wij-werken" TargetMode="External"/><Relationship Id="rId2" Type="http://schemas.openxmlformats.org/officeDocument/2006/relationships/hyperlink" Target="https://www.rijksoverheid.nl/onderwerpen/arbeidsovereenkomst-en-cao/plannen-kabinet-voor-meer-balans-tussen-vast-werk-en-flexwerk" TargetMode="External"/><Relationship Id="rId1" Type="http://schemas.openxmlformats.org/officeDocument/2006/relationships/hyperlink" Target="https://www.rijksoverheid.nl/onderwerpen/arbeidsovereenkomst-en-cao/plannen-kabinet-voor-meer-balans-tussen-vast-werk-en-flexwerk" TargetMode="External"/><Relationship Id="rId4" Type="http://schemas.openxmlformats.org/officeDocument/2006/relationships/hyperlink" Target="https://www.rijksoverheid.nl/documenten/kamerstukken/2023/04/03/kamerbrief-voortgang-uitwerking-arbeidsmarktpakke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3410</ap:Words>
  <ap:Characters>18757</ap:Characters>
  <ap:DocSecurity>0</ap:DocSecurity>
  <ap:Lines>156</ap:Lines>
  <ap:Paragraphs>44</ap:Paragraphs>
  <ap:ScaleCrop>false</ap:ScaleCrop>
  <ap:HeadingPairs>
    <vt:vector baseType="variant" size="2">
      <vt:variant>
        <vt:lpstr>Titel</vt:lpstr>
      </vt:variant>
      <vt:variant>
        <vt:i4>1</vt:i4>
      </vt:variant>
    </vt:vector>
  </ap:HeadingPairs>
  <ap:TitlesOfParts>
    <vt:vector baseType="lpstr" size="1">
      <vt:lpstr>Brief - Kabinetsreactie evaluatie Wet Arbeidsmarkt in Balans</vt:lpstr>
    </vt:vector>
  </ap:TitlesOfParts>
  <ap:LinksUpToDate>false</ap:LinksUpToDate>
  <ap:CharactersWithSpaces>22123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2025-11-19T13:35:00.0000000Z</lastPrinted>
  <dcterms:created xsi:type="dcterms:W3CDTF">2026-03-26T10:58:00.0000000Z</dcterms:created>
  <dcterms:modified xsi:type="dcterms:W3CDTF">2026-03-26T11:29:00.0000000Z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Kabinetsreactie evaluatie Wet Arbeidsmarkt in Balans</vt:lpwstr>
  </property>
  <property fmtid="{D5CDD505-2E9C-101B-9397-08002B2CF9AE}" pid="5" name="Publicatiedatum">
    <vt:lpwstr/>
  </property>
  <property fmtid="{D5CDD505-2E9C-101B-9397-08002B2CF9AE}" pid="6" name="Verantwoordelijke organisatie">
    <vt:lpwstr>Directie Arbeidsverhoudingen</vt:lpwstr>
  </property>
  <property fmtid="{D5CDD505-2E9C-101B-9397-08002B2CF9AE}" pid="7" name="Taal">
    <vt:lpwstr>nl_NL</vt:lpwstr>
  </property>
  <property fmtid="{D5CDD505-2E9C-101B-9397-08002B2CF9AE}" pid="8" name="Inhoudsindicatie">
    <vt:lpwstr>Kabinetsreactie evaluatie wet arbeidsmarkt in balans</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17 november 2025</vt:lpwstr>
  </property>
  <property fmtid="{D5CDD505-2E9C-101B-9397-08002B2CF9AE}" pid="13" name="Opgesteld door, Naam">
    <vt:lpwstr>Tijs Creijghton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iOnderwerp">
    <vt:lpwstr>Kabinetsreactie evaluatie Wet Arbeidsmarkt in Balans</vt:lpwstr>
  </property>
  <property fmtid="{D5CDD505-2E9C-101B-9397-08002B2CF9AE}" pid="30" name="iOnsKenmerk">
    <vt:lpwstr>2026-0000014694</vt:lpwstr>
  </property>
  <property fmtid="{D5CDD505-2E9C-101B-9397-08002B2CF9AE}" pid="31" name="iDatum">
    <vt:lpwstr>14-10-2025</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iAdressering">
    <vt:lpwstr/>
  </property>
</Properties>
</file>