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1D280B"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33E1A5DB">
            <w:pPr>
              <w:pStyle w:val="Amendement"/>
              <w:tabs>
                <w:tab w:val="clear" w:pos="3310"/>
                <w:tab w:val="clear" w:pos="3600"/>
              </w:tabs>
              <w:rPr>
                <w:rFonts w:ascii="Times New Roman" w:hAnsi="Times New Roman"/>
              </w:rPr>
            </w:pPr>
            <w:r w:rsidRPr="00C035D4">
              <w:rPr>
                <w:rFonts w:ascii="Times New Roman" w:hAnsi="Times New Roman"/>
              </w:rPr>
              <w:t xml:space="preserve">Nr. </w:t>
            </w:r>
            <w:r w:rsidR="00AF1DF9">
              <w:rPr>
                <w:rFonts w:ascii="Times New Roman" w:hAnsi="Times New Roman"/>
              </w:rPr>
              <w:t>15</w:t>
            </w:r>
          </w:p>
        </w:tc>
        <w:tc>
          <w:tcPr>
            <w:tcW w:w="7371" w:type="dxa"/>
            <w:gridSpan w:val="2"/>
          </w:tcPr>
          <w:p w:rsidRPr="00C035D4" w:rsidR="003C21AC" w:rsidP="006E0971" w:rsidRDefault="003C21AC" w14:paraId="5E35493E" w14:textId="4AA8BBC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C0571">
              <w:rPr>
                <w:rFonts w:ascii="Times New Roman" w:hAnsi="Times New Roman"/>
                <w:caps/>
              </w:rPr>
              <w:t>Westerveld</w:t>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6F811B5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21FB2">
              <w:rPr>
                <w:rFonts w:ascii="Times New Roman" w:hAnsi="Times New Roman"/>
                <w:b w:val="0"/>
              </w:rPr>
              <w:t>26 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7777777">
            <w:pPr>
              <w:ind w:firstLine="284"/>
            </w:pPr>
            <w:r w:rsidRPr="00EA69AC">
              <w:t>De ondergetekende stelt het volgende amendement voor:</w:t>
            </w:r>
          </w:p>
        </w:tc>
      </w:tr>
    </w:tbl>
    <w:p w:rsidR="00F1480B" w:rsidP="00F1480B" w:rsidRDefault="00F1480B" w14:paraId="48DFFBD7" w14:textId="77777777"/>
    <w:p w:rsidR="00EB5933" w:rsidP="00F1480B" w:rsidRDefault="00EB5933" w14:paraId="367AB81C" w14:textId="1CF5DDDF">
      <w:r>
        <w:t>I</w:t>
      </w:r>
    </w:p>
    <w:p w:rsidR="00EB5933" w:rsidP="00F1480B" w:rsidRDefault="00EB5933" w14:paraId="76E9DF31" w14:textId="77777777"/>
    <w:p w:rsidR="006B4196" w:rsidP="008B0D74" w:rsidRDefault="00DC7C25" w14:paraId="245335C5" w14:textId="12AFE5EE">
      <w:r>
        <w:tab/>
        <w:t>Na artikel I, onderdeel D, wordt een onderdeel ingevoegd, luidende:</w:t>
      </w:r>
    </w:p>
    <w:p w:rsidR="00DC7C25" w:rsidP="008B0D74" w:rsidRDefault="00DC7C25" w14:paraId="48245A3F" w14:textId="77777777"/>
    <w:p w:rsidR="00DC7C25" w:rsidP="008B0D74" w:rsidRDefault="00DC7C25" w14:paraId="191AA422" w14:textId="5B0CA492">
      <w:r>
        <w:t>Da</w:t>
      </w:r>
    </w:p>
    <w:p w:rsidR="009C1F24" w:rsidP="009C1F24" w:rsidRDefault="009C1F24" w14:paraId="6C09012A" w14:textId="348F57B3"/>
    <w:p w:rsidR="009C1F24" w:rsidP="009C1F24" w:rsidRDefault="00DC7C25" w14:paraId="7C666A5D" w14:textId="45428B95">
      <w:r>
        <w:tab/>
        <w:t>A</w:t>
      </w:r>
      <w:r w:rsidR="009C1F24">
        <w:t>an a</w:t>
      </w:r>
      <w:r>
        <w:t>rtikel 16</w:t>
      </w:r>
      <w:r w:rsidR="009C1F24">
        <w:t xml:space="preserve">, </w:t>
      </w:r>
      <w:r w:rsidR="00FF24F9">
        <w:t>vierde lid</w:t>
      </w:r>
      <w:r w:rsidR="009C1F24">
        <w:t>,</w:t>
      </w:r>
      <w:r w:rsidR="00FF24F9">
        <w:t xml:space="preserve"> wordt</w:t>
      </w:r>
      <w:r w:rsidR="004717A1">
        <w:t>, onder vervanging van de punt aan het slot van onderdeel e door een puntkomma, een onderdeel toegevoegd, luidende:</w:t>
      </w:r>
      <w:r w:rsidR="009C1F24">
        <w:tab/>
      </w:r>
    </w:p>
    <w:p w:rsidR="009C1F24" w:rsidP="009C1F24" w:rsidRDefault="004717A1" w14:paraId="3CD48813" w14:textId="009B5469">
      <w:pPr>
        <w:ind w:firstLine="284"/>
      </w:pPr>
      <w:r>
        <w:t xml:space="preserve">f. </w:t>
      </w:r>
      <w:r w:rsidR="0056173A">
        <w:t xml:space="preserve">de wijze waarop de ambtenaren </w:t>
      </w:r>
      <w:r w:rsidR="005C5541">
        <w:t xml:space="preserve">de hoofden ondersteunen bij het voorkomen van </w:t>
      </w:r>
      <w:r w:rsidR="009C1F24">
        <w:t>verzuim van les- en praktijktijd.</w:t>
      </w:r>
    </w:p>
    <w:p w:rsidR="00DC7C25" w:rsidP="008B0D74" w:rsidRDefault="00DC7C25" w14:paraId="5D94BB79" w14:textId="77777777"/>
    <w:p w:rsidR="009C6B43" w:rsidP="009C6B43" w:rsidRDefault="009C6B43" w14:paraId="69E1AF47" w14:textId="5B299FA2">
      <w:r>
        <w:t>II</w:t>
      </w:r>
    </w:p>
    <w:p w:rsidR="009C6B43" w:rsidP="009C6B43" w:rsidRDefault="009C6B43" w14:paraId="120E31C1" w14:textId="77777777"/>
    <w:p w:rsidR="009C6B43" w:rsidP="009C6B43" w:rsidRDefault="009C6B43" w14:paraId="45976F5D" w14:textId="338F4C95">
      <w:r>
        <w:tab/>
        <w:t>Na artikel I</w:t>
      </w:r>
      <w:r w:rsidR="006E7938">
        <w:t>I</w:t>
      </w:r>
      <w:r>
        <w:t>, onderdeel D, wordt een onderdeel ingevoegd, luidende:</w:t>
      </w:r>
    </w:p>
    <w:p w:rsidR="009C6B43" w:rsidP="009C6B43" w:rsidRDefault="009C6B43" w14:paraId="5D9809BE" w14:textId="77777777"/>
    <w:p w:rsidR="009C6B43" w:rsidP="009C6B43" w:rsidRDefault="009C6B43" w14:paraId="2CBA9863" w14:textId="77777777">
      <w:r>
        <w:t>Da</w:t>
      </w:r>
    </w:p>
    <w:p w:rsidR="009C6B43" w:rsidP="009C6B43" w:rsidRDefault="009C6B43" w14:paraId="0D74EA0E" w14:textId="77777777"/>
    <w:p w:rsidR="009C6B43" w:rsidP="009C1F24" w:rsidRDefault="009C6B43" w14:paraId="04D1ADEA" w14:textId="667125C4">
      <w:r>
        <w:tab/>
        <w:t>A</w:t>
      </w:r>
      <w:r w:rsidR="009C1F24">
        <w:t>an a</w:t>
      </w:r>
      <w:r>
        <w:t xml:space="preserve">rtikel 28 vierde lid wordt, onder vervanging van de punt aan het slot van onderdeel </w:t>
      </w:r>
      <w:r w:rsidR="006210F2">
        <w:t>d</w:t>
      </w:r>
      <w:r>
        <w:t xml:space="preserve"> door een puntkomma, een onderdeel toegevoegd, luidende:</w:t>
      </w:r>
    </w:p>
    <w:p w:rsidR="009C6B43" w:rsidP="009C6B43" w:rsidRDefault="006210F2" w14:paraId="7B098FFE" w14:textId="1DC2C398">
      <w:pPr>
        <w:ind w:firstLine="284"/>
      </w:pPr>
      <w:r>
        <w:t>e</w:t>
      </w:r>
      <w:r w:rsidR="009C6B43">
        <w:t xml:space="preserve">. de wijze waarop de ambtenaren </w:t>
      </w:r>
      <w:r w:rsidR="009C1F24">
        <w:t>de hoofden ondersteunen bij het voorkomen van verzuim van les- en praktijktijd</w:t>
      </w:r>
      <w:r w:rsidR="009C6B43">
        <w:t>.</w:t>
      </w:r>
    </w:p>
    <w:p w:rsidR="009C6B43" w:rsidP="008B0D74" w:rsidRDefault="009C6B43" w14:paraId="630302B1" w14:textId="77777777"/>
    <w:p w:rsidR="009C6B43" w:rsidP="008B0D74" w:rsidRDefault="009C6B43" w14:paraId="44A7868D" w14:textId="77777777"/>
    <w:p w:rsidRPr="00EA69AC" w:rsidR="003C21AC" w:rsidP="00EA1CE4" w:rsidRDefault="003C21AC" w14:paraId="2D040B30" w14:textId="77777777">
      <w:pPr>
        <w:rPr>
          <w:b/>
        </w:rPr>
      </w:pPr>
      <w:r w:rsidRPr="00EA69AC">
        <w:rPr>
          <w:b/>
        </w:rPr>
        <w:t>Toelichting</w:t>
      </w:r>
    </w:p>
    <w:p w:rsidRPr="004C0571" w:rsidR="00904C9D" w:rsidP="00904C9D" w:rsidRDefault="00904C9D" w14:paraId="657B36A4" w14:textId="49CC75DE">
      <w:pPr>
        <w:rPr>
          <w:szCs w:val="24"/>
          <w:u w:val="single"/>
        </w:rPr>
      </w:pPr>
    </w:p>
    <w:p w:rsidR="004C0571" w:rsidP="004C0571" w:rsidRDefault="004C0571" w14:paraId="764F6CD4" w14:textId="53D66D91">
      <w:pPr>
        <w:rPr>
          <w:szCs w:val="24"/>
        </w:rPr>
      </w:pPr>
      <w:r w:rsidRPr="004C0571">
        <w:rPr>
          <w:szCs w:val="24"/>
        </w:rPr>
        <w:t>In veel gemeenten pakt de leerplichtambtenaar op dit moment een preventieve rol, in plaats van alleen een curatieve rol. Zoals op pagina 23 van de Memorie van Toelichting wordt beschreven, fungeert de leerplichtambtenaar in steeds meer gemeenten als ondersteuner, schakel of regisseur binnen de brede verzuimketen. Als gevolg hiervan begint de taak van de leerplichtambtenaar niet uitsluitend wanneer er sprake is van verzuim dat de meldingsgrens van zestien uur ongeoorloofd in vier werken bereikt. De taak van de leerplichtambtenaar begint in deze gemeenten al voordat er sprake is van deze meldingsgrens. De indiener vindt dit een wenselijke ontwikkeling, omdat op deze manier langdurig verzuim wordt voorkomen.</w:t>
      </w:r>
    </w:p>
    <w:p w:rsidRPr="004C0571" w:rsidR="006A30EF" w:rsidP="004C0571" w:rsidRDefault="006A30EF" w14:paraId="2479334C" w14:textId="77777777">
      <w:pPr>
        <w:rPr>
          <w:szCs w:val="24"/>
        </w:rPr>
      </w:pPr>
    </w:p>
    <w:p w:rsidR="004C0571" w:rsidP="004C0571" w:rsidRDefault="004C0571" w14:paraId="600EECC3" w14:textId="4372403B">
      <w:pPr>
        <w:rPr>
          <w:szCs w:val="24"/>
        </w:rPr>
      </w:pPr>
      <w:r w:rsidRPr="004C0571">
        <w:rPr>
          <w:szCs w:val="24"/>
        </w:rPr>
        <w:lastRenderedPageBreak/>
        <w:t xml:space="preserve">Omdat deze preventieve rol niet vastgelegd is in de wet, verschilt dit sterk per gemeente. De indiener is van mening dat de geboden ondersteuning om (langdurig) schoolverzuim te voorkomen niet afhankelijk mag zijn van de gemeente waarin een kind woont. Daarnaast maakt het niet wettelijk borgen de preventieve taken van de leerplichtambtenaar kwetsbaar. Gemeenten kunnen er dan voor kiezen om de leerplichtambtenaar zich te laten beperken tot de wettelijke taken </w:t>
      </w:r>
      <w:r w:rsidR="00295029">
        <w:rPr>
          <w:szCs w:val="24"/>
        </w:rPr>
        <w:t>v</w:t>
      </w:r>
      <w:r w:rsidRPr="004C0571">
        <w:rPr>
          <w:szCs w:val="24"/>
        </w:rPr>
        <w:t xml:space="preserve">an toezichthouder en handhaver. Zeker in tijden van schaarse financiële middelen is dit goed denkbaar. </w:t>
      </w:r>
    </w:p>
    <w:p w:rsidRPr="004C0571" w:rsidR="00425278" w:rsidP="004C0571" w:rsidRDefault="00425278" w14:paraId="160A36B2" w14:textId="77777777">
      <w:pPr>
        <w:rPr>
          <w:szCs w:val="24"/>
        </w:rPr>
      </w:pPr>
    </w:p>
    <w:p w:rsidRPr="004C0571" w:rsidR="004C0571" w:rsidP="004C0571" w:rsidRDefault="004C0571" w14:paraId="379DD679" w14:textId="77777777">
      <w:pPr>
        <w:rPr>
          <w:szCs w:val="24"/>
        </w:rPr>
      </w:pPr>
      <w:r w:rsidRPr="004C0571">
        <w:rPr>
          <w:szCs w:val="24"/>
        </w:rPr>
        <w:t xml:space="preserve">Met dit amendement wordt geregeld dat de preventieve rol van de leerplichtambtenaar ook wettelijk wordt geborgd. Dit past ook bij de insteek van het wetsvoorstel zoals valt te lezen op pagina 5 van de Memorie van Toelichting, waarbij wordt gesteld dat het wetsvoorstel primair preventief is en toekomstig verzuim moet voorkomen en moet voorkomen dat leerlingen (langdurig) thuis komen te zitten. Doordat met het wetsvoorstel wordt geregeld dat de leerplichtambtenaar op geaggregeerd niveau gegevens ontvangt over geoorloofd en ongeoorloofd verzuim kan de leerplichtambtenaar beter ondersteunen in het voorkomen en het verhelpen van verzuim. </w:t>
      </w:r>
    </w:p>
    <w:p w:rsidRPr="004C0571" w:rsidR="004C0571" w:rsidP="004C0571" w:rsidRDefault="004C0571" w14:paraId="685A83F5" w14:textId="77777777">
      <w:pPr>
        <w:rPr>
          <w:szCs w:val="24"/>
        </w:rPr>
      </w:pPr>
    </w:p>
    <w:p w:rsidRPr="004C0571" w:rsidR="004C0571" w:rsidP="004C0571" w:rsidRDefault="004C0571" w14:paraId="3D39AD6F" w14:textId="77777777">
      <w:pPr>
        <w:rPr>
          <w:szCs w:val="24"/>
        </w:rPr>
      </w:pPr>
      <w:r w:rsidRPr="004C0571">
        <w:rPr>
          <w:szCs w:val="24"/>
        </w:rPr>
        <w:t>Westerveld</w:t>
      </w:r>
    </w:p>
    <w:p w:rsidRPr="00EA69AC" w:rsidR="00AF1B49" w:rsidP="004C0571" w:rsidRDefault="00AF1B49" w14:paraId="6B439E14" w14:textId="53FB99FD"/>
    <w:sectPr w:rsidRPr="00EA69AC" w:rsidR="00AF1B4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07ED" w14:textId="77777777" w:rsidR="008B2DB2" w:rsidRDefault="008B2DB2">
      <w:pPr>
        <w:spacing w:line="20" w:lineRule="exact"/>
      </w:pPr>
    </w:p>
  </w:endnote>
  <w:endnote w:type="continuationSeparator" w:id="0">
    <w:p w14:paraId="2C0A5439" w14:textId="77777777" w:rsidR="008B2DB2" w:rsidRDefault="008B2DB2">
      <w:pPr>
        <w:pStyle w:val="Amendement"/>
      </w:pPr>
      <w:r>
        <w:rPr>
          <w:b w:val="0"/>
        </w:rPr>
        <w:t xml:space="preserve"> </w:t>
      </w:r>
    </w:p>
  </w:endnote>
  <w:endnote w:type="continuationNotice" w:id="1">
    <w:p w14:paraId="7D9D3A04" w14:textId="77777777" w:rsidR="008B2DB2" w:rsidRDefault="008B2D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C85A" w14:textId="77777777" w:rsidR="008B2DB2" w:rsidRDefault="008B2DB2">
      <w:pPr>
        <w:pStyle w:val="Amendement"/>
      </w:pPr>
      <w:r>
        <w:rPr>
          <w:b w:val="0"/>
        </w:rPr>
        <w:separator/>
      </w:r>
    </w:p>
  </w:footnote>
  <w:footnote w:type="continuationSeparator" w:id="0">
    <w:p w14:paraId="5CCD6DB9" w14:textId="77777777" w:rsidR="008B2DB2" w:rsidRDefault="008B2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12749"/>
    <w:rsid w:val="00026DB3"/>
    <w:rsid w:val="00030404"/>
    <w:rsid w:val="00042377"/>
    <w:rsid w:val="00052244"/>
    <w:rsid w:val="00065345"/>
    <w:rsid w:val="00073641"/>
    <w:rsid w:val="0007471A"/>
    <w:rsid w:val="00084148"/>
    <w:rsid w:val="00092E0C"/>
    <w:rsid w:val="00094F88"/>
    <w:rsid w:val="00097A3C"/>
    <w:rsid w:val="00097DBC"/>
    <w:rsid w:val="000A1B59"/>
    <w:rsid w:val="000A50F9"/>
    <w:rsid w:val="000B7E50"/>
    <w:rsid w:val="000D17BF"/>
    <w:rsid w:val="000D42B1"/>
    <w:rsid w:val="000D634A"/>
    <w:rsid w:val="000E4D46"/>
    <w:rsid w:val="000E6AC7"/>
    <w:rsid w:val="0011071E"/>
    <w:rsid w:val="0013647B"/>
    <w:rsid w:val="00140D73"/>
    <w:rsid w:val="00157CAF"/>
    <w:rsid w:val="00164F4C"/>
    <w:rsid w:val="001656EE"/>
    <w:rsid w:val="00165DA4"/>
    <w:rsid w:val="0016653D"/>
    <w:rsid w:val="00171664"/>
    <w:rsid w:val="001722DB"/>
    <w:rsid w:val="00177A75"/>
    <w:rsid w:val="00184B9C"/>
    <w:rsid w:val="001A631D"/>
    <w:rsid w:val="001B0F4A"/>
    <w:rsid w:val="001B26A1"/>
    <w:rsid w:val="001B39F4"/>
    <w:rsid w:val="001C6AB2"/>
    <w:rsid w:val="001C709B"/>
    <w:rsid w:val="001D0499"/>
    <w:rsid w:val="001D2537"/>
    <w:rsid w:val="001D56AF"/>
    <w:rsid w:val="001E0E21"/>
    <w:rsid w:val="001F73C3"/>
    <w:rsid w:val="0020404D"/>
    <w:rsid w:val="0020475E"/>
    <w:rsid w:val="00205F34"/>
    <w:rsid w:val="00212E0A"/>
    <w:rsid w:val="002153B0"/>
    <w:rsid w:val="0021777F"/>
    <w:rsid w:val="00220D60"/>
    <w:rsid w:val="002275F5"/>
    <w:rsid w:val="00227F41"/>
    <w:rsid w:val="002373C7"/>
    <w:rsid w:val="00237692"/>
    <w:rsid w:val="00237AA5"/>
    <w:rsid w:val="00241DD0"/>
    <w:rsid w:val="00244A5C"/>
    <w:rsid w:val="00246ED5"/>
    <w:rsid w:val="00255D77"/>
    <w:rsid w:val="0028777B"/>
    <w:rsid w:val="00291ED6"/>
    <w:rsid w:val="00295029"/>
    <w:rsid w:val="002963E0"/>
    <w:rsid w:val="002A0713"/>
    <w:rsid w:val="002C114E"/>
    <w:rsid w:val="002C2296"/>
    <w:rsid w:val="002D1B48"/>
    <w:rsid w:val="002D6455"/>
    <w:rsid w:val="002E2DB6"/>
    <w:rsid w:val="002E508C"/>
    <w:rsid w:val="002F40C9"/>
    <w:rsid w:val="00301761"/>
    <w:rsid w:val="003116BB"/>
    <w:rsid w:val="00315C00"/>
    <w:rsid w:val="00317D5D"/>
    <w:rsid w:val="00341CE0"/>
    <w:rsid w:val="00352017"/>
    <w:rsid w:val="00361152"/>
    <w:rsid w:val="00364280"/>
    <w:rsid w:val="00367B38"/>
    <w:rsid w:val="00390BBD"/>
    <w:rsid w:val="00394BE7"/>
    <w:rsid w:val="00395410"/>
    <w:rsid w:val="00397DFC"/>
    <w:rsid w:val="003A1147"/>
    <w:rsid w:val="003C1B5B"/>
    <w:rsid w:val="003C21AC"/>
    <w:rsid w:val="003C5218"/>
    <w:rsid w:val="003C7876"/>
    <w:rsid w:val="003D7EAA"/>
    <w:rsid w:val="003E2308"/>
    <w:rsid w:val="003E2F98"/>
    <w:rsid w:val="003F0750"/>
    <w:rsid w:val="003F6E4A"/>
    <w:rsid w:val="003F7C1E"/>
    <w:rsid w:val="004031DD"/>
    <w:rsid w:val="00413480"/>
    <w:rsid w:val="00413B00"/>
    <w:rsid w:val="004157F3"/>
    <w:rsid w:val="0041686E"/>
    <w:rsid w:val="004171DF"/>
    <w:rsid w:val="00425278"/>
    <w:rsid w:val="0042574B"/>
    <w:rsid w:val="00430F16"/>
    <w:rsid w:val="004322F7"/>
    <w:rsid w:val="004330ED"/>
    <w:rsid w:val="00434221"/>
    <w:rsid w:val="00445BBC"/>
    <w:rsid w:val="00462AAA"/>
    <w:rsid w:val="00466D66"/>
    <w:rsid w:val="004711E1"/>
    <w:rsid w:val="004717A1"/>
    <w:rsid w:val="00481C91"/>
    <w:rsid w:val="0048400F"/>
    <w:rsid w:val="004911E3"/>
    <w:rsid w:val="00491B58"/>
    <w:rsid w:val="00494DA8"/>
    <w:rsid w:val="00497D57"/>
    <w:rsid w:val="004A1E29"/>
    <w:rsid w:val="004A20E3"/>
    <w:rsid w:val="004A6B74"/>
    <w:rsid w:val="004A7DD4"/>
    <w:rsid w:val="004B50D8"/>
    <w:rsid w:val="004B5B90"/>
    <w:rsid w:val="004C0571"/>
    <w:rsid w:val="004C07C7"/>
    <w:rsid w:val="004C153D"/>
    <w:rsid w:val="004C328E"/>
    <w:rsid w:val="004D0E56"/>
    <w:rsid w:val="004D2917"/>
    <w:rsid w:val="004D6B3E"/>
    <w:rsid w:val="004D7716"/>
    <w:rsid w:val="004E6F37"/>
    <w:rsid w:val="004E7DFD"/>
    <w:rsid w:val="00501109"/>
    <w:rsid w:val="00506C79"/>
    <w:rsid w:val="005267D2"/>
    <w:rsid w:val="005308B4"/>
    <w:rsid w:val="00531B65"/>
    <w:rsid w:val="00531CDF"/>
    <w:rsid w:val="00533523"/>
    <w:rsid w:val="0053370F"/>
    <w:rsid w:val="00555B2C"/>
    <w:rsid w:val="0056173A"/>
    <w:rsid w:val="005703C9"/>
    <w:rsid w:val="00574A38"/>
    <w:rsid w:val="00586E50"/>
    <w:rsid w:val="00597703"/>
    <w:rsid w:val="005A513F"/>
    <w:rsid w:val="005A6097"/>
    <w:rsid w:val="005B1DCC"/>
    <w:rsid w:val="005B7323"/>
    <w:rsid w:val="005C25B9"/>
    <w:rsid w:val="005C5541"/>
    <w:rsid w:val="005E22E0"/>
    <w:rsid w:val="005E4C7D"/>
    <w:rsid w:val="005E71D6"/>
    <w:rsid w:val="005F0CA4"/>
    <w:rsid w:val="005F6EAB"/>
    <w:rsid w:val="00600310"/>
    <w:rsid w:val="00603D34"/>
    <w:rsid w:val="00610E78"/>
    <w:rsid w:val="00612F80"/>
    <w:rsid w:val="00616D12"/>
    <w:rsid w:val="006210F2"/>
    <w:rsid w:val="0062136F"/>
    <w:rsid w:val="00621D7A"/>
    <w:rsid w:val="00623599"/>
    <w:rsid w:val="006267E6"/>
    <w:rsid w:val="006376DA"/>
    <w:rsid w:val="00642C03"/>
    <w:rsid w:val="006558D2"/>
    <w:rsid w:val="00672D25"/>
    <w:rsid w:val="006738BC"/>
    <w:rsid w:val="00681941"/>
    <w:rsid w:val="006A1026"/>
    <w:rsid w:val="006A30EF"/>
    <w:rsid w:val="006A7B53"/>
    <w:rsid w:val="006B0CB0"/>
    <w:rsid w:val="006B4196"/>
    <w:rsid w:val="006B5C14"/>
    <w:rsid w:val="006C6B24"/>
    <w:rsid w:val="006D3E69"/>
    <w:rsid w:val="006D4900"/>
    <w:rsid w:val="006D5BD7"/>
    <w:rsid w:val="006E0971"/>
    <w:rsid w:val="006E440D"/>
    <w:rsid w:val="006E5968"/>
    <w:rsid w:val="006E685F"/>
    <w:rsid w:val="006E7938"/>
    <w:rsid w:val="006F1676"/>
    <w:rsid w:val="007013B3"/>
    <w:rsid w:val="00710E38"/>
    <w:rsid w:val="007136D4"/>
    <w:rsid w:val="00720993"/>
    <w:rsid w:val="007219A3"/>
    <w:rsid w:val="00741113"/>
    <w:rsid w:val="00747426"/>
    <w:rsid w:val="007517EA"/>
    <w:rsid w:val="00765356"/>
    <w:rsid w:val="00766316"/>
    <w:rsid w:val="007709F6"/>
    <w:rsid w:val="00781424"/>
    <w:rsid w:val="00782BB6"/>
    <w:rsid w:val="00783215"/>
    <w:rsid w:val="0078461F"/>
    <w:rsid w:val="007965FC"/>
    <w:rsid w:val="007A3092"/>
    <w:rsid w:val="007D0A86"/>
    <w:rsid w:val="007D2034"/>
    <w:rsid w:val="007D2608"/>
    <w:rsid w:val="007E3D86"/>
    <w:rsid w:val="007E48A9"/>
    <w:rsid w:val="007F3273"/>
    <w:rsid w:val="007F71FE"/>
    <w:rsid w:val="008063E6"/>
    <w:rsid w:val="00806C09"/>
    <w:rsid w:val="00810468"/>
    <w:rsid w:val="008164E5"/>
    <w:rsid w:val="008222DF"/>
    <w:rsid w:val="00824E02"/>
    <w:rsid w:val="00830081"/>
    <w:rsid w:val="008467D7"/>
    <w:rsid w:val="00847FA8"/>
    <w:rsid w:val="00852541"/>
    <w:rsid w:val="00865D47"/>
    <w:rsid w:val="00870ADE"/>
    <w:rsid w:val="008831EB"/>
    <w:rsid w:val="0088452C"/>
    <w:rsid w:val="008867D9"/>
    <w:rsid w:val="00886AAF"/>
    <w:rsid w:val="00891249"/>
    <w:rsid w:val="00892F1A"/>
    <w:rsid w:val="00893910"/>
    <w:rsid w:val="008A0AC3"/>
    <w:rsid w:val="008B05DB"/>
    <w:rsid w:val="008B0D74"/>
    <w:rsid w:val="008B2DB2"/>
    <w:rsid w:val="008B645F"/>
    <w:rsid w:val="008D7DCB"/>
    <w:rsid w:val="008E4EC4"/>
    <w:rsid w:val="008E7B09"/>
    <w:rsid w:val="00904C9D"/>
    <w:rsid w:val="009055DB"/>
    <w:rsid w:val="00905ECB"/>
    <w:rsid w:val="00910781"/>
    <w:rsid w:val="00911A47"/>
    <w:rsid w:val="00911BB3"/>
    <w:rsid w:val="0091590C"/>
    <w:rsid w:val="00917F7A"/>
    <w:rsid w:val="00924F6C"/>
    <w:rsid w:val="0093400B"/>
    <w:rsid w:val="00941841"/>
    <w:rsid w:val="00941C13"/>
    <w:rsid w:val="00944BE7"/>
    <w:rsid w:val="00960E8E"/>
    <w:rsid w:val="0096165D"/>
    <w:rsid w:val="00961B1B"/>
    <w:rsid w:val="00984688"/>
    <w:rsid w:val="00984F61"/>
    <w:rsid w:val="00985386"/>
    <w:rsid w:val="00987159"/>
    <w:rsid w:val="009916E9"/>
    <w:rsid w:val="0099317B"/>
    <w:rsid w:val="00993E91"/>
    <w:rsid w:val="009A409F"/>
    <w:rsid w:val="009A5C74"/>
    <w:rsid w:val="009B5845"/>
    <w:rsid w:val="009C0C1F"/>
    <w:rsid w:val="009C1F24"/>
    <w:rsid w:val="009C6B43"/>
    <w:rsid w:val="009D3D28"/>
    <w:rsid w:val="009E4A26"/>
    <w:rsid w:val="009E55B9"/>
    <w:rsid w:val="009F3BD7"/>
    <w:rsid w:val="00A10505"/>
    <w:rsid w:val="00A1288B"/>
    <w:rsid w:val="00A16BF8"/>
    <w:rsid w:val="00A21FB2"/>
    <w:rsid w:val="00A31038"/>
    <w:rsid w:val="00A42910"/>
    <w:rsid w:val="00A43B12"/>
    <w:rsid w:val="00A4481B"/>
    <w:rsid w:val="00A53203"/>
    <w:rsid w:val="00A61CBF"/>
    <w:rsid w:val="00A772EB"/>
    <w:rsid w:val="00A8776F"/>
    <w:rsid w:val="00A91672"/>
    <w:rsid w:val="00AE42E0"/>
    <w:rsid w:val="00AE6BAA"/>
    <w:rsid w:val="00AE7F90"/>
    <w:rsid w:val="00AF1B49"/>
    <w:rsid w:val="00AF1DF9"/>
    <w:rsid w:val="00B00FAA"/>
    <w:rsid w:val="00B01BA6"/>
    <w:rsid w:val="00B04301"/>
    <w:rsid w:val="00B14425"/>
    <w:rsid w:val="00B314EA"/>
    <w:rsid w:val="00B345E8"/>
    <w:rsid w:val="00B42CD1"/>
    <w:rsid w:val="00B43541"/>
    <w:rsid w:val="00B4708A"/>
    <w:rsid w:val="00B50F7F"/>
    <w:rsid w:val="00B5207C"/>
    <w:rsid w:val="00B53258"/>
    <w:rsid w:val="00B55C8A"/>
    <w:rsid w:val="00B64E9F"/>
    <w:rsid w:val="00B77758"/>
    <w:rsid w:val="00B830CD"/>
    <w:rsid w:val="00B8327E"/>
    <w:rsid w:val="00B86487"/>
    <w:rsid w:val="00B9095D"/>
    <w:rsid w:val="00B93DD2"/>
    <w:rsid w:val="00BA2749"/>
    <w:rsid w:val="00BA340C"/>
    <w:rsid w:val="00BB0301"/>
    <w:rsid w:val="00BB1753"/>
    <w:rsid w:val="00BC1C16"/>
    <w:rsid w:val="00BF076A"/>
    <w:rsid w:val="00BF14C7"/>
    <w:rsid w:val="00BF623B"/>
    <w:rsid w:val="00BF6865"/>
    <w:rsid w:val="00C018C0"/>
    <w:rsid w:val="00C035D4"/>
    <w:rsid w:val="00C1703B"/>
    <w:rsid w:val="00C24DDD"/>
    <w:rsid w:val="00C341F3"/>
    <w:rsid w:val="00C37879"/>
    <w:rsid w:val="00C501A0"/>
    <w:rsid w:val="00C5387C"/>
    <w:rsid w:val="00C53B7B"/>
    <w:rsid w:val="00C57922"/>
    <w:rsid w:val="00C637C4"/>
    <w:rsid w:val="00C679BF"/>
    <w:rsid w:val="00C81BBD"/>
    <w:rsid w:val="00C86DBC"/>
    <w:rsid w:val="00CB00B2"/>
    <w:rsid w:val="00CC28B2"/>
    <w:rsid w:val="00CD3132"/>
    <w:rsid w:val="00CD3FC0"/>
    <w:rsid w:val="00CD5975"/>
    <w:rsid w:val="00CE27CD"/>
    <w:rsid w:val="00CE71A7"/>
    <w:rsid w:val="00CE7949"/>
    <w:rsid w:val="00CF2200"/>
    <w:rsid w:val="00D00799"/>
    <w:rsid w:val="00D04A64"/>
    <w:rsid w:val="00D134F3"/>
    <w:rsid w:val="00D169EE"/>
    <w:rsid w:val="00D36F7C"/>
    <w:rsid w:val="00D447DF"/>
    <w:rsid w:val="00D47D01"/>
    <w:rsid w:val="00D7661D"/>
    <w:rsid w:val="00D774B3"/>
    <w:rsid w:val="00D80227"/>
    <w:rsid w:val="00D83EAB"/>
    <w:rsid w:val="00D87821"/>
    <w:rsid w:val="00D972E5"/>
    <w:rsid w:val="00DA1D93"/>
    <w:rsid w:val="00DB3D1A"/>
    <w:rsid w:val="00DC7C25"/>
    <w:rsid w:val="00DD35A5"/>
    <w:rsid w:val="00DD6E57"/>
    <w:rsid w:val="00DE0BEF"/>
    <w:rsid w:val="00DE2948"/>
    <w:rsid w:val="00DE336E"/>
    <w:rsid w:val="00DF1F3F"/>
    <w:rsid w:val="00DF59F6"/>
    <w:rsid w:val="00DF68BE"/>
    <w:rsid w:val="00DF712A"/>
    <w:rsid w:val="00E07B2F"/>
    <w:rsid w:val="00E17E0B"/>
    <w:rsid w:val="00E25DF4"/>
    <w:rsid w:val="00E2624E"/>
    <w:rsid w:val="00E3485D"/>
    <w:rsid w:val="00E40B03"/>
    <w:rsid w:val="00E42C9C"/>
    <w:rsid w:val="00E468D3"/>
    <w:rsid w:val="00E52EBC"/>
    <w:rsid w:val="00E63A73"/>
    <w:rsid w:val="00E6619B"/>
    <w:rsid w:val="00E72868"/>
    <w:rsid w:val="00E746ED"/>
    <w:rsid w:val="00E908D7"/>
    <w:rsid w:val="00E97798"/>
    <w:rsid w:val="00EA1CE4"/>
    <w:rsid w:val="00EA5484"/>
    <w:rsid w:val="00EA69AC"/>
    <w:rsid w:val="00EB0908"/>
    <w:rsid w:val="00EB29B5"/>
    <w:rsid w:val="00EB40A1"/>
    <w:rsid w:val="00EB5933"/>
    <w:rsid w:val="00EC3112"/>
    <w:rsid w:val="00ED3241"/>
    <w:rsid w:val="00ED5E57"/>
    <w:rsid w:val="00EE18F8"/>
    <w:rsid w:val="00EE1BD8"/>
    <w:rsid w:val="00EF3CEF"/>
    <w:rsid w:val="00F062E7"/>
    <w:rsid w:val="00F1480B"/>
    <w:rsid w:val="00F14C25"/>
    <w:rsid w:val="00F22FA2"/>
    <w:rsid w:val="00F33B38"/>
    <w:rsid w:val="00F35A2E"/>
    <w:rsid w:val="00F40069"/>
    <w:rsid w:val="00F507DF"/>
    <w:rsid w:val="00F50B71"/>
    <w:rsid w:val="00F556FE"/>
    <w:rsid w:val="00F75314"/>
    <w:rsid w:val="00F95DEF"/>
    <w:rsid w:val="00FA5BBE"/>
    <w:rsid w:val="00FB7567"/>
    <w:rsid w:val="00FC4FB2"/>
    <w:rsid w:val="00FC7259"/>
    <w:rsid w:val="00FD125F"/>
    <w:rsid w:val="00FD38DA"/>
    <w:rsid w:val="00FD7EBC"/>
    <w:rsid w:val="00FE615B"/>
    <w:rsid w:val="00FF1941"/>
    <w:rsid w:val="00FF24F9"/>
    <w:rsid w:val="00FF2696"/>
    <w:rsid w:val="00FF270D"/>
    <w:rsid w:val="00FF3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14F87264-242A-4D55-9101-1C987F73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91590C"/>
    <w:rPr>
      <w:sz w:val="24"/>
    </w:rPr>
  </w:style>
  <w:style w:type="character" w:styleId="Hyperlink">
    <w:name w:val="Hyperlink"/>
    <w:basedOn w:val="Standaardalinea-lettertype"/>
    <w:unhideWhenUsed/>
    <w:rsid w:val="00413480"/>
    <w:rPr>
      <w:color w:val="0000FF" w:themeColor="hyperlink"/>
      <w:u w:val="single"/>
    </w:rPr>
  </w:style>
  <w:style w:type="character" w:styleId="Onopgelostemelding">
    <w:name w:val="Unresolved Mention"/>
    <w:basedOn w:val="Standaardalinea-lettertype"/>
    <w:uiPriority w:val="99"/>
    <w:semiHidden/>
    <w:unhideWhenUsed/>
    <w:rsid w:val="00413480"/>
    <w:rPr>
      <w:color w:val="605E5C"/>
      <w:shd w:val="clear" w:color="auto" w:fill="E1DFDD"/>
    </w:rPr>
  </w:style>
  <w:style w:type="character" w:styleId="Voetnootmarkering">
    <w:name w:val="footnote reference"/>
    <w:basedOn w:val="Standaardalinea-lettertype"/>
    <w:semiHidden/>
    <w:unhideWhenUsed/>
    <w:rsid w:val="00B90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450</ap:Words>
  <ap:Characters>2610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2026-03-26T12:01:00.0000000Z</dcterms:created>
  <dcterms:modified xsi:type="dcterms:W3CDTF">2026-03-26T12:02:00.0000000Z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