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2026Z06261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maart 2026)</w:t>
        <w:br/>
      </w:r>
    </w:p>
    <w:p>
      <w:r>
        <w:t xml:space="preserve">Vragen van het lid Claassen (Groep Markuszower) aan de minister van Volkshuisvesting en Ruimtelijke Ordening over het bericht 'Minister Boekholt gebruikte geen telefoon- en douchemuntjes in Afghanistan: ‘Het citaat klopt niet’'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Bent u bekend met het artikel “Minister Boekholt gebruikte geen telefoon- en douchemuntjes in Afghanistan: ‘Het citaat klopt niet’?</w:t>
      </w:r>
      <w:r>
        <w:rPr>
          <w:b w:val="1"/>
          <w:bCs w:val="1"/>
        </w:rPr>
        <w:t xml:space="preserve">[1]</w:t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Welke zwaarwegende redenen had u om in een toonaangevende buitenlandse krant nepnieuws te verspreiden?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Is deze werkwijze toonaangevend voor uw verdere werkwijze als dienaar van de Kroon? Zo ja, waarom wel? Zo nee, waarom niet?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Waarom heeft u de fout pas erkend nadat de Volkskrant hier verder onderzoek naar gedaan heeft?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Vindt u dit passen bij het door het huidige kabinet uitgedragen mantra over de nieuwe bestuurscultuur? Zo ja, waarom wel? Zo nee, waarom niet?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Was het hiervoor benoemde voor u de aanleiding om de Kamer middels uw brief van 25 maart jl. niet tijdig en volledig te kunnen en/of willen beantwoorden?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Vindt u uw handelen passen binnen het grondwettelijke recht van het parlement op informatie, zoals beschreven in artikel 68 van de Grondwet? Zo ja, waarom wel? Zo nee, waarom niet?</w:t>
      </w:r>
      <w:r>
        <w:br/>
      </w:r>
    </w:p>
    <w:p>
      <w:pPr>
        <w:pStyle w:val="ListParagraph"/>
        <w:numPr>
          <w:ilvl w:val="0"/>
          <w:numId w:val="100501830"/>
        </w:numPr>
        <w:ind w:left="360"/>
      </w:pPr>
      <w:r>
        <w:t xml:space="preserve">Wilt u deze vragen zo snel mogelijk, doch uiterlijk voor 31 maart a.s., beantwoorden?</w:t>
      </w:r>
      <w:r>
        <w:br/>
      </w:r>
    </w:p>
    <w:p>
      <w:r>
        <w:t xml:space="preserve"> </w:t>
      </w:r>
      <w:r>
        <w:br/>
      </w:r>
    </w:p>
    <w:p>
      <w:r>
        <w:t xml:space="preserve">[1] https://www.volkskrant.nl/politiek/minister-boekholt-gebruikte-geen-douche-en-telefoonmuntjes-in-afghanistan-het-citaat-klopt-niet~b40fff1b/?referrer=https%3A%2F%2Fwww.google.com%2F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750">
    <w:abstractNumId w:val="100501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