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1C42F5" w:rsidP="001C42F5" w:rsidRDefault="001C42F5" w14:paraId="3969531D" w14:textId="77777777"/>
    <w:p w:rsidR="001C42F5" w:rsidP="001C42F5" w:rsidRDefault="001C42F5" w14:paraId="18A649F1" w14:textId="77777777">
      <w:pPr>
        <w:rPr>
          <w:szCs w:val="18"/>
        </w:rPr>
      </w:pPr>
      <w:r w:rsidRPr="002B0229">
        <w:rPr>
          <w:szCs w:val="18"/>
        </w:rPr>
        <w:t>Geachte Voorzitter,</w:t>
      </w:r>
    </w:p>
    <w:p w:rsidRPr="002B0229" w:rsidR="001C42F5" w:rsidP="001C42F5" w:rsidRDefault="001C42F5" w14:paraId="3E6F6430" w14:textId="77777777">
      <w:pPr>
        <w:rPr>
          <w:szCs w:val="18"/>
        </w:rPr>
      </w:pPr>
    </w:p>
    <w:p w:rsidR="001C42F5" w:rsidP="001C42F5" w:rsidRDefault="001C42F5" w14:paraId="526363C5" w14:textId="77777777">
      <w:pPr>
        <w:rPr>
          <w:szCs w:val="18"/>
        </w:rPr>
      </w:pPr>
      <w:r w:rsidRPr="002B0229">
        <w:rPr>
          <w:szCs w:val="18"/>
        </w:rPr>
        <w:t>De vaste commissie voor Klimaat en Groene Groei heeft op 24 november 2025 een brief ontvangen van Greenpeace Nederland en omwonendenorganisaties rond Tata Steel. In de procedurevergadering van 9 december 2025 heeft de commissie besloten graag een reactie van mij op deze brief te ontvangen. Met deze brief geef ik hier invulling aan</w:t>
      </w:r>
      <w:r>
        <w:rPr>
          <w:szCs w:val="18"/>
        </w:rPr>
        <w:t>, mede namens de staatssecretaris van Klimaat en Groene Groei en de staatssecretaris van Infrastructuur en Waterstaat</w:t>
      </w:r>
      <w:r w:rsidRPr="002B0229">
        <w:rPr>
          <w:szCs w:val="18"/>
        </w:rPr>
        <w:t>.</w:t>
      </w:r>
    </w:p>
    <w:p w:rsidRPr="002B0229" w:rsidR="001C42F5" w:rsidP="001C42F5" w:rsidRDefault="001C42F5" w14:paraId="49F770B4" w14:textId="77777777">
      <w:pPr>
        <w:rPr>
          <w:szCs w:val="18"/>
        </w:rPr>
      </w:pPr>
    </w:p>
    <w:p w:rsidRPr="002B0229" w:rsidR="001C42F5" w:rsidP="001C42F5" w:rsidRDefault="001C42F5" w14:paraId="34AB9810" w14:textId="77777777">
      <w:pPr>
        <w:rPr>
          <w:szCs w:val="18"/>
        </w:rPr>
      </w:pPr>
      <w:r w:rsidRPr="002B0229">
        <w:rPr>
          <w:szCs w:val="18"/>
        </w:rPr>
        <w:t xml:space="preserve">De brief van Greenpeace en de omwonendenorganisaties richt zich op de schadelijke uitstoot van Tata Steel en de onlangs getekende Joint Letter of </w:t>
      </w:r>
      <w:proofErr w:type="spellStart"/>
      <w:r w:rsidRPr="002B0229">
        <w:rPr>
          <w:szCs w:val="18"/>
        </w:rPr>
        <w:t>Intent</w:t>
      </w:r>
      <w:proofErr w:type="spellEnd"/>
      <w:r w:rsidRPr="002B0229">
        <w:rPr>
          <w:szCs w:val="18"/>
        </w:rPr>
        <w:t xml:space="preserve"> met Tata Steel, als tussenstap naar een maatwerkafspraak. Ik begrijp de geuite zorgen </w:t>
      </w:r>
      <w:r>
        <w:rPr>
          <w:szCs w:val="18"/>
        </w:rPr>
        <w:t>over</w:t>
      </w:r>
      <w:r w:rsidRPr="002B0229">
        <w:rPr>
          <w:szCs w:val="18"/>
        </w:rPr>
        <w:t xml:space="preserve"> de uitstoot van Tata Steel en de effecten daarvan op het klimaat, de leefomgeving en de gezondheid van omwonenden.</w:t>
      </w:r>
      <w:r>
        <w:rPr>
          <w:szCs w:val="18"/>
        </w:rPr>
        <w:t xml:space="preserve"> De zorgen zijn ook de reden dat ik met Tata Steel in gesprek ben om tot een maatwerkafspraak te komen. </w:t>
      </w:r>
    </w:p>
    <w:p w:rsidRPr="002B0229" w:rsidR="001C42F5" w:rsidP="001C42F5" w:rsidRDefault="001C42F5" w14:paraId="35F55C27" w14:textId="77777777">
      <w:pPr>
        <w:rPr>
          <w:szCs w:val="18"/>
        </w:rPr>
      </w:pPr>
      <w:r w:rsidRPr="002B0229">
        <w:rPr>
          <w:szCs w:val="18"/>
        </w:rPr>
        <w:t>Het doel van de maatwerkafspraak met Tata Steel</w:t>
      </w:r>
      <w:r>
        <w:rPr>
          <w:szCs w:val="18"/>
        </w:rPr>
        <w:t xml:space="preserve"> Nederland (TSN)</w:t>
      </w:r>
      <w:r w:rsidRPr="002B0229">
        <w:rPr>
          <w:szCs w:val="18"/>
        </w:rPr>
        <w:t xml:space="preserve"> is om groenere, schonere en meer circulaire staalproductie te realiseren in de IJmond. Met de maatwerkafspraak met TSN kunnen we op de kortst mogelijke termijn de nodige verbeteringen voor het klimaat, de leefomgeving en de gezondheid van omwonenden realiseren; door maatregelen te nemen die leiden tot een forse reductie van de uitstoot van CO2 en schadelijke stoffen. En tegelijkertijd de economische en strategische waarde van het bedrijf voor de regio, Nederland en Europa</w:t>
      </w:r>
      <w:r>
        <w:rPr>
          <w:szCs w:val="18"/>
        </w:rPr>
        <w:t xml:space="preserve"> </w:t>
      </w:r>
      <w:r w:rsidRPr="002B0229">
        <w:rPr>
          <w:szCs w:val="18"/>
        </w:rPr>
        <w:t xml:space="preserve">behouden. </w:t>
      </w:r>
    </w:p>
    <w:p w:rsidRPr="002B0229" w:rsidR="001C42F5" w:rsidP="001C42F5" w:rsidRDefault="001C42F5" w14:paraId="20DD22CE" w14:textId="77777777">
      <w:pPr>
        <w:rPr>
          <w:i/>
          <w:iCs/>
          <w:szCs w:val="18"/>
        </w:rPr>
      </w:pPr>
    </w:p>
    <w:p w:rsidRPr="002B0229" w:rsidR="001C42F5" w:rsidP="001C42F5" w:rsidRDefault="001C42F5" w14:paraId="5E8CFC1F" w14:textId="77777777">
      <w:pPr>
        <w:rPr>
          <w:i/>
          <w:iCs/>
          <w:szCs w:val="18"/>
        </w:rPr>
      </w:pPr>
      <w:r w:rsidRPr="002B0229">
        <w:rPr>
          <w:i/>
          <w:iCs/>
          <w:szCs w:val="18"/>
        </w:rPr>
        <w:t xml:space="preserve">De Joint Letter of </w:t>
      </w:r>
      <w:proofErr w:type="spellStart"/>
      <w:r w:rsidRPr="002B0229">
        <w:rPr>
          <w:i/>
          <w:iCs/>
          <w:szCs w:val="18"/>
        </w:rPr>
        <w:t>Intent</w:t>
      </w:r>
      <w:proofErr w:type="spellEnd"/>
      <w:r w:rsidRPr="002B0229">
        <w:rPr>
          <w:i/>
          <w:iCs/>
          <w:szCs w:val="18"/>
        </w:rPr>
        <w:t xml:space="preserve"> met Tata Steel</w:t>
      </w:r>
    </w:p>
    <w:p w:rsidR="001C42F5" w:rsidP="001C42F5" w:rsidRDefault="001C42F5" w14:paraId="61B10F72" w14:textId="77777777">
      <w:pPr>
        <w:rPr>
          <w:szCs w:val="18"/>
        </w:rPr>
      </w:pPr>
      <w:r w:rsidRPr="002B0229">
        <w:rPr>
          <w:szCs w:val="18"/>
        </w:rPr>
        <w:t xml:space="preserve">De onderhandelingsinzet voor de maatwerkafspraak met TSN is gebaseerd op verschillende rapporten en adviezen, waaronder </w:t>
      </w:r>
      <w:r>
        <w:rPr>
          <w:szCs w:val="18"/>
        </w:rPr>
        <w:t>het</w:t>
      </w:r>
      <w:r w:rsidRPr="002B0229">
        <w:rPr>
          <w:szCs w:val="18"/>
        </w:rPr>
        <w:t xml:space="preserve"> onderzoek van het RIVM naar gezondheidsrisico’s door de uitstoot van TSN</w:t>
      </w:r>
      <w:r w:rsidRPr="002B0229">
        <w:rPr>
          <w:rStyle w:val="Voetnootmarkering"/>
          <w:szCs w:val="18"/>
        </w:rPr>
        <w:footnoteReference w:id="1"/>
      </w:r>
      <w:r w:rsidRPr="002B0229">
        <w:rPr>
          <w:szCs w:val="18"/>
        </w:rPr>
        <w:t xml:space="preserve">, </w:t>
      </w:r>
      <w:r>
        <w:rPr>
          <w:szCs w:val="18"/>
        </w:rPr>
        <w:t>de</w:t>
      </w:r>
      <w:r w:rsidRPr="002B0229">
        <w:rPr>
          <w:szCs w:val="18"/>
        </w:rPr>
        <w:t xml:space="preserve"> vergelijking van alternatieven voor de toekomst van TSN</w:t>
      </w:r>
      <w:r>
        <w:rPr>
          <w:szCs w:val="18"/>
        </w:rPr>
        <w:t xml:space="preserve"> (waaronder een sluitingsscenario en een scenario waarin wordt overgestapt op het importeren van halffabricaten) </w:t>
      </w:r>
      <w:r w:rsidRPr="002B0229">
        <w:rPr>
          <w:szCs w:val="18"/>
        </w:rPr>
        <w:t xml:space="preserve">door Wijers en </w:t>
      </w:r>
      <w:r w:rsidRPr="002B0229">
        <w:rPr>
          <w:szCs w:val="18"/>
        </w:rPr>
        <w:lastRenderedPageBreak/>
        <w:t>Blom</w:t>
      </w:r>
      <w:r w:rsidRPr="002B0229">
        <w:rPr>
          <w:rStyle w:val="Voetnootmarkering"/>
          <w:szCs w:val="18"/>
        </w:rPr>
        <w:footnoteReference w:id="2"/>
      </w:r>
      <w:r w:rsidRPr="002B0229">
        <w:rPr>
          <w:szCs w:val="18"/>
        </w:rPr>
        <w:t xml:space="preserve"> en het eerste advies van de Expertgroep Gezondheid IJmond</w:t>
      </w:r>
      <w:r>
        <w:rPr>
          <w:szCs w:val="18"/>
        </w:rPr>
        <w:t>.</w:t>
      </w:r>
      <w:r w:rsidRPr="002B0229">
        <w:rPr>
          <w:rStyle w:val="Voetnootmarkering"/>
          <w:szCs w:val="18"/>
        </w:rPr>
        <w:footnoteReference w:id="3"/>
      </w:r>
      <w:r>
        <w:rPr>
          <w:szCs w:val="18"/>
        </w:rPr>
        <w:t xml:space="preserve"> </w:t>
      </w:r>
      <w:r w:rsidRPr="1B5CF8E5">
        <w:rPr>
          <w:szCs w:val="18"/>
        </w:rPr>
        <w:t xml:space="preserve">Al </w:t>
      </w:r>
      <w:r w:rsidRPr="581D7D79">
        <w:rPr>
          <w:szCs w:val="18"/>
        </w:rPr>
        <w:t xml:space="preserve">deze adviezen </w:t>
      </w:r>
      <w:r w:rsidRPr="42281E55">
        <w:rPr>
          <w:szCs w:val="18"/>
        </w:rPr>
        <w:t xml:space="preserve">zijn </w:t>
      </w:r>
      <w:r w:rsidRPr="019EEFD8">
        <w:rPr>
          <w:szCs w:val="18"/>
        </w:rPr>
        <w:t xml:space="preserve">meegenomen </w:t>
      </w:r>
      <w:r w:rsidRPr="6BAE8356">
        <w:rPr>
          <w:szCs w:val="18"/>
        </w:rPr>
        <w:t xml:space="preserve">in </w:t>
      </w:r>
      <w:r w:rsidRPr="67558791">
        <w:rPr>
          <w:szCs w:val="18"/>
        </w:rPr>
        <w:t xml:space="preserve">het </w:t>
      </w:r>
      <w:r w:rsidRPr="5DA4953E">
        <w:rPr>
          <w:szCs w:val="18"/>
        </w:rPr>
        <w:t xml:space="preserve">mandaat voor de </w:t>
      </w:r>
      <w:r w:rsidRPr="15C39F76">
        <w:rPr>
          <w:szCs w:val="18"/>
        </w:rPr>
        <w:t>onderhandeling</w:t>
      </w:r>
      <w:r w:rsidRPr="002B0229">
        <w:rPr>
          <w:szCs w:val="18"/>
        </w:rPr>
        <w:t xml:space="preserve">en </w:t>
      </w:r>
      <w:r w:rsidRPr="5EE6E62B">
        <w:rPr>
          <w:szCs w:val="18"/>
        </w:rPr>
        <w:t xml:space="preserve">waarover uw </w:t>
      </w:r>
      <w:r w:rsidRPr="305AFD58">
        <w:rPr>
          <w:szCs w:val="18"/>
        </w:rPr>
        <w:t xml:space="preserve">Kamer in </w:t>
      </w:r>
      <w:r w:rsidRPr="09EACC6C">
        <w:rPr>
          <w:szCs w:val="18"/>
        </w:rPr>
        <w:t xml:space="preserve">april </w:t>
      </w:r>
      <w:r w:rsidRPr="04034C4A">
        <w:rPr>
          <w:szCs w:val="18"/>
        </w:rPr>
        <w:t xml:space="preserve">2024 op de </w:t>
      </w:r>
      <w:r w:rsidRPr="22644F56">
        <w:rPr>
          <w:szCs w:val="18"/>
        </w:rPr>
        <w:t xml:space="preserve">hoogte is </w:t>
      </w:r>
      <w:r w:rsidRPr="67C6D871">
        <w:rPr>
          <w:szCs w:val="18"/>
        </w:rPr>
        <w:t>gesteld</w:t>
      </w:r>
      <w:r>
        <w:rPr>
          <w:szCs w:val="18"/>
        </w:rPr>
        <w:t>.</w:t>
      </w:r>
      <w:r w:rsidRPr="002B0229">
        <w:rPr>
          <w:rStyle w:val="Voetnootmarkering"/>
          <w:szCs w:val="18"/>
        </w:rPr>
        <w:footnoteReference w:id="4"/>
      </w:r>
      <w:r>
        <w:rPr>
          <w:szCs w:val="18"/>
        </w:rPr>
        <w:t xml:space="preserve"> </w:t>
      </w:r>
      <w:r w:rsidRPr="002B0229">
        <w:rPr>
          <w:szCs w:val="18"/>
        </w:rPr>
        <w:t xml:space="preserve">Op basis van dit mandaat zijn de onderhandelingen over de Joint Letter of </w:t>
      </w:r>
      <w:proofErr w:type="spellStart"/>
      <w:r w:rsidRPr="002B0229">
        <w:rPr>
          <w:szCs w:val="18"/>
        </w:rPr>
        <w:t>Intent</w:t>
      </w:r>
      <w:proofErr w:type="spellEnd"/>
      <w:r w:rsidRPr="002B0229">
        <w:rPr>
          <w:szCs w:val="18"/>
        </w:rPr>
        <w:t xml:space="preserve"> (</w:t>
      </w:r>
      <w:proofErr w:type="spellStart"/>
      <w:r w:rsidRPr="002B0229">
        <w:rPr>
          <w:szCs w:val="18"/>
        </w:rPr>
        <w:t>JLoI</w:t>
      </w:r>
      <w:proofErr w:type="spellEnd"/>
      <w:r w:rsidRPr="002B0229">
        <w:rPr>
          <w:szCs w:val="18"/>
        </w:rPr>
        <w:t>) met het bedrijf gestart. Met het aannemen van de motie Erkens</w:t>
      </w:r>
      <w:r w:rsidRPr="002B0229">
        <w:rPr>
          <w:rStyle w:val="Voetnootmarkering"/>
          <w:szCs w:val="18"/>
        </w:rPr>
        <w:footnoteReference w:id="5"/>
      </w:r>
      <w:r w:rsidRPr="002B0229">
        <w:rPr>
          <w:szCs w:val="18"/>
        </w:rPr>
        <w:t xml:space="preserve"> heeft ook de Kamer zich</w:t>
      </w:r>
      <w:r>
        <w:rPr>
          <w:szCs w:val="18"/>
        </w:rPr>
        <w:t xml:space="preserve"> met een ruime meerderheid</w:t>
      </w:r>
      <w:r w:rsidRPr="002B0229">
        <w:rPr>
          <w:szCs w:val="18"/>
        </w:rPr>
        <w:t xml:space="preserve"> achter de onderhandelingsinzet voor de maatwerkafspraak met TSN geschaard.</w:t>
      </w:r>
    </w:p>
    <w:p w:rsidR="001C42F5" w:rsidP="001C42F5" w:rsidRDefault="001C42F5" w14:paraId="60AA6E9D" w14:textId="77777777">
      <w:pPr>
        <w:rPr>
          <w:szCs w:val="18"/>
        </w:rPr>
      </w:pPr>
    </w:p>
    <w:p w:rsidRPr="003D24DD" w:rsidR="001C42F5" w:rsidP="001C42F5" w:rsidRDefault="001C42F5" w14:paraId="056273F3" w14:textId="4D2AA9DB">
      <w:pPr>
        <w:rPr>
          <w:rFonts w:eastAsia="Calibri" w:cs="Calibri"/>
          <w:szCs w:val="18"/>
        </w:rPr>
      </w:pPr>
      <w:r w:rsidRPr="002B0229">
        <w:rPr>
          <w:szCs w:val="18"/>
        </w:rPr>
        <w:t xml:space="preserve">Op 29 september 2025 heeft de staat de Joint Letter of </w:t>
      </w:r>
      <w:proofErr w:type="spellStart"/>
      <w:r w:rsidRPr="002B0229">
        <w:rPr>
          <w:szCs w:val="18"/>
        </w:rPr>
        <w:t>Intent</w:t>
      </w:r>
      <w:proofErr w:type="spellEnd"/>
      <w:r w:rsidRPr="002B0229">
        <w:rPr>
          <w:szCs w:val="18"/>
        </w:rPr>
        <w:t xml:space="preserve"> (</w:t>
      </w:r>
      <w:proofErr w:type="spellStart"/>
      <w:r w:rsidRPr="002B0229">
        <w:rPr>
          <w:szCs w:val="18"/>
        </w:rPr>
        <w:t>JLoI</w:t>
      </w:r>
      <w:proofErr w:type="spellEnd"/>
      <w:r w:rsidRPr="002B0229">
        <w:rPr>
          <w:szCs w:val="18"/>
        </w:rPr>
        <w:t>) met T</w:t>
      </w:r>
      <w:r>
        <w:rPr>
          <w:szCs w:val="18"/>
        </w:rPr>
        <w:t>SN</w:t>
      </w:r>
      <w:r w:rsidRPr="002B0229">
        <w:rPr>
          <w:szCs w:val="18"/>
        </w:rPr>
        <w:t>, moederbedrijf Tata Steel Limited (TSL) en de Provincie Noord-Holland (PNH) ondertekend, een belangrijke tussenstap naar een definitieve maatwerkafspraak</w:t>
      </w:r>
      <w:r>
        <w:rPr>
          <w:szCs w:val="18"/>
        </w:rPr>
        <w:t>.</w:t>
      </w:r>
      <w:r>
        <w:rPr>
          <w:rStyle w:val="Voetnootmarkering"/>
          <w:szCs w:val="18"/>
        </w:rPr>
        <w:footnoteReference w:id="6"/>
      </w:r>
      <w:r w:rsidRPr="002B0229">
        <w:rPr>
          <w:szCs w:val="18"/>
        </w:rPr>
        <w:t xml:space="preserve"> In de </w:t>
      </w:r>
      <w:proofErr w:type="spellStart"/>
      <w:r w:rsidRPr="002B0229">
        <w:rPr>
          <w:szCs w:val="18"/>
        </w:rPr>
        <w:t>JLoI</w:t>
      </w:r>
      <w:proofErr w:type="spellEnd"/>
      <w:r w:rsidRPr="002B0229">
        <w:rPr>
          <w:szCs w:val="18"/>
        </w:rPr>
        <w:t xml:space="preserve"> is </w:t>
      </w:r>
      <w:r>
        <w:rPr>
          <w:szCs w:val="18"/>
        </w:rPr>
        <w:t>afgesproken</w:t>
      </w:r>
      <w:r w:rsidRPr="002B0229">
        <w:rPr>
          <w:szCs w:val="18"/>
        </w:rPr>
        <w:t xml:space="preserve"> dat TSN</w:t>
      </w:r>
      <w:r>
        <w:rPr>
          <w:szCs w:val="18"/>
        </w:rPr>
        <w:t>,</w:t>
      </w:r>
      <w:r w:rsidRPr="002B0229">
        <w:rPr>
          <w:szCs w:val="18"/>
        </w:rPr>
        <w:t xml:space="preserve"> om te verduurzamen en haar impact op de </w:t>
      </w:r>
      <w:r>
        <w:rPr>
          <w:szCs w:val="18"/>
        </w:rPr>
        <w:t>leefomgeving en gezondheid van omwonenden</w:t>
      </w:r>
      <w:r w:rsidRPr="002B0229">
        <w:rPr>
          <w:szCs w:val="18"/>
        </w:rPr>
        <w:t xml:space="preserve"> te verminderen</w:t>
      </w:r>
      <w:r>
        <w:rPr>
          <w:szCs w:val="18"/>
        </w:rPr>
        <w:t>,</w:t>
      </w:r>
      <w:r w:rsidRPr="002B0229">
        <w:rPr>
          <w:szCs w:val="18"/>
        </w:rPr>
        <w:t xml:space="preserve"> overstapt op een duurzamere productieroute op basis van een </w:t>
      </w:r>
      <w:r w:rsidRPr="00BA7791">
        <w:rPr>
          <w:i/>
          <w:iCs/>
          <w:szCs w:val="18"/>
        </w:rPr>
        <w:t xml:space="preserve">Direct </w:t>
      </w:r>
      <w:proofErr w:type="spellStart"/>
      <w:r w:rsidRPr="00BA7791">
        <w:rPr>
          <w:i/>
          <w:iCs/>
          <w:szCs w:val="18"/>
        </w:rPr>
        <w:t>Reduction</w:t>
      </w:r>
      <w:proofErr w:type="spellEnd"/>
      <w:r w:rsidRPr="00BA7791">
        <w:rPr>
          <w:i/>
          <w:iCs/>
          <w:szCs w:val="18"/>
        </w:rPr>
        <w:t xml:space="preserve"> Plant</w:t>
      </w:r>
      <w:r w:rsidRPr="002B0229">
        <w:rPr>
          <w:szCs w:val="18"/>
        </w:rPr>
        <w:t xml:space="preserve"> en </w:t>
      </w:r>
      <w:r w:rsidRPr="00BA7791">
        <w:rPr>
          <w:i/>
          <w:iCs/>
          <w:szCs w:val="18"/>
        </w:rPr>
        <w:t xml:space="preserve">Electric </w:t>
      </w:r>
      <w:proofErr w:type="spellStart"/>
      <w:r w:rsidRPr="00BA7791">
        <w:rPr>
          <w:i/>
          <w:iCs/>
          <w:szCs w:val="18"/>
        </w:rPr>
        <w:t>Arc</w:t>
      </w:r>
      <w:proofErr w:type="spellEnd"/>
      <w:r w:rsidRPr="00BA7791">
        <w:rPr>
          <w:i/>
          <w:iCs/>
          <w:szCs w:val="18"/>
        </w:rPr>
        <w:t xml:space="preserve"> </w:t>
      </w:r>
      <w:proofErr w:type="spellStart"/>
      <w:r w:rsidRPr="00BA7791">
        <w:rPr>
          <w:i/>
          <w:iCs/>
          <w:szCs w:val="18"/>
        </w:rPr>
        <w:t>Furnace</w:t>
      </w:r>
      <w:proofErr w:type="spellEnd"/>
      <w:r w:rsidRPr="002B0229">
        <w:rPr>
          <w:szCs w:val="18"/>
        </w:rPr>
        <w:t xml:space="preserve"> (DRP-EAF) en extra (bovenwettelijke) milieumaatregelen gaat nemen</w:t>
      </w:r>
      <w:r>
        <w:rPr>
          <w:szCs w:val="18"/>
        </w:rPr>
        <w:t xml:space="preserve"> om de overlast voor de omgeving te verminderen</w:t>
      </w:r>
      <w:r w:rsidRPr="002B0229">
        <w:rPr>
          <w:szCs w:val="18"/>
        </w:rPr>
        <w:t xml:space="preserve">. Dit </w:t>
      </w:r>
      <w:r>
        <w:rPr>
          <w:szCs w:val="18"/>
        </w:rPr>
        <w:t xml:space="preserve">plan </w:t>
      </w:r>
      <w:r w:rsidRPr="002B0229">
        <w:rPr>
          <w:rFonts w:eastAsia="Calibri" w:cs="Calibri"/>
          <w:szCs w:val="18"/>
        </w:rPr>
        <w:t xml:space="preserve">leidt </w:t>
      </w:r>
      <w:r>
        <w:rPr>
          <w:rFonts w:eastAsia="Calibri" w:cs="Calibri"/>
          <w:szCs w:val="18"/>
        </w:rPr>
        <w:t xml:space="preserve">naar verwachting </w:t>
      </w:r>
      <w:r w:rsidRPr="002B0229">
        <w:rPr>
          <w:rFonts w:eastAsia="Calibri" w:cs="Calibri"/>
          <w:szCs w:val="18"/>
        </w:rPr>
        <w:t xml:space="preserve">tot een reductie van meer dan 5% van de nationale CO2 uitstoot (tot 7.2 </w:t>
      </w:r>
      <w:proofErr w:type="spellStart"/>
      <w:r w:rsidRPr="002B0229">
        <w:rPr>
          <w:rFonts w:eastAsia="Calibri" w:cs="Calibri"/>
          <w:szCs w:val="18"/>
        </w:rPr>
        <w:t>Mton</w:t>
      </w:r>
      <w:proofErr w:type="spellEnd"/>
      <w:r w:rsidRPr="002B0229">
        <w:rPr>
          <w:rFonts w:eastAsia="Calibri" w:cs="Calibri"/>
          <w:szCs w:val="18"/>
        </w:rPr>
        <w:t xml:space="preserve"> per jaar) en een significante vermindering van de uitstoot van stikstof, fijnstof en zee</w:t>
      </w:r>
      <w:r>
        <w:rPr>
          <w:rFonts w:eastAsia="Calibri" w:cs="Calibri"/>
          <w:szCs w:val="18"/>
        </w:rPr>
        <w:t xml:space="preserve">r </w:t>
      </w:r>
      <w:r w:rsidRPr="002B0229">
        <w:rPr>
          <w:rFonts w:eastAsia="Calibri" w:cs="Calibri"/>
          <w:szCs w:val="18"/>
        </w:rPr>
        <w:t>zorgwekkende stoffen en geluidsoverlast.</w:t>
      </w:r>
      <w:r>
        <w:rPr>
          <w:rStyle w:val="Voetnootmarkering"/>
          <w:rFonts w:eastAsia="Calibri" w:cs="Calibri"/>
          <w:szCs w:val="18"/>
        </w:rPr>
        <w:footnoteReference w:id="7"/>
      </w:r>
      <w:r w:rsidRPr="002B0229">
        <w:rPr>
          <w:rFonts w:eastAsia="Calibri" w:cs="Calibri"/>
          <w:szCs w:val="18"/>
        </w:rPr>
        <w:t xml:space="preserve"> De totale investeringskosten bedragen 4 –</w:t>
      </w:r>
      <w:r>
        <w:rPr>
          <w:rFonts w:eastAsia="Calibri" w:cs="Calibri"/>
          <w:szCs w:val="18"/>
        </w:rPr>
        <w:t xml:space="preserve"> </w:t>
      </w:r>
      <w:r w:rsidRPr="002B0229">
        <w:rPr>
          <w:rFonts w:eastAsia="Calibri" w:cs="Calibri"/>
          <w:szCs w:val="18"/>
        </w:rPr>
        <w:t>6,</w:t>
      </w:r>
      <w:r>
        <w:rPr>
          <w:rFonts w:eastAsia="Calibri" w:cs="Calibri"/>
          <w:szCs w:val="18"/>
        </w:rPr>
        <w:t>5</w:t>
      </w:r>
      <w:r w:rsidRPr="002B0229">
        <w:rPr>
          <w:rFonts w:eastAsia="Calibri" w:cs="Calibri"/>
          <w:szCs w:val="18"/>
        </w:rPr>
        <w:t xml:space="preserve"> m</w:t>
      </w:r>
      <w:r>
        <w:rPr>
          <w:rFonts w:eastAsia="Calibri" w:cs="Calibri"/>
          <w:szCs w:val="18"/>
        </w:rPr>
        <w:t>iljard euro.</w:t>
      </w:r>
      <w:r w:rsidRPr="002B0229">
        <w:rPr>
          <w:rFonts w:eastAsia="Calibri" w:cs="Calibri"/>
          <w:szCs w:val="18"/>
        </w:rPr>
        <w:t xml:space="preserve"> </w:t>
      </w:r>
      <w:r>
        <w:rPr>
          <w:rFonts w:eastAsia="Calibri" w:cs="Calibri"/>
          <w:szCs w:val="18"/>
        </w:rPr>
        <w:t xml:space="preserve">De bijdrage van de </w:t>
      </w:r>
      <w:r w:rsidRPr="002B0229">
        <w:rPr>
          <w:rFonts w:eastAsia="Calibri" w:cs="Calibri"/>
          <w:szCs w:val="18"/>
        </w:rPr>
        <w:t xml:space="preserve">staat is </w:t>
      </w:r>
      <w:r>
        <w:rPr>
          <w:rFonts w:eastAsia="Calibri" w:cs="Calibri"/>
          <w:szCs w:val="18"/>
        </w:rPr>
        <w:t>gemaximeerd op 2 miljard euro, ongeacht waar het bedrag in de bandbreedte van 4 – 6,5 miljard euro op uitkomt. De investering van TSL en TSN en de bijdrage van de staat blijven in verhouding, in de zin dat als de investering van TSN en TSL lager uitvalt dan de verwachte bandbreedte, de bijdrage van de staat ook lager zal worden. TSL en TSN dragen het risico als de kosten hoger worden dan voorzie</w:t>
      </w:r>
      <w:r w:rsidRPr="003D24DD">
        <w:rPr>
          <w:rFonts w:eastAsia="Calibri" w:cs="Calibri"/>
          <w:szCs w:val="18"/>
        </w:rPr>
        <w:t>n – de bijdrage van de staat is zoals gezegd gemaximeerd op 2 miljard euro.</w:t>
      </w:r>
    </w:p>
    <w:p w:rsidRPr="002B0229" w:rsidR="001C42F5" w:rsidP="001C42F5" w:rsidRDefault="001C42F5" w14:paraId="2D06EEDF" w14:textId="77777777">
      <w:pPr>
        <w:rPr>
          <w:szCs w:val="18"/>
        </w:rPr>
      </w:pPr>
    </w:p>
    <w:p w:rsidR="001C42F5" w:rsidP="001C42F5" w:rsidRDefault="001C42F5" w14:paraId="7E06A053" w14:textId="77777777">
      <w:pPr>
        <w:rPr>
          <w:rFonts w:eastAsia="Calibri" w:cs="Calibri"/>
          <w:szCs w:val="18"/>
        </w:rPr>
      </w:pPr>
      <w:r w:rsidRPr="002B0229">
        <w:rPr>
          <w:rFonts w:eastAsia="Calibri" w:cs="Calibri"/>
          <w:szCs w:val="18"/>
        </w:rPr>
        <w:t xml:space="preserve">In de brief van Greenpeace en de omwonendenorganisaties wordt verwezen naar enkele punten uit de </w:t>
      </w:r>
      <w:proofErr w:type="spellStart"/>
      <w:r w:rsidRPr="002B0229">
        <w:rPr>
          <w:rFonts w:eastAsia="Calibri" w:cs="Calibri"/>
          <w:szCs w:val="18"/>
        </w:rPr>
        <w:t>JLoI</w:t>
      </w:r>
      <w:proofErr w:type="spellEnd"/>
      <w:r w:rsidRPr="002B0229">
        <w:rPr>
          <w:rFonts w:eastAsia="Calibri" w:cs="Calibri"/>
          <w:szCs w:val="18"/>
        </w:rPr>
        <w:t xml:space="preserve"> die volgens de indieners risico’s met zich meebrengen, hier wil ik graag kort op ingaan. </w:t>
      </w:r>
    </w:p>
    <w:p w:rsidRPr="002B0229" w:rsidR="001C42F5" w:rsidP="001C42F5" w:rsidRDefault="001C42F5" w14:paraId="5F417CA6" w14:textId="77777777">
      <w:pPr>
        <w:rPr>
          <w:rFonts w:eastAsia="Calibri" w:cs="Calibri"/>
          <w:szCs w:val="18"/>
        </w:rPr>
      </w:pPr>
    </w:p>
    <w:p w:rsidRPr="002B0229" w:rsidR="001C42F5" w:rsidP="001C42F5" w:rsidRDefault="001C42F5" w14:paraId="6E57C6BE" w14:textId="77777777">
      <w:pPr>
        <w:rPr>
          <w:rFonts w:eastAsia="Calibri" w:cs="Calibri"/>
          <w:szCs w:val="18"/>
        </w:rPr>
      </w:pPr>
      <w:r w:rsidRPr="002B0229">
        <w:rPr>
          <w:rFonts w:eastAsia="Calibri" w:cs="Calibri"/>
          <w:szCs w:val="18"/>
        </w:rPr>
        <w:t xml:space="preserve">Allereerst vind ik het van belang om te verduidelijken wat de </w:t>
      </w:r>
      <w:proofErr w:type="spellStart"/>
      <w:r w:rsidRPr="002B0229">
        <w:rPr>
          <w:rFonts w:eastAsia="Calibri" w:cs="Calibri"/>
          <w:szCs w:val="18"/>
        </w:rPr>
        <w:t>JLoI</w:t>
      </w:r>
      <w:proofErr w:type="spellEnd"/>
      <w:r w:rsidRPr="002B0229">
        <w:rPr>
          <w:rFonts w:eastAsia="Calibri" w:cs="Calibri"/>
          <w:szCs w:val="18"/>
        </w:rPr>
        <w:t xml:space="preserve"> wel en niet is. De </w:t>
      </w:r>
      <w:proofErr w:type="spellStart"/>
      <w:r w:rsidRPr="002B0229">
        <w:rPr>
          <w:rFonts w:eastAsia="Calibri" w:cs="Calibri"/>
          <w:szCs w:val="18"/>
        </w:rPr>
        <w:t>JLoI</w:t>
      </w:r>
      <w:proofErr w:type="spellEnd"/>
      <w:r w:rsidRPr="002B0229">
        <w:rPr>
          <w:rFonts w:eastAsia="Calibri" w:cs="Calibri"/>
          <w:szCs w:val="18"/>
        </w:rPr>
        <w:t xml:space="preserve"> is een stap in het proces om te komen tot een definitieve maatwerkafspraak. In de </w:t>
      </w:r>
      <w:proofErr w:type="spellStart"/>
      <w:r w:rsidRPr="002B0229">
        <w:rPr>
          <w:rFonts w:eastAsia="Calibri" w:cs="Calibri"/>
          <w:szCs w:val="18"/>
        </w:rPr>
        <w:t>JLoI</w:t>
      </w:r>
      <w:proofErr w:type="spellEnd"/>
      <w:r w:rsidRPr="002B0229">
        <w:rPr>
          <w:rFonts w:eastAsia="Calibri" w:cs="Calibri"/>
          <w:szCs w:val="18"/>
        </w:rPr>
        <w:t xml:space="preserve"> staan inspanningsverplichtingen voor de staat, TSN, TSL en </w:t>
      </w:r>
      <w:r>
        <w:rPr>
          <w:rFonts w:eastAsia="Calibri" w:cs="Calibri"/>
          <w:szCs w:val="18"/>
        </w:rPr>
        <w:t xml:space="preserve">de </w:t>
      </w:r>
      <w:r w:rsidRPr="002B0229">
        <w:rPr>
          <w:rFonts w:eastAsia="Calibri" w:cs="Calibri"/>
          <w:szCs w:val="18"/>
        </w:rPr>
        <w:t xml:space="preserve">PNH. Deze inspanningsverplichtingen </w:t>
      </w:r>
      <w:r>
        <w:rPr>
          <w:rFonts w:eastAsia="Calibri" w:cs="Calibri"/>
          <w:szCs w:val="18"/>
        </w:rPr>
        <w:t>hebben als doel</w:t>
      </w:r>
      <w:r w:rsidRPr="002B0229">
        <w:rPr>
          <w:rFonts w:eastAsia="Calibri" w:cs="Calibri"/>
          <w:szCs w:val="18"/>
        </w:rPr>
        <w:t xml:space="preserve"> om tot een definitieve maatwerkafspraak te komen. Daarnaast schetst de </w:t>
      </w:r>
      <w:proofErr w:type="spellStart"/>
      <w:r w:rsidRPr="002B0229">
        <w:rPr>
          <w:rFonts w:eastAsia="Calibri" w:cs="Calibri"/>
          <w:szCs w:val="18"/>
        </w:rPr>
        <w:t>JLoI</w:t>
      </w:r>
      <w:proofErr w:type="spellEnd"/>
      <w:r w:rsidRPr="002B0229">
        <w:rPr>
          <w:rFonts w:eastAsia="Calibri" w:cs="Calibri"/>
          <w:szCs w:val="18"/>
        </w:rPr>
        <w:t xml:space="preserve"> ook de contouren voor d</w:t>
      </w:r>
      <w:r>
        <w:rPr>
          <w:rFonts w:eastAsia="Calibri" w:cs="Calibri"/>
          <w:szCs w:val="18"/>
        </w:rPr>
        <w:t>i</w:t>
      </w:r>
      <w:r w:rsidRPr="002B0229">
        <w:rPr>
          <w:rFonts w:eastAsia="Calibri" w:cs="Calibri"/>
          <w:szCs w:val="18"/>
        </w:rPr>
        <w:t xml:space="preserve">e maatwerkafspraak, waaronder de beoogde doelen, projecten en verplichtingen. Met de </w:t>
      </w:r>
      <w:proofErr w:type="spellStart"/>
      <w:r w:rsidRPr="002B0229">
        <w:rPr>
          <w:rFonts w:eastAsia="Calibri" w:cs="Calibri"/>
          <w:szCs w:val="18"/>
        </w:rPr>
        <w:t>JLoI</w:t>
      </w:r>
      <w:proofErr w:type="spellEnd"/>
      <w:r w:rsidRPr="002B0229">
        <w:rPr>
          <w:rFonts w:eastAsia="Calibri" w:cs="Calibri"/>
          <w:szCs w:val="18"/>
        </w:rPr>
        <w:t xml:space="preserve"> zijn de partijen dus nog niet gebonden aan het behalen van de doelen</w:t>
      </w:r>
      <w:r>
        <w:rPr>
          <w:rFonts w:eastAsia="Calibri" w:cs="Calibri"/>
          <w:szCs w:val="18"/>
        </w:rPr>
        <w:t xml:space="preserve"> of het verstrekken van de subsidie, </w:t>
      </w:r>
      <w:r w:rsidRPr="002B0229">
        <w:rPr>
          <w:rFonts w:eastAsia="Calibri" w:cs="Calibri"/>
          <w:szCs w:val="18"/>
        </w:rPr>
        <w:t xml:space="preserve">enkel tot </w:t>
      </w:r>
      <w:r>
        <w:rPr>
          <w:rFonts w:eastAsia="Calibri" w:cs="Calibri"/>
          <w:szCs w:val="18"/>
        </w:rPr>
        <w:t xml:space="preserve">het verrichten </w:t>
      </w:r>
      <w:r>
        <w:rPr>
          <w:rFonts w:eastAsia="Calibri" w:cs="Calibri"/>
          <w:szCs w:val="18"/>
        </w:rPr>
        <w:lastRenderedPageBreak/>
        <w:t xml:space="preserve">van </w:t>
      </w:r>
      <w:r w:rsidRPr="002B0229">
        <w:rPr>
          <w:rFonts w:eastAsia="Calibri" w:cs="Calibri"/>
          <w:szCs w:val="18"/>
        </w:rPr>
        <w:t xml:space="preserve">inspanningen </w:t>
      </w:r>
      <w:r>
        <w:rPr>
          <w:rFonts w:eastAsia="Calibri" w:cs="Calibri"/>
          <w:szCs w:val="18"/>
        </w:rPr>
        <w:t xml:space="preserve">om tot afspraken te komen binnen de kaders van de </w:t>
      </w:r>
      <w:proofErr w:type="spellStart"/>
      <w:r>
        <w:rPr>
          <w:rFonts w:eastAsia="Calibri" w:cs="Calibri"/>
          <w:szCs w:val="18"/>
        </w:rPr>
        <w:t>JLoI</w:t>
      </w:r>
      <w:proofErr w:type="spellEnd"/>
      <w:r w:rsidRPr="002B0229">
        <w:rPr>
          <w:rFonts w:eastAsia="Calibri" w:cs="Calibri"/>
          <w:szCs w:val="18"/>
        </w:rPr>
        <w:t xml:space="preserve">. Het </w:t>
      </w:r>
      <w:r>
        <w:rPr>
          <w:rFonts w:eastAsia="Calibri" w:cs="Calibri"/>
          <w:szCs w:val="18"/>
        </w:rPr>
        <w:t xml:space="preserve">doel van het komen tot een maatwerkafspraak is om ervoor te zorgen dat </w:t>
      </w:r>
      <w:r w:rsidRPr="002B0229">
        <w:rPr>
          <w:rFonts w:eastAsia="Calibri" w:cs="Calibri"/>
          <w:szCs w:val="18"/>
        </w:rPr>
        <w:t xml:space="preserve">de maatschappelijke doelen worden </w:t>
      </w:r>
      <w:r>
        <w:rPr>
          <w:rFonts w:eastAsia="Calibri" w:cs="Calibri"/>
          <w:szCs w:val="18"/>
        </w:rPr>
        <w:t>behaald</w:t>
      </w:r>
      <w:r w:rsidRPr="002B0229">
        <w:rPr>
          <w:rFonts w:eastAsia="Calibri" w:cs="Calibri"/>
          <w:szCs w:val="18"/>
        </w:rPr>
        <w:t xml:space="preserve">. De komende periode wordt de </w:t>
      </w:r>
      <w:proofErr w:type="spellStart"/>
      <w:r w:rsidRPr="002B0229">
        <w:rPr>
          <w:rFonts w:eastAsia="Calibri" w:cs="Calibri"/>
          <w:szCs w:val="18"/>
        </w:rPr>
        <w:t>JLoI</w:t>
      </w:r>
      <w:proofErr w:type="spellEnd"/>
      <w:r w:rsidRPr="002B0229">
        <w:rPr>
          <w:rFonts w:eastAsia="Calibri" w:cs="Calibri"/>
          <w:szCs w:val="18"/>
        </w:rPr>
        <w:t xml:space="preserve"> uitgewerkt tot een maatwerkafspraak waarin de doelen worden vastgelegd als harde, juridisch afdwingbare resultaatsverplichtingen</w:t>
      </w:r>
      <w:r>
        <w:rPr>
          <w:rFonts w:eastAsia="Calibri" w:cs="Calibri"/>
          <w:szCs w:val="18"/>
        </w:rPr>
        <w:t xml:space="preserve">. Dit betekent dat het behalen van de doelen dus niet vrijblijvend zal zijn als de maatwerkafspraak is gesloten. </w:t>
      </w:r>
      <w:r w:rsidRPr="002B0229">
        <w:rPr>
          <w:rFonts w:eastAsia="Calibri" w:cs="Calibri"/>
          <w:szCs w:val="18"/>
        </w:rPr>
        <w:t>Hiermee is het door Greenpeace en de omwonendenorganisaties benoemde risico dat de afspraken vrijblijvend zijn</w:t>
      </w:r>
      <w:r>
        <w:rPr>
          <w:rFonts w:eastAsia="Calibri" w:cs="Calibri"/>
          <w:szCs w:val="18"/>
        </w:rPr>
        <w:t>,</w:t>
      </w:r>
      <w:r w:rsidRPr="002B0229">
        <w:rPr>
          <w:rFonts w:eastAsia="Calibri" w:cs="Calibri"/>
          <w:szCs w:val="18"/>
        </w:rPr>
        <w:t xml:space="preserve"> geborgd</w:t>
      </w:r>
      <w:r>
        <w:rPr>
          <w:rFonts w:eastAsia="Calibri" w:cs="Calibri"/>
          <w:szCs w:val="18"/>
        </w:rPr>
        <w:t xml:space="preserve"> in de volgende stap die het kabinet wil zetten</w:t>
      </w:r>
      <w:r w:rsidRPr="002B0229">
        <w:rPr>
          <w:rFonts w:eastAsia="Calibri" w:cs="Calibri"/>
          <w:szCs w:val="18"/>
        </w:rPr>
        <w:t xml:space="preserve">. </w:t>
      </w:r>
    </w:p>
    <w:p w:rsidRPr="002B0229" w:rsidR="001C42F5" w:rsidP="001C42F5" w:rsidRDefault="001C42F5" w14:paraId="38704A14" w14:textId="77777777">
      <w:pPr>
        <w:rPr>
          <w:rFonts w:eastAsia="Calibri" w:cs="Calibri"/>
          <w:szCs w:val="18"/>
        </w:rPr>
      </w:pPr>
    </w:p>
    <w:p w:rsidR="001C42F5" w:rsidP="001C42F5" w:rsidRDefault="001C42F5" w14:paraId="46D6C033" w14:textId="77777777">
      <w:pPr>
        <w:rPr>
          <w:rFonts w:eastAsia="Calibri" w:cs="Calibri"/>
          <w:szCs w:val="18"/>
        </w:rPr>
      </w:pPr>
      <w:r w:rsidRPr="002B0229">
        <w:rPr>
          <w:rFonts w:eastAsia="Calibri" w:cs="Calibri"/>
          <w:szCs w:val="18"/>
        </w:rPr>
        <w:t xml:space="preserve">Andere risico’s waar Greenpeace en de omwonendenorganisaties op wijzen zien op de opzeggronden van de </w:t>
      </w:r>
      <w:proofErr w:type="spellStart"/>
      <w:r w:rsidRPr="002B0229">
        <w:rPr>
          <w:rFonts w:eastAsia="Calibri" w:cs="Calibri"/>
          <w:szCs w:val="18"/>
        </w:rPr>
        <w:t>JLoI</w:t>
      </w:r>
      <w:proofErr w:type="spellEnd"/>
      <w:r w:rsidRPr="002B0229">
        <w:rPr>
          <w:rFonts w:eastAsia="Calibri" w:cs="Calibri"/>
          <w:szCs w:val="18"/>
        </w:rPr>
        <w:t xml:space="preserve">, het gebruik van groene energiebronnen en het pad naar </w:t>
      </w:r>
      <w:proofErr w:type="spellStart"/>
      <w:r w:rsidRPr="002B0229">
        <w:rPr>
          <w:rFonts w:eastAsia="Calibri" w:cs="Calibri"/>
          <w:szCs w:val="18"/>
        </w:rPr>
        <w:t>klimaatneutrale</w:t>
      </w:r>
      <w:proofErr w:type="spellEnd"/>
      <w:r w:rsidRPr="002B0229">
        <w:rPr>
          <w:rFonts w:eastAsia="Calibri" w:cs="Calibri"/>
          <w:szCs w:val="18"/>
        </w:rPr>
        <w:t xml:space="preserve"> productie. </w:t>
      </w:r>
      <w:r>
        <w:rPr>
          <w:rFonts w:eastAsia="Calibri" w:cs="Calibri"/>
          <w:szCs w:val="18"/>
        </w:rPr>
        <w:t>Hieronder een aantal reflecties op deze onderwerpen:</w:t>
      </w:r>
    </w:p>
    <w:p w:rsidR="001C42F5" w:rsidP="001C42F5" w:rsidRDefault="001C42F5" w14:paraId="379843B0" w14:textId="77777777">
      <w:pPr>
        <w:pStyle w:val="Lijstalinea"/>
        <w:numPr>
          <w:ilvl w:val="0"/>
          <w:numId w:val="15"/>
        </w:numPr>
        <w:spacing w:after="0" w:line="240" w:lineRule="atLeast"/>
        <w:rPr>
          <w:rFonts w:ascii="Verdana" w:hAnsi="Verdana" w:eastAsia="Calibri" w:cs="Calibri"/>
          <w:sz w:val="18"/>
          <w:szCs w:val="18"/>
        </w:rPr>
      </w:pPr>
      <w:r w:rsidRPr="00515B5D">
        <w:rPr>
          <w:rFonts w:ascii="Verdana" w:hAnsi="Verdana" w:eastAsia="Calibri" w:cs="Calibri"/>
          <w:sz w:val="18"/>
          <w:szCs w:val="18"/>
        </w:rPr>
        <w:t>Aan elke gr</w:t>
      </w:r>
      <w:r>
        <w:rPr>
          <w:rFonts w:ascii="Verdana" w:hAnsi="Verdana" w:eastAsia="Calibri" w:cs="Calibri"/>
          <w:sz w:val="18"/>
          <w:szCs w:val="18"/>
        </w:rPr>
        <w:t xml:space="preserve">oot project </w:t>
      </w:r>
      <w:r w:rsidRPr="00515B5D">
        <w:rPr>
          <w:rFonts w:ascii="Verdana" w:hAnsi="Verdana" w:eastAsia="Calibri" w:cs="Calibri"/>
          <w:sz w:val="18"/>
          <w:szCs w:val="18"/>
        </w:rPr>
        <w:t>zijn risico’s verbonden die een impact hebben op de businesscase</w:t>
      </w:r>
      <w:r>
        <w:rPr>
          <w:rFonts w:ascii="Verdana" w:hAnsi="Verdana" w:eastAsia="Calibri" w:cs="Calibri"/>
          <w:sz w:val="18"/>
          <w:szCs w:val="18"/>
        </w:rPr>
        <w:t xml:space="preserve"> van een bedrijf.</w:t>
      </w:r>
      <w:r w:rsidRPr="00515B5D">
        <w:rPr>
          <w:rFonts w:ascii="Verdana" w:hAnsi="Verdana" w:eastAsia="Calibri" w:cs="Calibri"/>
          <w:sz w:val="18"/>
          <w:szCs w:val="18"/>
        </w:rPr>
        <w:t xml:space="preserve"> </w:t>
      </w:r>
      <w:r>
        <w:rPr>
          <w:rFonts w:ascii="Verdana" w:hAnsi="Verdana" w:eastAsia="Calibri" w:cs="Calibri"/>
          <w:sz w:val="18"/>
          <w:szCs w:val="18"/>
        </w:rPr>
        <w:t xml:space="preserve">Een subsidie en het aangaan van </w:t>
      </w:r>
      <w:r w:rsidRPr="00AA47D5">
        <w:rPr>
          <w:rFonts w:ascii="Verdana" w:hAnsi="Verdana" w:eastAsia="Calibri" w:cs="Calibri"/>
          <w:sz w:val="18"/>
          <w:szCs w:val="18"/>
        </w:rPr>
        <w:t>maatwerkafspraken is en blijft een vrijwillig traject. Het bedrijf zal uiteindelijk de beslissing moeten nemen om wel of geen subsidie aan te vragen. Na het ondertekenen van de uiteindelijke maatwerkafspraak zijn de afspraken wél juridisch bindend. In tegenstelling tot wat Greenpeace en de omwonendenorganisaties suggereren en</w:t>
      </w:r>
      <w:r w:rsidRPr="00515B5D">
        <w:rPr>
          <w:rFonts w:ascii="Verdana" w:hAnsi="Verdana" w:eastAsia="Calibri" w:cs="Calibri"/>
          <w:sz w:val="18"/>
          <w:szCs w:val="18"/>
        </w:rPr>
        <w:t xml:space="preserve"> zoals eerder aan de Kamer gecommuniceerd</w:t>
      </w:r>
      <w:r w:rsidRPr="002B0229">
        <w:rPr>
          <w:rStyle w:val="Voetnootmarkering"/>
          <w:rFonts w:ascii="Verdana" w:hAnsi="Verdana" w:eastAsia="Calibri" w:cs="Calibri"/>
          <w:sz w:val="18"/>
          <w:szCs w:val="18"/>
        </w:rPr>
        <w:footnoteReference w:id="8"/>
      </w:r>
      <w:r w:rsidRPr="00515B5D">
        <w:rPr>
          <w:rFonts w:ascii="Verdana" w:hAnsi="Verdana" w:eastAsia="Calibri" w:cs="Calibri"/>
          <w:sz w:val="18"/>
          <w:szCs w:val="18"/>
        </w:rPr>
        <w:t xml:space="preserve"> doen </w:t>
      </w:r>
      <w:r>
        <w:rPr>
          <w:rFonts w:ascii="Verdana" w:hAnsi="Verdana" w:eastAsia="Calibri" w:cs="Calibri"/>
          <w:sz w:val="18"/>
          <w:szCs w:val="18"/>
        </w:rPr>
        <w:t xml:space="preserve">de </w:t>
      </w:r>
      <w:r w:rsidRPr="00515B5D">
        <w:rPr>
          <w:rFonts w:ascii="Verdana" w:hAnsi="Verdana" w:eastAsia="Calibri" w:cs="Calibri"/>
          <w:sz w:val="18"/>
          <w:szCs w:val="18"/>
        </w:rPr>
        <w:t xml:space="preserve">opzeggronden </w:t>
      </w:r>
      <w:r>
        <w:rPr>
          <w:rFonts w:ascii="Verdana" w:hAnsi="Verdana" w:eastAsia="Calibri" w:cs="Calibri"/>
          <w:sz w:val="18"/>
          <w:szCs w:val="18"/>
        </w:rPr>
        <w:t xml:space="preserve">in de </w:t>
      </w:r>
      <w:proofErr w:type="spellStart"/>
      <w:r>
        <w:rPr>
          <w:rFonts w:ascii="Verdana" w:hAnsi="Verdana" w:eastAsia="Calibri" w:cs="Calibri"/>
          <w:sz w:val="18"/>
          <w:szCs w:val="18"/>
        </w:rPr>
        <w:t>JLoI</w:t>
      </w:r>
      <w:proofErr w:type="spellEnd"/>
      <w:r>
        <w:rPr>
          <w:rFonts w:ascii="Verdana" w:hAnsi="Verdana" w:eastAsia="Calibri" w:cs="Calibri"/>
          <w:sz w:val="18"/>
          <w:szCs w:val="18"/>
        </w:rPr>
        <w:t xml:space="preserve"> </w:t>
      </w:r>
      <w:r w:rsidRPr="00515B5D">
        <w:rPr>
          <w:rFonts w:ascii="Verdana" w:hAnsi="Verdana" w:eastAsia="Calibri" w:cs="Calibri"/>
          <w:sz w:val="18"/>
          <w:szCs w:val="18"/>
        </w:rPr>
        <w:t xml:space="preserve">geen enkele afbreuk aan de mogelijkheden van de staat om nieuw beleid op </w:t>
      </w:r>
      <w:r>
        <w:rPr>
          <w:rFonts w:ascii="Verdana" w:hAnsi="Verdana" w:eastAsia="Calibri" w:cs="Calibri"/>
          <w:sz w:val="18"/>
          <w:szCs w:val="18"/>
        </w:rPr>
        <w:t xml:space="preserve">de genoemde </w:t>
      </w:r>
      <w:r w:rsidRPr="00515B5D">
        <w:rPr>
          <w:rFonts w:ascii="Verdana" w:hAnsi="Verdana" w:eastAsia="Calibri" w:cs="Calibri"/>
          <w:sz w:val="18"/>
          <w:szCs w:val="18"/>
        </w:rPr>
        <w:t>terreinen in te voeren of bestaand beleid aan te scherpen.</w:t>
      </w:r>
      <w:r>
        <w:rPr>
          <w:rFonts w:ascii="Verdana" w:hAnsi="Verdana" w:eastAsia="Calibri" w:cs="Calibri"/>
          <w:sz w:val="18"/>
          <w:szCs w:val="18"/>
        </w:rPr>
        <w:t xml:space="preserve"> Ook committeert de staat zich met de opzeggronden op geen enkele manier aan het betalen van meerkosten aan het bedrijf.</w:t>
      </w:r>
    </w:p>
    <w:p w:rsidR="001C42F5" w:rsidP="001C42F5" w:rsidRDefault="001C42F5" w14:paraId="676984A3" w14:textId="77777777">
      <w:pPr>
        <w:pStyle w:val="Lijstalinea"/>
        <w:numPr>
          <w:ilvl w:val="0"/>
          <w:numId w:val="15"/>
        </w:numPr>
        <w:spacing w:after="0" w:line="240" w:lineRule="atLeast"/>
        <w:rPr>
          <w:rFonts w:ascii="Verdana" w:hAnsi="Verdana" w:eastAsia="Calibri" w:cs="Calibri"/>
          <w:sz w:val="18"/>
          <w:szCs w:val="18"/>
        </w:rPr>
      </w:pPr>
      <w:r w:rsidRPr="00515B5D">
        <w:rPr>
          <w:rFonts w:ascii="Verdana" w:hAnsi="Verdana" w:eastAsia="Calibri" w:cs="Calibri"/>
          <w:sz w:val="18"/>
          <w:szCs w:val="18"/>
        </w:rPr>
        <w:t xml:space="preserve">Wat betreft het gebruik van waterstof en </w:t>
      </w:r>
      <w:proofErr w:type="spellStart"/>
      <w:r w:rsidRPr="00515B5D">
        <w:rPr>
          <w:rFonts w:ascii="Verdana" w:hAnsi="Verdana" w:eastAsia="Calibri" w:cs="Calibri"/>
          <w:sz w:val="18"/>
          <w:szCs w:val="18"/>
        </w:rPr>
        <w:t>biomethaan</w:t>
      </w:r>
      <w:proofErr w:type="spellEnd"/>
      <w:r w:rsidRPr="00515B5D">
        <w:rPr>
          <w:rFonts w:ascii="Verdana" w:hAnsi="Verdana" w:eastAsia="Calibri" w:cs="Calibri"/>
          <w:sz w:val="18"/>
          <w:szCs w:val="18"/>
        </w:rPr>
        <w:t>: de juridische waarborgen voor de overstap op deze groene energiebronnen worden</w:t>
      </w:r>
      <w:r>
        <w:rPr>
          <w:rFonts w:ascii="Verdana" w:hAnsi="Verdana" w:eastAsia="Calibri" w:cs="Calibri"/>
          <w:sz w:val="18"/>
          <w:szCs w:val="18"/>
        </w:rPr>
        <w:t xml:space="preserve"> de komende periode</w:t>
      </w:r>
      <w:r w:rsidRPr="00515B5D">
        <w:rPr>
          <w:rFonts w:ascii="Verdana" w:hAnsi="Verdana" w:eastAsia="Calibri" w:cs="Calibri"/>
          <w:sz w:val="18"/>
          <w:szCs w:val="18"/>
        </w:rPr>
        <w:t xml:space="preserve"> uitgewerkt als onderdeel van de maatwerkafspraak. Voor meer informatie verwijzen wij graag naar de beantwoording van eerder gestelde Kamervragen</w:t>
      </w:r>
      <w:r>
        <w:rPr>
          <w:rFonts w:ascii="Verdana" w:hAnsi="Verdana" w:eastAsia="Calibri" w:cs="Calibri"/>
          <w:sz w:val="18"/>
          <w:szCs w:val="18"/>
        </w:rPr>
        <w:t xml:space="preserve"> hierover.</w:t>
      </w:r>
      <w:r w:rsidRPr="002B0229">
        <w:rPr>
          <w:rStyle w:val="Voetnootmarkering"/>
          <w:rFonts w:ascii="Verdana" w:hAnsi="Verdana" w:eastAsia="Calibri" w:cs="Calibri"/>
          <w:sz w:val="18"/>
          <w:szCs w:val="18"/>
        </w:rPr>
        <w:footnoteReference w:id="9"/>
      </w:r>
      <w:r w:rsidRPr="00515B5D">
        <w:rPr>
          <w:rFonts w:ascii="Verdana" w:hAnsi="Verdana" w:eastAsia="Calibri" w:cs="Calibri"/>
          <w:sz w:val="18"/>
          <w:szCs w:val="18"/>
        </w:rPr>
        <w:t xml:space="preserve"> </w:t>
      </w:r>
    </w:p>
    <w:p w:rsidRPr="00515B5D" w:rsidR="001C42F5" w:rsidP="001C42F5" w:rsidRDefault="001C42F5" w14:paraId="561248EA" w14:textId="77777777">
      <w:pPr>
        <w:pStyle w:val="Lijstalinea"/>
        <w:numPr>
          <w:ilvl w:val="0"/>
          <w:numId w:val="15"/>
        </w:numPr>
        <w:spacing w:after="0" w:line="240" w:lineRule="atLeast"/>
        <w:rPr>
          <w:rFonts w:ascii="Verdana" w:hAnsi="Verdana" w:eastAsia="Calibri" w:cs="Calibri"/>
          <w:sz w:val="18"/>
          <w:szCs w:val="18"/>
        </w:rPr>
      </w:pPr>
      <w:r w:rsidRPr="00515B5D">
        <w:rPr>
          <w:rFonts w:ascii="Verdana" w:hAnsi="Verdana" w:eastAsia="Calibri" w:cs="Calibri"/>
          <w:sz w:val="18"/>
          <w:szCs w:val="18"/>
        </w:rPr>
        <w:t xml:space="preserve">Als laatste merken wij op dat de </w:t>
      </w:r>
      <w:proofErr w:type="spellStart"/>
      <w:r w:rsidRPr="00515B5D">
        <w:rPr>
          <w:rFonts w:ascii="Verdana" w:hAnsi="Verdana" w:eastAsia="Calibri" w:cs="Calibri"/>
          <w:sz w:val="18"/>
          <w:szCs w:val="18"/>
        </w:rPr>
        <w:t>JLoI</w:t>
      </w:r>
      <w:proofErr w:type="spellEnd"/>
      <w:r w:rsidRPr="00515B5D">
        <w:rPr>
          <w:rFonts w:ascii="Verdana" w:hAnsi="Verdana" w:eastAsia="Calibri" w:cs="Calibri"/>
          <w:sz w:val="18"/>
          <w:szCs w:val="18"/>
        </w:rPr>
        <w:t xml:space="preserve"> zich richt op de eerste fase van de verduurzaming van TSN. Om klimaatneutraal te worden zal nog een tweede fase moeten volgen. Voor deze tweede fase is geen maatwerksteun voorzien. In de </w:t>
      </w:r>
      <w:proofErr w:type="spellStart"/>
      <w:r w:rsidRPr="00515B5D">
        <w:rPr>
          <w:rFonts w:ascii="Verdana" w:hAnsi="Verdana" w:eastAsia="Calibri" w:cs="Calibri"/>
          <w:sz w:val="18"/>
          <w:szCs w:val="18"/>
        </w:rPr>
        <w:t>JLoI</w:t>
      </w:r>
      <w:proofErr w:type="spellEnd"/>
      <w:r w:rsidRPr="00515B5D">
        <w:rPr>
          <w:rFonts w:ascii="Verdana" w:hAnsi="Verdana" w:eastAsia="Calibri" w:cs="Calibri"/>
          <w:sz w:val="18"/>
          <w:szCs w:val="18"/>
        </w:rPr>
        <w:t xml:space="preserve"> is vastgelegd dat TSN zo snel </w:t>
      </w:r>
      <w:r>
        <w:rPr>
          <w:rFonts w:ascii="Verdana" w:hAnsi="Verdana" w:eastAsia="Calibri" w:cs="Calibri"/>
          <w:sz w:val="18"/>
          <w:szCs w:val="18"/>
        </w:rPr>
        <w:t xml:space="preserve">als redelijkerwijs </w:t>
      </w:r>
      <w:r w:rsidRPr="00515B5D">
        <w:rPr>
          <w:rFonts w:ascii="Verdana" w:hAnsi="Verdana" w:eastAsia="Calibri" w:cs="Calibri"/>
          <w:sz w:val="18"/>
          <w:szCs w:val="18"/>
        </w:rPr>
        <w:t>mogelijk, maar uiterlijk in 2045 klimaatneutraal moet zijn</w:t>
      </w:r>
      <w:r>
        <w:rPr>
          <w:rFonts w:ascii="Verdana" w:hAnsi="Verdana" w:eastAsia="Calibri" w:cs="Calibri"/>
          <w:sz w:val="18"/>
          <w:szCs w:val="18"/>
        </w:rPr>
        <w:t>.</w:t>
      </w:r>
      <w:r w:rsidRPr="002B0229">
        <w:rPr>
          <w:rStyle w:val="Voetnootmarkering"/>
          <w:rFonts w:ascii="Verdana" w:hAnsi="Verdana" w:eastAsia="Calibri" w:cs="Calibri"/>
          <w:sz w:val="18"/>
          <w:szCs w:val="18"/>
        </w:rPr>
        <w:footnoteReference w:id="10"/>
      </w:r>
    </w:p>
    <w:p w:rsidRPr="002B0229" w:rsidR="001C42F5" w:rsidP="001C42F5" w:rsidRDefault="001C42F5" w14:paraId="168421D6" w14:textId="77777777">
      <w:pPr>
        <w:rPr>
          <w:rFonts w:eastAsia="Calibri" w:cs="Calibri"/>
          <w:szCs w:val="18"/>
        </w:rPr>
      </w:pPr>
    </w:p>
    <w:p w:rsidRPr="002B0229" w:rsidR="001C42F5" w:rsidP="001C42F5" w:rsidRDefault="001C42F5" w14:paraId="6612C6A3" w14:textId="77777777">
      <w:pPr>
        <w:rPr>
          <w:i/>
          <w:iCs/>
          <w:szCs w:val="18"/>
        </w:rPr>
      </w:pPr>
      <w:r w:rsidRPr="002B0229">
        <w:rPr>
          <w:i/>
          <w:iCs/>
          <w:szCs w:val="18"/>
        </w:rPr>
        <w:t>Opvolging moties en adviezen</w:t>
      </w:r>
    </w:p>
    <w:p w:rsidRPr="00AA47D5" w:rsidR="001C42F5" w:rsidP="001C42F5" w:rsidRDefault="001C42F5" w14:paraId="795B4862" w14:textId="77777777">
      <w:pPr>
        <w:rPr>
          <w:rFonts w:eastAsia="Calibri" w:cs="Calibri"/>
          <w:szCs w:val="18"/>
        </w:rPr>
      </w:pPr>
      <w:r w:rsidRPr="002B0229">
        <w:rPr>
          <w:szCs w:val="18"/>
        </w:rPr>
        <w:t>In hun brief stellen Greenpeace en de omwonenden</w:t>
      </w:r>
      <w:r>
        <w:rPr>
          <w:szCs w:val="18"/>
        </w:rPr>
        <w:t xml:space="preserve">organisaties </w:t>
      </w:r>
      <w:r w:rsidRPr="002B0229">
        <w:rPr>
          <w:szCs w:val="18"/>
        </w:rPr>
        <w:t xml:space="preserve">dat aangenomen moties niet worden uitgevoerd en adviezen niet worden overgenomen. Een van de hierbij genoemde moties is de </w:t>
      </w:r>
      <w:r w:rsidRPr="002B0229">
        <w:rPr>
          <w:rFonts w:eastAsia="Calibri" w:cs="Calibri"/>
          <w:szCs w:val="18"/>
        </w:rPr>
        <w:t>motie Thijssen c.s.</w:t>
      </w:r>
      <w:r w:rsidRPr="002B0229">
        <w:rPr>
          <w:rStyle w:val="Voetnootmarkering"/>
          <w:rFonts w:eastAsia="Calibri" w:cs="Calibri"/>
          <w:szCs w:val="18"/>
        </w:rPr>
        <w:footnoteReference w:id="11"/>
      </w:r>
      <w:r w:rsidRPr="002B0229">
        <w:rPr>
          <w:rFonts w:eastAsia="Calibri" w:cs="Calibri"/>
          <w:szCs w:val="18"/>
        </w:rPr>
        <w:t xml:space="preserve"> die verzoekt om het overnemen van de adviezen van de Expertgroep</w:t>
      </w:r>
      <w:r>
        <w:rPr>
          <w:rFonts w:eastAsia="Calibri" w:cs="Calibri"/>
          <w:szCs w:val="18"/>
        </w:rPr>
        <w:t xml:space="preserve"> </w:t>
      </w:r>
      <w:r w:rsidRPr="002B0229">
        <w:rPr>
          <w:rFonts w:eastAsia="Calibri" w:cs="Calibri"/>
          <w:szCs w:val="18"/>
        </w:rPr>
        <w:t>Gezondheid IJmond (hierna: Expertgroep) als harde voorwaarde in de onderhandelingen</w:t>
      </w:r>
      <w:r>
        <w:rPr>
          <w:rFonts w:eastAsia="Calibri" w:cs="Calibri"/>
          <w:szCs w:val="18"/>
        </w:rPr>
        <w:t xml:space="preserve"> </w:t>
      </w:r>
      <w:r w:rsidRPr="002B0229">
        <w:rPr>
          <w:rFonts w:eastAsia="Calibri" w:cs="Calibri"/>
          <w:szCs w:val="18"/>
        </w:rPr>
        <w:t xml:space="preserve">op te nemen. Het kabinet voelt zich gesteund door deze motie in het volwaardig meenemen van gezondheid in de maatwerkafspraak met TSN en wil de adviezen waar dat kan </w:t>
      </w:r>
      <w:r w:rsidRPr="00AA47D5">
        <w:rPr>
          <w:rFonts w:eastAsia="Calibri" w:cs="Calibri"/>
          <w:szCs w:val="18"/>
        </w:rPr>
        <w:t>overnemen. Het kabinet hecht zeer aan de adviezen van de Expertgroep. De in de Expertgroep verzamelde deskundigheid is bijzonder waardevol, zowel voor omwonenden die met vragen en zorgen zitten, als voor het kabinet dat deze deskundigheid wil betrekken bij de besluitvorming.  </w:t>
      </w:r>
    </w:p>
    <w:p w:rsidRPr="00AA47D5" w:rsidR="001C42F5" w:rsidP="001C42F5" w:rsidRDefault="001C42F5" w14:paraId="3DF4CA64" w14:textId="77777777">
      <w:pPr>
        <w:rPr>
          <w:rFonts w:eastAsia="Calibri" w:cs="Calibri"/>
          <w:szCs w:val="18"/>
        </w:rPr>
      </w:pPr>
      <w:r w:rsidRPr="003D24DD">
        <w:rPr>
          <w:rFonts w:eastAsia="Calibri" w:cs="Calibri"/>
          <w:szCs w:val="18"/>
        </w:rPr>
        <w:t> </w:t>
      </w:r>
    </w:p>
    <w:p w:rsidRPr="00AA47D5" w:rsidR="001C42F5" w:rsidP="001C42F5" w:rsidRDefault="001C42F5" w14:paraId="730542A8" w14:textId="77777777">
      <w:pPr>
        <w:rPr>
          <w:rFonts w:eastAsia="Calibri" w:cs="Calibri"/>
          <w:szCs w:val="18"/>
        </w:rPr>
      </w:pPr>
      <w:r w:rsidRPr="00AA47D5">
        <w:rPr>
          <w:rFonts w:eastAsia="Calibri" w:cs="Calibri"/>
          <w:szCs w:val="18"/>
        </w:rPr>
        <w:t>Mede daarom heeft het kabinet de aanbevelingen van de Expertgroep al expliciet meegenomen in de afweging bij het vaststellen van het onderhandelingsmandaat. Zo is op advies van de Expertgroep, en in lijn met motie Erkens</w:t>
      </w:r>
      <w:r w:rsidRPr="00AA47D5">
        <w:rPr>
          <w:rStyle w:val="Voetnootmarkering"/>
          <w:rFonts w:eastAsia="Calibri" w:cs="Calibri"/>
          <w:szCs w:val="18"/>
        </w:rPr>
        <w:footnoteReference w:id="12"/>
      </w:r>
      <w:r w:rsidRPr="00AA47D5">
        <w:rPr>
          <w:rFonts w:eastAsia="Calibri" w:cs="Calibri"/>
          <w:szCs w:val="18"/>
        </w:rPr>
        <w:t xml:space="preserve"> ingezet op versnelling van maatregelen. Daarnaast wordt een Gezondheidseffectrapportage (GER) opgesteld om inzicht te geven in het verwachte effect van de maatwerkafspraak op de gezondheid van omwonenden.</w:t>
      </w:r>
      <w:r w:rsidRPr="00AA47D5">
        <w:rPr>
          <w:rStyle w:val="Voetnootmarkering"/>
          <w:rFonts w:eastAsia="Calibri" w:cs="Calibri"/>
          <w:szCs w:val="18"/>
        </w:rPr>
        <w:footnoteReference w:id="13"/>
      </w:r>
      <w:r w:rsidRPr="00AA47D5">
        <w:rPr>
          <w:rFonts w:eastAsia="Calibri" w:cs="Calibri"/>
          <w:szCs w:val="18"/>
        </w:rPr>
        <w:t xml:space="preserve"> </w:t>
      </w:r>
      <w:r w:rsidRPr="003D24DD">
        <w:rPr>
          <w:rFonts w:eastAsia="Calibri" w:cs="Calibri"/>
          <w:szCs w:val="18"/>
        </w:rPr>
        <w:t>Ook heeft het kabinet het advies overgenomen om gezondheidswinst breed te bekijken en bij onzekerheden te werken met bandbreedtes.</w:t>
      </w:r>
      <w:r w:rsidRPr="00AA47D5">
        <w:rPr>
          <w:rStyle w:val="Voetnootmarkering"/>
          <w:rFonts w:eastAsia="Calibri" w:cs="Calibri"/>
          <w:szCs w:val="18"/>
        </w:rPr>
        <w:footnoteReference w:id="14"/>
      </w:r>
      <w:r w:rsidRPr="003D24DD">
        <w:rPr>
          <w:rFonts w:eastAsia="Calibri" w:cs="Calibri"/>
          <w:szCs w:val="18"/>
        </w:rPr>
        <w:t> Eerder heeft het kabinet al, in lijn met advies van de Expertgroep, ingezet op meer transparantie in meten en monitoring</w:t>
      </w:r>
      <w:r w:rsidRPr="00AA47D5">
        <w:rPr>
          <w:rFonts w:eastAsia="Calibri" w:cs="Calibri"/>
          <w:szCs w:val="18"/>
        </w:rPr>
        <w:t>.</w:t>
      </w:r>
      <w:r w:rsidRPr="00AA47D5">
        <w:rPr>
          <w:rStyle w:val="Voetnootmarkering"/>
          <w:rFonts w:eastAsia="Calibri" w:cs="Calibri"/>
          <w:szCs w:val="18"/>
        </w:rPr>
        <w:footnoteReference w:id="15"/>
      </w:r>
    </w:p>
    <w:p w:rsidRPr="003D24DD" w:rsidR="001C42F5" w:rsidP="001C42F5" w:rsidRDefault="001C42F5" w14:paraId="2BDB0930" w14:textId="77777777">
      <w:pPr>
        <w:rPr>
          <w:rFonts w:eastAsia="Calibri" w:cs="Calibri"/>
          <w:szCs w:val="18"/>
        </w:rPr>
      </w:pPr>
    </w:p>
    <w:p w:rsidRPr="003D24DD" w:rsidR="001C42F5" w:rsidP="001C42F5" w:rsidRDefault="001C42F5" w14:paraId="0CFC4E7B" w14:textId="167304F7">
      <w:pPr>
        <w:rPr>
          <w:rFonts w:eastAsia="Calibri" w:cs="Calibri"/>
          <w:szCs w:val="18"/>
        </w:rPr>
      </w:pPr>
      <w:r w:rsidRPr="003D24DD">
        <w:rPr>
          <w:rFonts w:eastAsia="Calibri" w:cs="Calibri"/>
          <w:szCs w:val="18"/>
        </w:rPr>
        <w:t>In de </w:t>
      </w:r>
      <w:proofErr w:type="spellStart"/>
      <w:r w:rsidRPr="003D24DD">
        <w:rPr>
          <w:rFonts w:eastAsia="Calibri" w:cs="Calibri"/>
          <w:szCs w:val="18"/>
        </w:rPr>
        <w:t>JLoI</w:t>
      </w:r>
      <w:proofErr w:type="spellEnd"/>
      <w:r w:rsidRPr="003D24DD">
        <w:rPr>
          <w:rFonts w:eastAsia="Calibri" w:cs="Calibri"/>
          <w:szCs w:val="18"/>
        </w:rPr>
        <w:t xml:space="preserve"> is, naar aanleiding van advies van de Expertgroep, extra inzet op ultrafijnstof afgesproken en in artikel 3.2 zijn nieuwe reductiedoelstellingen voor</w:t>
      </w:r>
      <w:r>
        <w:rPr>
          <w:rFonts w:eastAsia="Calibri" w:cs="Calibri"/>
          <w:szCs w:val="18"/>
        </w:rPr>
        <w:t xml:space="preserve"> </w:t>
      </w:r>
      <w:r w:rsidRPr="003D24DD">
        <w:rPr>
          <w:rFonts w:eastAsia="Calibri" w:cs="Calibri"/>
          <w:szCs w:val="18"/>
        </w:rPr>
        <w:t xml:space="preserve">stoffen toegevoegd aan de scope van de </w:t>
      </w:r>
      <w:proofErr w:type="spellStart"/>
      <w:r w:rsidRPr="003D24DD">
        <w:rPr>
          <w:rFonts w:eastAsia="Calibri" w:cs="Calibri"/>
          <w:szCs w:val="18"/>
        </w:rPr>
        <w:t>JLoI</w:t>
      </w:r>
      <w:proofErr w:type="spellEnd"/>
      <w:r w:rsidRPr="003D24DD">
        <w:rPr>
          <w:rFonts w:eastAsia="Calibri" w:cs="Calibri"/>
          <w:szCs w:val="18"/>
        </w:rPr>
        <w:t>, waaronder fijnstof (PM</w:t>
      </w:r>
      <w:r w:rsidRPr="003D24DD">
        <w:rPr>
          <w:rFonts w:eastAsia="Calibri" w:cs="Calibri"/>
          <w:szCs w:val="18"/>
          <w:vertAlign w:val="subscript"/>
        </w:rPr>
        <w:t>2,5</w:t>
      </w:r>
      <w:r w:rsidRPr="003D24DD">
        <w:rPr>
          <w:rFonts w:eastAsia="Calibri" w:cs="Calibri"/>
          <w:szCs w:val="18"/>
        </w:rPr>
        <w:t>), stikstofdioxide (NO</w:t>
      </w:r>
      <w:r w:rsidRPr="003D24DD">
        <w:rPr>
          <w:rFonts w:eastAsia="Calibri" w:cs="Calibri"/>
          <w:szCs w:val="18"/>
          <w:vertAlign w:val="subscript"/>
        </w:rPr>
        <w:t>2</w:t>
      </w:r>
      <w:r w:rsidRPr="003D24DD">
        <w:rPr>
          <w:rFonts w:eastAsia="Calibri" w:cs="Calibri"/>
          <w:szCs w:val="18"/>
        </w:rPr>
        <w:t>, naast de algemene doelstelling voor stikstofoxiden (</w:t>
      </w:r>
      <w:proofErr w:type="spellStart"/>
      <w:r w:rsidRPr="003D24DD">
        <w:rPr>
          <w:rFonts w:eastAsia="Calibri" w:cs="Calibri"/>
          <w:szCs w:val="18"/>
        </w:rPr>
        <w:t>NO</w:t>
      </w:r>
      <w:r w:rsidRPr="003D24DD">
        <w:rPr>
          <w:rFonts w:eastAsia="Calibri" w:cs="Calibri"/>
          <w:szCs w:val="18"/>
          <w:vertAlign w:val="subscript"/>
        </w:rPr>
        <w:t>x</w:t>
      </w:r>
      <w:proofErr w:type="spellEnd"/>
      <w:r w:rsidRPr="003D24DD">
        <w:rPr>
          <w:rFonts w:eastAsia="Calibri" w:cs="Calibri"/>
          <w:szCs w:val="18"/>
        </w:rPr>
        <w:t>)), chroom-6, nikkel, arseen en cadmium. Ook zijn er naar aanleiding van het advies extra inspanningen geformuleerd voor het meten en monitoren van geur en geluid, waarbij de resultaten openbaar beschikbaar moeten komen. Ook zijn afspraken toegevoegd over het inzichtelijk maken van emissiereducties op de langere termijn. </w:t>
      </w:r>
    </w:p>
    <w:p w:rsidRPr="00AA47D5" w:rsidR="001C42F5" w:rsidP="001C42F5" w:rsidRDefault="001C42F5" w14:paraId="465B8892" w14:textId="77777777">
      <w:pPr>
        <w:rPr>
          <w:rFonts w:eastAsia="Calibri" w:cs="Calibri"/>
          <w:szCs w:val="18"/>
        </w:rPr>
      </w:pPr>
    </w:p>
    <w:p w:rsidRPr="002B0229" w:rsidR="001C42F5" w:rsidP="001C42F5" w:rsidRDefault="001C42F5" w14:paraId="4093123F" w14:textId="77777777">
      <w:pPr>
        <w:rPr>
          <w:rFonts w:eastAsia="Calibri" w:cs="Calibri"/>
          <w:szCs w:val="18"/>
        </w:rPr>
      </w:pPr>
      <w:r w:rsidRPr="00AA47D5">
        <w:rPr>
          <w:rFonts w:eastAsia="Calibri" w:cs="Calibri"/>
          <w:szCs w:val="18"/>
        </w:rPr>
        <w:t>Echter, zoals eerder aangegeven</w:t>
      </w:r>
      <w:r w:rsidRPr="002B0229">
        <w:rPr>
          <w:rFonts w:eastAsia="Calibri" w:cs="Calibri"/>
          <w:szCs w:val="18"/>
        </w:rPr>
        <w:t xml:space="preserve"> kunnen niet alle adviezen van de Expertgroep worden opgenomen in de maatwerkafspraak. </w:t>
      </w:r>
      <w:r>
        <w:rPr>
          <w:rFonts w:eastAsia="Calibri" w:cs="Calibri"/>
          <w:szCs w:val="18"/>
        </w:rPr>
        <w:t>D</w:t>
      </w:r>
      <w:r w:rsidRPr="002B0229">
        <w:rPr>
          <w:rFonts w:eastAsia="Calibri" w:cs="Calibri"/>
          <w:szCs w:val="18"/>
        </w:rPr>
        <w:t xml:space="preserve">e maatwerkafspraak </w:t>
      </w:r>
      <w:r>
        <w:rPr>
          <w:rFonts w:eastAsia="Calibri" w:cs="Calibri"/>
          <w:szCs w:val="18"/>
        </w:rPr>
        <w:t xml:space="preserve">leidt tot </w:t>
      </w:r>
      <w:r w:rsidRPr="002B0229">
        <w:rPr>
          <w:rFonts w:eastAsia="Calibri" w:cs="Calibri"/>
          <w:szCs w:val="18"/>
        </w:rPr>
        <w:t xml:space="preserve">een grote </w:t>
      </w:r>
      <w:r>
        <w:rPr>
          <w:rFonts w:eastAsia="Calibri" w:cs="Calibri"/>
          <w:szCs w:val="18"/>
        </w:rPr>
        <w:t xml:space="preserve">verbetering van de </w:t>
      </w:r>
      <w:r w:rsidRPr="002B0229">
        <w:rPr>
          <w:rFonts w:eastAsia="Calibri" w:cs="Calibri"/>
          <w:szCs w:val="18"/>
        </w:rPr>
        <w:t>gezondheid</w:t>
      </w:r>
      <w:r>
        <w:rPr>
          <w:rFonts w:eastAsia="Calibri" w:cs="Calibri"/>
          <w:szCs w:val="18"/>
        </w:rPr>
        <w:t>. Het</w:t>
      </w:r>
      <w:r w:rsidRPr="002B0229">
        <w:rPr>
          <w:rFonts w:eastAsia="Calibri" w:cs="Calibri"/>
          <w:szCs w:val="18"/>
        </w:rPr>
        <w:t xml:space="preserve"> uitvoeren van </w:t>
      </w:r>
      <w:r>
        <w:rPr>
          <w:rFonts w:eastAsia="Calibri" w:cs="Calibri"/>
          <w:szCs w:val="18"/>
        </w:rPr>
        <w:t>á</w:t>
      </w:r>
      <w:r w:rsidRPr="002B0229">
        <w:rPr>
          <w:rFonts w:eastAsia="Calibri" w:cs="Calibri"/>
          <w:szCs w:val="18"/>
        </w:rPr>
        <w:t xml:space="preserve">lle adviezen </w:t>
      </w:r>
      <w:r>
        <w:rPr>
          <w:rFonts w:eastAsia="Calibri" w:cs="Calibri"/>
          <w:szCs w:val="18"/>
        </w:rPr>
        <w:t xml:space="preserve">vraagt </w:t>
      </w:r>
      <w:r w:rsidRPr="002B0229">
        <w:rPr>
          <w:rFonts w:eastAsia="Calibri" w:cs="Calibri"/>
          <w:szCs w:val="18"/>
        </w:rPr>
        <w:t>om meer m</w:t>
      </w:r>
      <w:r>
        <w:rPr>
          <w:rFonts w:eastAsia="Calibri" w:cs="Calibri"/>
          <w:szCs w:val="18"/>
        </w:rPr>
        <w:t>aa</w:t>
      </w:r>
      <w:r w:rsidRPr="002B0229">
        <w:rPr>
          <w:rFonts w:eastAsia="Calibri" w:cs="Calibri"/>
          <w:szCs w:val="18"/>
        </w:rPr>
        <w:t>tregelen, middelen en tijd</w:t>
      </w:r>
      <w:r>
        <w:rPr>
          <w:rFonts w:eastAsia="Calibri" w:cs="Calibri"/>
          <w:szCs w:val="18"/>
        </w:rPr>
        <w:t>.</w:t>
      </w:r>
      <w:r w:rsidRPr="002B0229">
        <w:rPr>
          <w:rStyle w:val="Voetnootmarkering"/>
          <w:rFonts w:eastAsia="Calibri" w:cs="Calibri"/>
          <w:szCs w:val="18"/>
        </w:rPr>
        <w:footnoteReference w:id="16"/>
      </w:r>
      <w:r w:rsidRPr="002B0229">
        <w:rPr>
          <w:rFonts w:eastAsia="Calibri" w:cs="Calibri"/>
          <w:szCs w:val="18"/>
        </w:rPr>
        <w:t xml:space="preserve"> </w:t>
      </w:r>
      <w:r>
        <w:rPr>
          <w:rFonts w:eastAsia="Calibri" w:cs="Calibri"/>
          <w:szCs w:val="18"/>
        </w:rPr>
        <w:t>Daarbij zal er, z</w:t>
      </w:r>
      <w:r w:rsidRPr="002B0229">
        <w:rPr>
          <w:rFonts w:eastAsia="Verdana" w:cs="Calibri"/>
          <w:szCs w:val="18"/>
        </w:rPr>
        <w:t>oals de Expertgroep zelf ook opmerkt, zonder een maatwerkafspraak beperkt tot geen gezondheidswinst worden gerealiseerd.</w:t>
      </w:r>
      <w:r>
        <w:rPr>
          <w:rFonts w:eastAsia="Verdana" w:cs="Calibri"/>
          <w:szCs w:val="18"/>
        </w:rPr>
        <w:t xml:space="preserve"> </w:t>
      </w:r>
    </w:p>
    <w:p w:rsidRPr="002B0229" w:rsidR="001C42F5" w:rsidP="001C42F5" w:rsidRDefault="001C42F5" w14:paraId="652FC01E" w14:textId="77777777">
      <w:pPr>
        <w:rPr>
          <w:rFonts w:eastAsia="Calibri" w:cs="Calibri"/>
          <w:szCs w:val="18"/>
        </w:rPr>
      </w:pPr>
    </w:p>
    <w:p w:rsidRPr="002B0229" w:rsidR="001C42F5" w:rsidP="001C42F5" w:rsidRDefault="001C42F5" w14:paraId="73EA38CE" w14:textId="77777777">
      <w:pPr>
        <w:rPr>
          <w:rFonts w:cs="Calibri"/>
          <w:szCs w:val="18"/>
        </w:rPr>
      </w:pPr>
      <w:r w:rsidRPr="002B0229">
        <w:rPr>
          <w:rFonts w:eastAsia="Calibri" w:cs="Calibri"/>
          <w:szCs w:val="18"/>
        </w:rPr>
        <w:t xml:space="preserve">Hiernaast wordt in de brief het advies van de Adviescommissie Maatwerkafspraken Verduurzaming Industrie (AMVI) en de Expertgroep op de concept </w:t>
      </w:r>
      <w:proofErr w:type="spellStart"/>
      <w:r w:rsidRPr="002B0229">
        <w:rPr>
          <w:rFonts w:eastAsia="Calibri" w:cs="Calibri"/>
          <w:szCs w:val="18"/>
        </w:rPr>
        <w:t>JLoI</w:t>
      </w:r>
      <w:proofErr w:type="spellEnd"/>
      <w:r w:rsidRPr="002B0229">
        <w:rPr>
          <w:rFonts w:eastAsia="Calibri" w:cs="Calibri"/>
          <w:szCs w:val="18"/>
        </w:rPr>
        <w:t xml:space="preserve"> met TSN aangehaald. </w:t>
      </w:r>
      <w:r w:rsidRPr="002B0229">
        <w:rPr>
          <w:rFonts w:cs="Calibri"/>
          <w:szCs w:val="18"/>
        </w:rPr>
        <w:t xml:space="preserve">In de Kamerbrief over de </w:t>
      </w:r>
      <w:proofErr w:type="spellStart"/>
      <w:r w:rsidRPr="002B0229">
        <w:rPr>
          <w:rFonts w:cs="Calibri"/>
          <w:szCs w:val="18"/>
        </w:rPr>
        <w:t>JLoI</w:t>
      </w:r>
      <w:proofErr w:type="spellEnd"/>
      <w:r>
        <w:rPr>
          <w:rStyle w:val="Voetnootmarkering"/>
          <w:rFonts w:cs="Calibri"/>
          <w:szCs w:val="18"/>
        </w:rPr>
        <w:footnoteReference w:id="17"/>
      </w:r>
      <w:r w:rsidRPr="002B0229">
        <w:rPr>
          <w:rFonts w:cs="Calibri"/>
          <w:szCs w:val="18"/>
        </w:rPr>
        <w:t xml:space="preserve"> is aangegeven dat ook nu zoveel mogelijk adviezen zijn overgenomen in de definitieve </w:t>
      </w:r>
      <w:proofErr w:type="spellStart"/>
      <w:r w:rsidRPr="002B0229">
        <w:rPr>
          <w:rFonts w:cs="Calibri"/>
          <w:szCs w:val="18"/>
        </w:rPr>
        <w:t>JLoI</w:t>
      </w:r>
      <w:proofErr w:type="spellEnd"/>
      <w:r w:rsidRPr="002B0229">
        <w:rPr>
          <w:rFonts w:cs="Calibri"/>
          <w:szCs w:val="18"/>
        </w:rPr>
        <w:t xml:space="preserve">, zoals inzet op ultrafijnstof, het uitbreiden van de scope van stoffen in de </w:t>
      </w:r>
      <w:proofErr w:type="spellStart"/>
      <w:r w:rsidRPr="002B0229">
        <w:rPr>
          <w:rFonts w:cs="Calibri"/>
          <w:szCs w:val="18"/>
        </w:rPr>
        <w:t>JLoI</w:t>
      </w:r>
      <w:proofErr w:type="spellEnd"/>
      <w:r w:rsidRPr="002B0229">
        <w:rPr>
          <w:rFonts w:cs="Calibri"/>
          <w:szCs w:val="18"/>
        </w:rPr>
        <w:t xml:space="preserve"> en extra inspanningen voor het meten en monitoren van overlast door geur en geluid. </w:t>
      </w:r>
      <w:r>
        <w:rPr>
          <w:rFonts w:cs="Calibri"/>
          <w:szCs w:val="18"/>
        </w:rPr>
        <w:t xml:space="preserve">Andere </w:t>
      </w:r>
      <w:r w:rsidRPr="002B0229">
        <w:rPr>
          <w:rFonts w:cs="Calibri"/>
          <w:szCs w:val="18"/>
        </w:rPr>
        <w:t xml:space="preserve">punten worden </w:t>
      </w:r>
      <w:r>
        <w:rPr>
          <w:rFonts w:cs="Calibri"/>
          <w:szCs w:val="18"/>
        </w:rPr>
        <w:t xml:space="preserve">nader uitgewerkt </w:t>
      </w:r>
      <w:r w:rsidRPr="002B0229">
        <w:rPr>
          <w:rFonts w:cs="Calibri"/>
          <w:szCs w:val="18"/>
        </w:rPr>
        <w:t xml:space="preserve">in de maatwerkafspraak, </w:t>
      </w:r>
      <w:r>
        <w:rPr>
          <w:rFonts w:cs="Calibri"/>
          <w:szCs w:val="18"/>
        </w:rPr>
        <w:t xml:space="preserve">zoals bijvoorbeeld </w:t>
      </w:r>
      <w:r w:rsidRPr="002B0229">
        <w:rPr>
          <w:rFonts w:cs="Calibri"/>
          <w:szCs w:val="18"/>
        </w:rPr>
        <w:t>de garanties en borging voor het behalen van de doelen.</w:t>
      </w:r>
      <w:r>
        <w:rPr>
          <w:rFonts w:cs="Calibri"/>
          <w:szCs w:val="18"/>
        </w:rPr>
        <w:t xml:space="preserve"> De uitwerking van deze elementen past overigens ook niet binnen de </w:t>
      </w:r>
      <w:proofErr w:type="spellStart"/>
      <w:r>
        <w:rPr>
          <w:rFonts w:cs="Calibri"/>
          <w:szCs w:val="18"/>
        </w:rPr>
        <w:t>JLoI</w:t>
      </w:r>
      <w:proofErr w:type="spellEnd"/>
      <w:r>
        <w:rPr>
          <w:rFonts w:cs="Calibri"/>
          <w:szCs w:val="18"/>
        </w:rPr>
        <w:t xml:space="preserve">, omdat de </w:t>
      </w:r>
      <w:proofErr w:type="spellStart"/>
      <w:r>
        <w:rPr>
          <w:rFonts w:cs="Calibri"/>
          <w:szCs w:val="18"/>
        </w:rPr>
        <w:t>JLoI</w:t>
      </w:r>
      <w:proofErr w:type="spellEnd"/>
      <w:r>
        <w:rPr>
          <w:rFonts w:cs="Calibri"/>
          <w:szCs w:val="18"/>
        </w:rPr>
        <w:t xml:space="preserve"> de contouren schetst en de inspanningen om tot een maatwerkafspraak te komen. </w:t>
      </w:r>
    </w:p>
    <w:p w:rsidRPr="002B0229" w:rsidR="001C42F5" w:rsidP="001C42F5" w:rsidRDefault="001C42F5" w14:paraId="7B9224FA" w14:textId="77777777">
      <w:pPr>
        <w:rPr>
          <w:rFonts w:cs="Calibri"/>
          <w:szCs w:val="18"/>
        </w:rPr>
      </w:pPr>
    </w:p>
    <w:p w:rsidR="001C42F5" w:rsidP="001C42F5" w:rsidRDefault="001C42F5" w14:paraId="30A18BA0" w14:textId="77777777">
      <w:pPr>
        <w:rPr>
          <w:rFonts w:eastAsia="Verdana" w:cs="Verdana"/>
          <w:color w:val="000000" w:themeColor="text1"/>
          <w:szCs w:val="18"/>
        </w:rPr>
      </w:pPr>
      <w:r w:rsidRPr="002B0229">
        <w:rPr>
          <w:rFonts w:eastAsia="Verdana" w:cs="Verdana"/>
          <w:color w:val="000000" w:themeColor="text1"/>
          <w:szCs w:val="18"/>
        </w:rPr>
        <w:t xml:space="preserve">Ook wordt in de brief van Greenpeace en omwonendenorganisaties aandacht gevraagd voor de uitvoering van de motie-Teunissen </w:t>
      </w:r>
      <w:proofErr w:type="spellStart"/>
      <w:r w:rsidRPr="002B0229">
        <w:rPr>
          <w:rFonts w:eastAsia="Verdana" w:cs="Verdana"/>
          <w:color w:val="000000" w:themeColor="text1"/>
          <w:szCs w:val="18"/>
        </w:rPr>
        <w:t>c.s</w:t>
      </w:r>
      <w:proofErr w:type="spellEnd"/>
      <w:r w:rsidRPr="002B0229">
        <w:rPr>
          <w:rFonts w:eastAsia="Verdana" w:cs="Verdana"/>
          <w:color w:val="000000" w:themeColor="text1"/>
          <w:szCs w:val="18"/>
        </w:rPr>
        <w:t xml:space="preserve"> over </w:t>
      </w:r>
      <w:r w:rsidRPr="002B0229">
        <w:rPr>
          <w:rFonts w:eastAsia="Verdana" w:cs="Verdana"/>
          <w:szCs w:val="18"/>
        </w:rPr>
        <w:t>het onafhankelijk, continu en fijnmazig meten van gevaarlijke stoffen bij Tata Steel</w:t>
      </w:r>
      <w:r w:rsidRPr="002B0229">
        <w:rPr>
          <w:rFonts w:eastAsia="Verdana" w:cs="Verdana"/>
          <w:color w:val="000000" w:themeColor="text1"/>
          <w:szCs w:val="18"/>
        </w:rPr>
        <w:t>. Het kabinet ziet dit als een onderwerp dat niet alleen rond Tata Steel, maar in bredere zin rond industriële locaties van belang is. In de Kamerbrief van 18 december 2025 over de uitkomsten van de Actieagenda Industrie en Omwonenden</w:t>
      </w:r>
      <w:r w:rsidRPr="002B0229">
        <w:rPr>
          <w:rStyle w:val="Voetnootmarkering"/>
          <w:rFonts w:eastAsia="Verdana" w:cs="Verdana"/>
          <w:color w:val="000000" w:themeColor="text1"/>
          <w:szCs w:val="18"/>
        </w:rPr>
        <w:footnoteReference w:id="18"/>
      </w:r>
      <w:r w:rsidRPr="002B0229">
        <w:rPr>
          <w:rFonts w:eastAsia="Verdana" w:cs="Verdana"/>
          <w:color w:val="000000" w:themeColor="text1"/>
          <w:szCs w:val="18"/>
        </w:rPr>
        <w:t xml:space="preserve"> is de Kamer geïnformeerd over de stappen die het kabinet op dit gebied zet, waarmee uitvoeri</w:t>
      </w:r>
      <w:r>
        <w:rPr>
          <w:rFonts w:eastAsia="Verdana" w:cs="Verdana"/>
          <w:color w:val="000000" w:themeColor="text1"/>
          <w:szCs w:val="18"/>
        </w:rPr>
        <w:t>ng</w:t>
      </w:r>
      <w:r w:rsidRPr="002B0229">
        <w:rPr>
          <w:rFonts w:eastAsia="Verdana" w:cs="Verdana"/>
          <w:color w:val="000000" w:themeColor="text1"/>
          <w:szCs w:val="18"/>
        </w:rPr>
        <w:t xml:space="preserve"> wordt gegeven aan de motie-Teunissen c.s.</w:t>
      </w:r>
      <w:r>
        <w:rPr>
          <w:rFonts w:eastAsia="Verdana" w:cs="Verdana"/>
          <w:color w:val="000000" w:themeColor="text1"/>
          <w:szCs w:val="18"/>
        </w:rPr>
        <w:t>.</w:t>
      </w:r>
    </w:p>
    <w:p w:rsidRPr="002B0229" w:rsidR="001C42F5" w:rsidP="001C42F5" w:rsidRDefault="001C42F5" w14:paraId="407635E4" w14:textId="77777777">
      <w:pPr>
        <w:rPr>
          <w:rFonts w:eastAsia="Verdana" w:cs="Verdana"/>
          <w:szCs w:val="18"/>
        </w:rPr>
      </w:pPr>
    </w:p>
    <w:p w:rsidRPr="002B0229" w:rsidR="001C42F5" w:rsidP="001C42F5" w:rsidRDefault="001C42F5" w14:paraId="11FE5195" w14:textId="77777777">
      <w:pPr>
        <w:rPr>
          <w:rFonts w:eastAsia="Verdana" w:cs="Verdana"/>
          <w:i/>
          <w:iCs/>
          <w:color w:val="000000" w:themeColor="text1"/>
          <w:szCs w:val="18"/>
        </w:rPr>
      </w:pPr>
      <w:r w:rsidRPr="002B0229">
        <w:rPr>
          <w:rFonts w:eastAsia="Verdana" w:cs="Verdana"/>
          <w:i/>
          <w:iCs/>
          <w:color w:val="000000" w:themeColor="text1"/>
          <w:szCs w:val="18"/>
        </w:rPr>
        <w:t>Lopende handhavingstrajecten en de kookgasfabrieken</w:t>
      </w:r>
    </w:p>
    <w:p w:rsidR="001C42F5" w:rsidP="001C42F5" w:rsidRDefault="001C42F5" w14:paraId="648C8E3A" w14:textId="77777777">
      <w:pPr>
        <w:rPr>
          <w:rFonts w:eastAsia="Verdana" w:cs="Verdana"/>
          <w:color w:val="000000" w:themeColor="text1"/>
          <w:szCs w:val="18"/>
        </w:rPr>
      </w:pPr>
      <w:r w:rsidRPr="002B0229">
        <w:rPr>
          <w:rFonts w:eastAsia="Verdana" w:cs="Verdana"/>
          <w:color w:val="000000" w:themeColor="text1"/>
          <w:szCs w:val="18"/>
        </w:rPr>
        <w:t xml:space="preserve">In de brief van Greenpeace en omwonendenorganisaties wordt verwezen naar lopende handhavingstrajecten met betrekking tot de </w:t>
      </w:r>
      <w:proofErr w:type="spellStart"/>
      <w:r w:rsidRPr="002B0229">
        <w:rPr>
          <w:rFonts w:eastAsia="Verdana" w:cs="Verdana"/>
          <w:color w:val="000000" w:themeColor="text1"/>
          <w:szCs w:val="18"/>
        </w:rPr>
        <w:t>kooksgasfabrieken</w:t>
      </w:r>
      <w:proofErr w:type="spellEnd"/>
      <w:r w:rsidRPr="002B0229">
        <w:rPr>
          <w:rFonts w:eastAsia="Verdana" w:cs="Verdana"/>
          <w:color w:val="000000" w:themeColor="text1"/>
          <w:szCs w:val="18"/>
        </w:rPr>
        <w:t xml:space="preserve"> (</w:t>
      </w:r>
      <w:proofErr w:type="spellStart"/>
      <w:r w:rsidRPr="002B0229">
        <w:rPr>
          <w:rFonts w:eastAsia="Verdana" w:cs="Verdana"/>
          <w:color w:val="000000" w:themeColor="text1"/>
          <w:szCs w:val="18"/>
        </w:rPr>
        <w:t>KGF’s</w:t>
      </w:r>
      <w:proofErr w:type="spellEnd"/>
      <w:r w:rsidRPr="002B0229">
        <w:rPr>
          <w:rFonts w:eastAsia="Verdana" w:cs="Verdana"/>
          <w:color w:val="000000" w:themeColor="text1"/>
          <w:szCs w:val="18"/>
        </w:rPr>
        <w:t xml:space="preserve">). </w:t>
      </w:r>
      <w:r>
        <w:rPr>
          <w:rFonts w:eastAsia="Verdana" w:cs="Verdana"/>
          <w:color w:val="000000" w:themeColor="text1"/>
          <w:szCs w:val="18"/>
        </w:rPr>
        <w:t xml:space="preserve">Toezicht en handhaving </w:t>
      </w:r>
      <w:r w:rsidRPr="002B0229">
        <w:rPr>
          <w:rFonts w:eastAsia="Verdana" w:cs="Verdana"/>
          <w:color w:val="000000" w:themeColor="text1"/>
          <w:szCs w:val="18"/>
        </w:rPr>
        <w:t xml:space="preserve">na constatering van overtredingen </w:t>
      </w:r>
      <w:r>
        <w:rPr>
          <w:rFonts w:eastAsia="Verdana" w:cs="Verdana"/>
          <w:color w:val="000000" w:themeColor="text1"/>
          <w:szCs w:val="18"/>
        </w:rPr>
        <w:t xml:space="preserve">is </w:t>
      </w:r>
      <w:r w:rsidRPr="002B0229">
        <w:rPr>
          <w:rFonts w:eastAsia="Verdana" w:cs="Verdana"/>
          <w:color w:val="000000" w:themeColor="text1"/>
          <w:szCs w:val="18"/>
        </w:rPr>
        <w:t xml:space="preserve">aan het bevoegd gezag, in dit geval de PNH en de door haar gemandateerde Omgevingsdienst Noordzeekanaalgebied (OD NZKG). </w:t>
      </w:r>
      <w:r>
        <w:rPr>
          <w:rFonts w:eastAsia="Verdana" w:cs="Verdana"/>
          <w:color w:val="000000" w:themeColor="text1"/>
          <w:szCs w:val="18"/>
        </w:rPr>
        <w:t>Het is dan ook aan hen om hier besluiten over te nemen.</w:t>
      </w:r>
    </w:p>
    <w:p w:rsidRPr="002B0229" w:rsidR="001C42F5" w:rsidP="001C42F5" w:rsidRDefault="001C42F5" w14:paraId="7F3943BF" w14:textId="77777777">
      <w:pPr>
        <w:rPr>
          <w:rFonts w:eastAsia="Verdana" w:cs="Verdana"/>
          <w:color w:val="000000" w:themeColor="text1"/>
          <w:szCs w:val="18"/>
        </w:rPr>
      </w:pPr>
    </w:p>
    <w:p w:rsidR="001C42F5" w:rsidP="001C42F5" w:rsidRDefault="001C42F5" w14:paraId="52E9002E" w14:textId="33BA7E2C">
      <w:pPr>
        <w:rPr>
          <w:rFonts w:eastAsia="Verdana" w:cs="Verdana"/>
          <w:color w:val="000000" w:themeColor="text1"/>
          <w:szCs w:val="18"/>
        </w:rPr>
      </w:pPr>
      <w:r w:rsidRPr="4F2C763D">
        <w:rPr>
          <w:rFonts w:eastAsia="Verdana" w:cs="Verdana"/>
          <w:color w:val="000000" w:themeColor="text1"/>
          <w:szCs w:val="18"/>
        </w:rPr>
        <w:t xml:space="preserve">In de brief wordt ook ingegaan op mogelijkheden om de </w:t>
      </w:r>
      <w:proofErr w:type="spellStart"/>
      <w:r w:rsidRPr="4F2C763D">
        <w:rPr>
          <w:rFonts w:eastAsia="Verdana" w:cs="Verdana"/>
          <w:color w:val="000000" w:themeColor="text1"/>
          <w:szCs w:val="18"/>
        </w:rPr>
        <w:t>KGF's</w:t>
      </w:r>
      <w:proofErr w:type="spellEnd"/>
      <w:r w:rsidRPr="4F2C763D">
        <w:rPr>
          <w:rFonts w:eastAsia="Verdana" w:cs="Verdana"/>
          <w:color w:val="000000" w:themeColor="text1"/>
          <w:szCs w:val="18"/>
        </w:rPr>
        <w:t xml:space="preserve"> vervroegd te sluiten.</w:t>
      </w:r>
      <w:r w:rsidRPr="4F2C763D">
        <w:rPr>
          <w:rFonts w:eastAsia="Verdana" w:cs="Verdana"/>
          <w:szCs w:val="18"/>
        </w:rPr>
        <w:t xml:space="preserve"> De maatwerkaanpak ziet alleen op bovenwettelijke maatregelen. Op 19</w:t>
      </w:r>
      <w:r>
        <w:rPr>
          <w:rFonts w:eastAsia="Verdana" w:cs="Verdana"/>
          <w:szCs w:val="18"/>
        </w:rPr>
        <w:t> </w:t>
      </w:r>
      <w:r w:rsidRPr="4F2C763D">
        <w:rPr>
          <w:rFonts w:eastAsia="Verdana" w:cs="Verdana"/>
          <w:szCs w:val="18"/>
        </w:rPr>
        <w:t>december 2024 is door de OD NZKG een aanzeggingsbesluit tot herstel van de overtredingen bij KGF2 genomen</w:t>
      </w:r>
      <w:r>
        <w:rPr>
          <w:rFonts w:eastAsia="Verdana" w:cs="Verdana"/>
          <w:szCs w:val="18"/>
        </w:rPr>
        <w:t>.</w:t>
      </w:r>
      <w:r w:rsidRPr="4F2C763D">
        <w:rPr>
          <w:rStyle w:val="Voetnootmarkering"/>
          <w:rFonts w:eastAsia="Verdana" w:cs="Verdana"/>
          <w:szCs w:val="18"/>
        </w:rPr>
        <w:footnoteReference w:id="19"/>
      </w:r>
      <w:r w:rsidRPr="4F2C763D">
        <w:rPr>
          <w:rFonts w:eastAsia="Verdana" w:cs="Verdana"/>
          <w:szCs w:val="18"/>
        </w:rPr>
        <w:t xml:space="preserve"> Vanwege de handhavingsstappen van de OD</w:t>
      </w:r>
      <w:r>
        <w:rPr>
          <w:rFonts w:eastAsia="Verdana" w:cs="Verdana"/>
          <w:szCs w:val="18"/>
        </w:rPr>
        <w:t> </w:t>
      </w:r>
      <w:r w:rsidRPr="4F2C763D">
        <w:rPr>
          <w:rFonts w:eastAsia="Verdana" w:cs="Verdana"/>
          <w:szCs w:val="18"/>
        </w:rPr>
        <w:t xml:space="preserve">NZKG is dit onderdeel in het wettelijke traject terecht gekomen en kan op dit moment daarom geen steun worden verleend voor vervroegde sluiting van KGF2. </w:t>
      </w:r>
      <w:r w:rsidRPr="4F2C763D">
        <w:rPr>
          <w:rFonts w:eastAsia="Verdana" w:cs="Verdana"/>
          <w:color w:val="000000" w:themeColor="text1"/>
          <w:szCs w:val="18"/>
        </w:rPr>
        <w:t xml:space="preserve">De OD NZKG voert inspecties uit om te beoordelen of TSN </w:t>
      </w:r>
      <w:r>
        <w:rPr>
          <w:rFonts w:eastAsia="Verdana" w:cs="Verdana"/>
          <w:color w:val="000000" w:themeColor="text1"/>
          <w:szCs w:val="18"/>
        </w:rPr>
        <w:t>heeft voldaan</w:t>
      </w:r>
      <w:r w:rsidRPr="4F2C763D">
        <w:rPr>
          <w:rFonts w:eastAsia="Verdana" w:cs="Verdana"/>
          <w:color w:val="000000" w:themeColor="text1"/>
          <w:szCs w:val="18"/>
        </w:rPr>
        <w:t xml:space="preserve"> aan de aanzegging om binnen 12 maanden de overtredingen bij KGF2 te beëindigen en aan de regels te voldoen. Op basis van de uitkomsten zal worden bekeken of en welke vervolgstappen nodig zijn. Een mogelijkheid is dat die handhaving, na het doorlopen van de wettelijk voorgeschreven procedures, leidt tot (al dan niet vervroegde) gedwongen sluiting.</w:t>
      </w:r>
    </w:p>
    <w:p w:rsidR="001C42F5" w:rsidP="001C42F5" w:rsidRDefault="001C42F5" w14:paraId="4FB8C00C" w14:textId="77777777">
      <w:pPr>
        <w:rPr>
          <w:rFonts w:eastAsia="Verdana" w:cs="Verdana"/>
          <w:color w:val="000000" w:themeColor="text1"/>
          <w:szCs w:val="18"/>
        </w:rPr>
      </w:pPr>
    </w:p>
    <w:p w:rsidR="001C42F5" w:rsidP="001C42F5" w:rsidRDefault="001C42F5" w14:paraId="7DAC764E" w14:textId="77777777">
      <w:pPr>
        <w:rPr>
          <w:rFonts w:eastAsia="Verdana" w:cs="Verdana"/>
          <w:szCs w:val="18"/>
        </w:rPr>
      </w:pPr>
      <w:r w:rsidRPr="4F2C763D">
        <w:rPr>
          <w:rFonts w:eastAsia="Verdana" w:cs="Verdana"/>
          <w:color w:val="000000" w:themeColor="text1"/>
          <w:szCs w:val="18"/>
        </w:rPr>
        <w:t xml:space="preserve">Alle bestaande installaties, waaronder de beide </w:t>
      </w:r>
      <w:proofErr w:type="spellStart"/>
      <w:r w:rsidRPr="4F2C763D">
        <w:rPr>
          <w:rFonts w:eastAsia="Verdana" w:cs="Verdana"/>
          <w:color w:val="000000" w:themeColor="text1"/>
          <w:szCs w:val="18"/>
        </w:rPr>
        <w:t>KGF’s</w:t>
      </w:r>
      <w:proofErr w:type="spellEnd"/>
      <w:r w:rsidRPr="4F2C763D">
        <w:rPr>
          <w:rFonts w:eastAsia="Verdana" w:cs="Verdana"/>
          <w:color w:val="000000" w:themeColor="text1"/>
          <w:szCs w:val="18"/>
        </w:rPr>
        <w:t xml:space="preserve">, moeten aan de wettelijke normen voldoen en het bevoegd gezag zal hierop toezien (en waar nodig handhavend optreden). Het Groen Staal-plan en de </w:t>
      </w:r>
      <w:proofErr w:type="spellStart"/>
      <w:r w:rsidRPr="4F2C763D">
        <w:rPr>
          <w:rFonts w:eastAsia="Verdana" w:cs="Verdana"/>
          <w:color w:val="000000" w:themeColor="text1"/>
          <w:szCs w:val="18"/>
        </w:rPr>
        <w:t>Roadmap</w:t>
      </w:r>
      <w:proofErr w:type="spellEnd"/>
      <w:r w:rsidRPr="4F2C763D">
        <w:rPr>
          <w:rFonts w:eastAsia="Verdana" w:cs="Verdana"/>
          <w:color w:val="000000" w:themeColor="text1"/>
          <w:szCs w:val="18"/>
        </w:rPr>
        <w:t xml:space="preserve">+ bevatten daarnaast een aantal projecten waarmee het bedrijf zijn impact op het milieu, de leefomgeving en de gezondheid van omwonenden verbetert. De beoogde doelstellingen voor deze verbeteringen zijn opgenomen in de </w:t>
      </w:r>
      <w:proofErr w:type="spellStart"/>
      <w:r w:rsidRPr="4F2C763D">
        <w:rPr>
          <w:rFonts w:eastAsia="Verdana" w:cs="Verdana"/>
          <w:color w:val="000000" w:themeColor="text1"/>
          <w:szCs w:val="18"/>
        </w:rPr>
        <w:t>JLoI</w:t>
      </w:r>
      <w:proofErr w:type="spellEnd"/>
      <w:r w:rsidRPr="4F2C763D">
        <w:rPr>
          <w:rFonts w:eastAsia="Verdana" w:cs="Verdana"/>
          <w:color w:val="000000" w:themeColor="text1"/>
          <w:szCs w:val="18"/>
        </w:rPr>
        <w:t>.</w:t>
      </w:r>
      <w:r w:rsidRPr="4F2C763D">
        <w:rPr>
          <w:rFonts w:eastAsia="Verdana" w:cs="Verdana"/>
          <w:szCs w:val="18"/>
        </w:rPr>
        <w:t xml:space="preserve"> </w:t>
      </w:r>
    </w:p>
    <w:p w:rsidR="001C42F5" w:rsidP="001C42F5" w:rsidRDefault="001C42F5" w14:paraId="5C438865" w14:textId="77777777">
      <w:pPr>
        <w:rPr>
          <w:rFonts w:eastAsia="Calibri" w:cs="Calibri"/>
          <w:szCs w:val="18"/>
        </w:rPr>
      </w:pPr>
    </w:p>
    <w:p w:rsidRPr="002B0229" w:rsidR="001C42F5" w:rsidP="001C42F5" w:rsidRDefault="001C42F5" w14:paraId="25D4607C" w14:textId="77777777">
      <w:pPr>
        <w:rPr>
          <w:rFonts w:eastAsia="Calibri" w:cs="Calibri"/>
          <w:szCs w:val="18"/>
        </w:rPr>
      </w:pPr>
      <w:r>
        <w:rPr>
          <w:rFonts w:eastAsia="Calibri" w:cs="Calibri"/>
          <w:szCs w:val="18"/>
        </w:rPr>
        <w:t>Ook</w:t>
      </w:r>
      <w:r w:rsidRPr="002B0229">
        <w:rPr>
          <w:rFonts w:eastAsia="Calibri" w:cs="Calibri"/>
          <w:szCs w:val="18"/>
        </w:rPr>
        <w:t xml:space="preserve"> wordt in de brief van Greenpeace en omwonendenorganisaties ingegaan op de hogere gerapporteerde uitstoot van TSN voor een aantal stoffen in het milieujaarverslag. In de beantwoording op de schriftelijke vragen die de Kamer hierover heeft gesteld</w:t>
      </w:r>
      <w:r w:rsidRPr="002B0229">
        <w:rPr>
          <w:rStyle w:val="Voetnootmarkering"/>
          <w:rFonts w:eastAsia="Calibri" w:cs="Calibri"/>
          <w:szCs w:val="18"/>
        </w:rPr>
        <w:footnoteReference w:id="20"/>
      </w:r>
      <w:r w:rsidRPr="002B0229">
        <w:rPr>
          <w:rFonts w:eastAsia="Calibri" w:cs="Calibri"/>
          <w:szCs w:val="18"/>
        </w:rPr>
        <w:t xml:space="preserve"> is toegelicht wat</w:t>
      </w:r>
      <w:r>
        <w:rPr>
          <w:rFonts w:eastAsia="Calibri" w:cs="Calibri"/>
          <w:szCs w:val="18"/>
        </w:rPr>
        <w:t xml:space="preserve"> </w:t>
      </w:r>
      <w:r w:rsidRPr="002B0229">
        <w:rPr>
          <w:rFonts w:eastAsia="Calibri" w:cs="Calibri"/>
          <w:szCs w:val="18"/>
        </w:rPr>
        <w:t>mogelijke oorzaken hiervoor zijn en dat de OD NZKG aan TSN om een verklaring heeft gevraagd.</w:t>
      </w:r>
    </w:p>
    <w:p w:rsidRPr="002B0229" w:rsidR="001C42F5" w:rsidP="001C42F5" w:rsidRDefault="001C42F5" w14:paraId="5F864E0F" w14:textId="77777777">
      <w:pPr>
        <w:rPr>
          <w:rFonts w:eastAsia="Calibri" w:cs="Calibri"/>
          <w:szCs w:val="18"/>
        </w:rPr>
      </w:pPr>
    </w:p>
    <w:p w:rsidRPr="002B0229" w:rsidR="001C42F5" w:rsidP="001C42F5" w:rsidRDefault="001C42F5" w14:paraId="3E6D8D8F" w14:textId="77777777">
      <w:pPr>
        <w:rPr>
          <w:rFonts w:eastAsia="Calibri" w:cs="Calibri"/>
          <w:i/>
          <w:iCs/>
          <w:szCs w:val="18"/>
        </w:rPr>
      </w:pPr>
      <w:r w:rsidRPr="002B0229">
        <w:rPr>
          <w:rFonts w:eastAsia="Calibri" w:cs="Calibri"/>
          <w:i/>
          <w:iCs/>
          <w:szCs w:val="18"/>
        </w:rPr>
        <w:t>Tot slot</w:t>
      </w:r>
    </w:p>
    <w:p w:rsidRPr="002B0229" w:rsidR="001C42F5" w:rsidP="001C42F5" w:rsidRDefault="001C42F5" w14:paraId="0BDC874F" w14:textId="77777777">
      <w:pPr>
        <w:rPr>
          <w:rFonts w:eastAsia="Calibri" w:cs="Calibri"/>
          <w:szCs w:val="18"/>
        </w:rPr>
      </w:pPr>
      <w:r>
        <w:rPr>
          <w:rFonts w:eastAsia="Calibri" w:cs="Calibri"/>
          <w:szCs w:val="18"/>
        </w:rPr>
        <w:t xml:space="preserve">Het verminderen van de </w:t>
      </w:r>
      <w:r w:rsidRPr="002B0229">
        <w:rPr>
          <w:rFonts w:eastAsia="Calibri" w:cs="Calibri"/>
          <w:szCs w:val="18"/>
        </w:rPr>
        <w:t xml:space="preserve">impact </w:t>
      </w:r>
      <w:r>
        <w:rPr>
          <w:rFonts w:eastAsia="Calibri" w:cs="Calibri"/>
          <w:szCs w:val="18"/>
        </w:rPr>
        <w:t>op</w:t>
      </w:r>
      <w:r w:rsidRPr="002B0229">
        <w:rPr>
          <w:rFonts w:eastAsia="Calibri" w:cs="Calibri"/>
          <w:szCs w:val="18"/>
        </w:rPr>
        <w:t xml:space="preserve"> het klimaat, de leefomgeving en de gezondheid van omwonenden</w:t>
      </w:r>
      <w:r>
        <w:rPr>
          <w:rFonts w:eastAsia="Calibri" w:cs="Calibri"/>
          <w:szCs w:val="18"/>
        </w:rPr>
        <w:t xml:space="preserve"> is essentieel voor het voortbestaan van TSN.</w:t>
      </w:r>
      <w:r w:rsidRPr="002B0229">
        <w:rPr>
          <w:rFonts w:eastAsia="Calibri" w:cs="Calibri"/>
          <w:szCs w:val="18"/>
        </w:rPr>
        <w:t xml:space="preserve"> De maatwerkafspraak is de snelste weg naar groenere, schonere en meer circulaire staalproductie in de IJmond. </w:t>
      </w:r>
      <w:r>
        <w:rPr>
          <w:rFonts w:eastAsia="Calibri" w:cs="Calibri"/>
          <w:szCs w:val="18"/>
        </w:rPr>
        <w:t>Het kabinet</w:t>
      </w:r>
      <w:r w:rsidRPr="002B0229">
        <w:rPr>
          <w:rFonts w:eastAsia="Calibri" w:cs="Calibri"/>
          <w:szCs w:val="18"/>
        </w:rPr>
        <w:t xml:space="preserve"> begrijp</w:t>
      </w:r>
      <w:r>
        <w:rPr>
          <w:rFonts w:eastAsia="Calibri" w:cs="Calibri"/>
          <w:szCs w:val="18"/>
        </w:rPr>
        <w:t>t</w:t>
      </w:r>
      <w:r w:rsidRPr="002B0229">
        <w:rPr>
          <w:rFonts w:eastAsia="Calibri" w:cs="Calibri"/>
          <w:szCs w:val="18"/>
        </w:rPr>
        <w:t xml:space="preserve"> de oproep om de doelen hard en afdwingbaar te maken. </w:t>
      </w:r>
      <w:r>
        <w:rPr>
          <w:rFonts w:eastAsia="Calibri" w:cs="Calibri"/>
          <w:szCs w:val="18"/>
        </w:rPr>
        <w:t>Bij het sluiten van een maatwerkafspraak wil o</w:t>
      </w:r>
      <w:r w:rsidRPr="002B0229">
        <w:rPr>
          <w:rFonts w:eastAsia="Calibri" w:cs="Calibri"/>
          <w:szCs w:val="18"/>
        </w:rPr>
        <w:t xml:space="preserve">ok </w:t>
      </w:r>
      <w:r>
        <w:rPr>
          <w:rFonts w:eastAsia="Calibri" w:cs="Calibri"/>
          <w:szCs w:val="18"/>
        </w:rPr>
        <w:t xml:space="preserve">het kabinet </w:t>
      </w:r>
      <w:r w:rsidRPr="002B0229">
        <w:rPr>
          <w:rFonts w:eastAsia="Calibri" w:cs="Calibri"/>
          <w:szCs w:val="18"/>
        </w:rPr>
        <w:t>zekerheid dat de doelen worden behaald. Dit heeft</w:t>
      </w:r>
      <w:r>
        <w:rPr>
          <w:rFonts w:eastAsia="Calibri" w:cs="Calibri"/>
          <w:szCs w:val="18"/>
        </w:rPr>
        <w:t xml:space="preserve"> dan ook</w:t>
      </w:r>
      <w:r w:rsidRPr="002B0229">
        <w:rPr>
          <w:rFonts w:eastAsia="Calibri" w:cs="Calibri"/>
          <w:szCs w:val="18"/>
        </w:rPr>
        <w:t xml:space="preserve"> de volle aandacht in de verdere uitwerking van de maatwerkafspraak</w:t>
      </w:r>
      <w:r>
        <w:rPr>
          <w:rFonts w:eastAsia="Calibri" w:cs="Calibri"/>
          <w:szCs w:val="18"/>
        </w:rPr>
        <w:t xml:space="preserve"> met TSN</w:t>
      </w:r>
      <w:r w:rsidRPr="002B0229">
        <w:rPr>
          <w:rFonts w:eastAsia="Calibri" w:cs="Calibri"/>
          <w:szCs w:val="18"/>
        </w:rPr>
        <w:t xml:space="preserve">. </w:t>
      </w:r>
    </w:p>
    <w:p w:rsidRPr="002B0229" w:rsidR="001C42F5" w:rsidP="001C42F5" w:rsidRDefault="001C42F5" w14:paraId="263FABCE" w14:textId="77777777">
      <w:pPr>
        <w:rPr>
          <w:rFonts w:eastAsia="Calibri" w:cs="Calibri"/>
          <w:szCs w:val="18"/>
        </w:rPr>
      </w:pPr>
    </w:p>
    <w:p w:rsidRPr="00C35522" w:rsidR="001C42F5" w:rsidP="001C42F5" w:rsidRDefault="001C42F5" w14:paraId="73AEC9F6" w14:textId="77777777">
      <w:pPr>
        <w:rPr>
          <w:rFonts w:eastAsia="Calibri" w:cs="Calibri"/>
          <w:szCs w:val="18"/>
        </w:rPr>
      </w:pPr>
      <w:r w:rsidRPr="002B0229">
        <w:rPr>
          <w:rFonts w:eastAsia="Calibri" w:cs="Calibri"/>
          <w:szCs w:val="18"/>
        </w:rPr>
        <w:t xml:space="preserve">Het kabinet vindt het van belang om de Kamer goed te informeren over het verdere proces. Over de </w:t>
      </w:r>
      <w:proofErr w:type="spellStart"/>
      <w:r w:rsidRPr="002B0229">
        <w:rPr>
          <w:rFonts w:eastAsia="Calibri" w:cs="Calibri"/>
          <w:szCs w:val="18"/>
        </w:rPr>
        <w:t>JLoI</w:t>
      </w:r>
      <w:proofErr w:type="spellEnd"/>
      <w:r w:rsidRPr="002B0229">
        <w:rPr>
          <w:rFonts w:eastAsia="Calibri" w:cs="Calibri"/>
          <w:szCs w:val="18"/>
        </w:rPr>
        <w:t xml:space="preserve"> met TSN gaan we </w:t>
      </w:r>
      <w:r>
        <w:rPr>
          <w:rFonts w:eastAsia="Calibri" w:cs="Calibri"/>
          <w:szCs w:val="18"/>
        </w:rPr>
        <w:t xml:space="preserve">op 7 april aanstaande </w:t>
      </w:r>
      <w:r w:rsidRPr="002B0229">
        <w:rPr>
          <w:rFonts w:eastAsia="Calibri" w:cs="Calibri"/>
          <w:szCs w:val="18"/>
        </w:rPr>
        <w:t xml:space="preserve">met elkaar in debat, waarbij de Kamer kan reageren op de inhoud van de </w:t>
      </w:r>
      <w:proofErr w:type="spellStart"/>
      <w:r w:rsidRPr="002B0229">
        <w:rPr>
          <w:rFonts w:eastAsia="Calibri" w:cs="Calibri"/>
          <w:szCs w:val="18"/>
        </w:rPr>
        <w:t>JLoI</w:t>
      </w:r>
      <w:proofErr w:type="spellEnd"/>
      <w:r w:rsidRPr="002B0229">
        <w:rPr>
          <w:rFonts w:eastAsia="Calibri" w:cs="Calibri"/>
          <w:szCs w:val="18"/>
        </w:rPr>
        <w:t xml:space="preserve"> en eventuele punten kan meegeven aan het kabinet. Met deze overwegingen vanuit de Kamer in </w:t>
      </w:r>
      <w:r w:rsidRPr="0500C511">
        <w:rPr>
          <w:rFonts w:eastAsia="Calibri" w:cs="Calibri"/>
          <w:szCs w:val="18"/>
        </w:rPr>
        <w:t>de</w:t>
      </w:r>
      <w:r w:rsidRPr="002B0229">
        <w:rPr>
          <w:rFonts w:eastAsia="Calibri" w:cs="Calibri"/>
          <w:szCs w:val="18"/>
        </w:rPr>
        <w:t xml:space="preserve"> hand, onderhandelt het kabinet verder met TSN om tot een definitieve maatwerkafspraak te komen.</w:t>
      </w:r>
    </w:p>
    <w:p w:rsidR="001C42F5" w:rsidP="001C42F5" w:rsidRDefault="001C42F5" w14:paraId="1386D130" w14:textId="77777777">
      <w:pPr>
        <w:rPr>
          <w:rFonts w:eastAsia="Calibri"/>
        </w:rPr>
      </w:pPr>
    </w:p>
    <w:p w:rsidR="001C42F5" w:rsidP="001C42F5" w:rsidRDefault="001C42F5" w14:paraId="3613EACA" w14:textId="77777777"/>
    <w:p w:rsidR="001C42F5" w:rsidP="001C42F5" w:rsidRDefault="001C42F5" w14:paraId="2045734E" w14:textId="77777777"/>
    <w:p w:rsidR="001C42F5" w:rsidP="001C42F5" w:rsidRDefault="001C42F5" w14:paraId="2365287E" w14:textId="77777777"/>
    <w:p w:rsidR="001C42F5" w:rsidP="001C42F5" w:rsidRDefault="001C42F5" w14:paraId="7ACF233D" w14:textId="77777777"/>
    <w:p w:rsidR="001C42F5" w:rsidP="001C42F5" w:rsidRDefault="001C42F5" w14:paraId="7787E793" w14:textId="77777777">
      <w:pPr>
        <w:rPr>
          <w:szCs w:val="18"/>
        </w:rPr>
      </w:pPr>
      <w:proofErr w:type="spellStart"/>
      <w:r>
        <w:rPr>
          <w:szCs w:val="18"/>
        </w:rPr>
        <w:t>Stientje</w:t>
      </w:r>
      <w:proofErr w:type="spellEnd"/>
      <w:r>
        <w:rPr>
          <w:szCs w:val="18"/>
        </w:rPr>
        <w:t xml:space="preserve"> van Veldhoven-van der Meer</w:t>
      </w:r>
    </w:p>
    <w:p w:rsidRPr="005461DA" w:rsidR="001C42F5" w:rsidP="001C42F5" w:rsidRDefault="001C42F5" w14:paraId="33CBDB87" w14:textId="77777777">
      <w:pPr>
        <w:rPr>
          <w:szCs w:val="18"/>
        </w:rPr>
      </w:pPr>
      <w:r>
        <w:rPr>
          <w:szCs w:val="18"/>
        </w:rPr>
        <w:t>Minister van Klimaat en Groene Groei</w:t>
      </w:r>
    </w:p>
    <w:p w:rsidR="001C42F5" w:rsidP="001C42F5" w:rsidRDefault="001C42F5" w14:paraId="2EB19DE4" w14:textId="77777777"/>
    <w:p w:rsidR="001C42F5" w:rsidP="001C42F5" w:rsidRDefault="001C42F5" w14:paraId="6F02F11E" w14:textId="77777777"/>
    <w:p w:rsidR="001C42F5" w:rsidP="001C42F5" w:rsidRDefault="001C42F5" w14:paraId="5EE8FC11" w14:textId="77777777"/>
    <w:p w:rsidR="001C42F5" w:rsidP="001C42F5" w:rsidRDefault="001C42F5" w14:paraId="2B1AEEDF" w14:textId="77777777"/>
    <w:p w:rsidR="001C42F5" w:rsidP="001C42F5" w:rsidRDefault="001C42F5" w14:paraId="434A9A8F" w14:textId="77777777"/>
    <w:p w:rsidRPr="00FC757C" w:rsidR="00BD2D73" w:rsidP="00FC757C" w:rsidRDefault="00BD2D73" w14:paraId="66FBDDCE" w14:textId="77777777"/>
    <w:sectPr w:rsidRPr="00FC757C"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1292" w14:textId="77777777" w:rsidR="00A967C5" w:rsidRDefault="00A967C5">
      <w:r>
        <w:separator/>
      </w:r>
    </w:p>
    <w:p w14:paraId="5D5D4A45" w14:textId="77777777" w:rsidR="00A967C5" w:rsidRDefault="00A967C5"/>
  </w:endnote>
  <w:endnote w:type="continuationSeparator" w:id="0">
    <w:p w14:paraId="4C9686A9" w14:textId="77777777" w:rsidR="00A967C5" w:rsidRDefault="00A967C5">
      <w:r>
        <w:continuationSeparator/>
      </w:r>
    </w:p>
    <w:p w14:paraId="45B8EA98" w14:textId="77777777" w:rsidR="00A967C5" w:rsidRDefault="00A96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7EA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405D5" w14:paraId="68AC3CED" w14:textId="77777777" w:rsidTr="00CA6A25">
      <w:trPr>
        <w:trHeight w:hRule="exact" w:val="240"/>
      </w:trPr>
      <w:tc>
        <w:tcPr>
          <w:tcW w:w="7601" w:type="dxa"/>
        </w:tcPr>
        <w:p w14:paraId="3E0EE2D3" w14:textId="77777777" w:rsidR="00527BD4" w:rsidRDefault="00527BD4" w:rsidP="003F1F6B">
          <w:pPr>
            <w:pStyle w:val="Huisstijl-Rubricering"/>
          </w:pPr>
        </w:p>
      </w:tc>
      <w:tc>
        <w:tcPr>
          <w:tcW w:w="2156" w:type="dxa"/>
        </w:tcPr>
        <w:p w14:paraId="5C2092CA" w14:textId="25943204" w:rsidR="00527BD4" w:rsidRPr="00645414" w:rsidRDefault="00A7007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9B5608">
            <w:t>6</w:t>
          </w:r>
          <w:r w:rsidR="004425CC">
            <w:fldChar w:fldCharType="end"/>
          </w:r>
        </w:p>
      </w:tc>
    </w:tr>
  </w:tbl>
  <w:p w14:paraId="32AA3F5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405D5" w14:paraId="091F445A" w14:textId="77777777" w:rsidTr="00CA6A25">
      <w:trPr>
        <w:trHeight w:hRule="exact" w:val="240"/>
      </w:trPr>
      <w:tc>
        <w:tcPr>
          <w:tcW w:w="7601" w:type="dxa"/>
        </w:tcPr>
        <w:p w14:paraId="5E04F877" w14:textId="77777777" w:rsidR="00527BD4" w:rsidRDefault="00527BD4" w:rsidP="008C356D">
          <w:pPr>
            <w:pStyle w:val="Huisstijl-Rubricering"/>
          </w:pPr>
        </w:p>
      </w:tc>
      <w:tc>
        <w:tcPr>
          <w:tcW w:w="2170" w:type="dxa"/>
        </w:tcPr>
        <w:p w14:paraId="7FBCCD5C" w14:textId="03C3E6D0" w:rsidR="00527BD4" w:rsidRPr="00ED539E" w:rsidRDefault="00A7007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9B5608">
            <w:t>6</w:t>
          </w:r>
          <w:r w:rsidR="006A013B">
            <w:fldChar w:fldCharType="end"/>
          </w:r>
        </w:p>
      </w:tc>
    </w:tr>
  </w:tbl>
  <w:p w14:paraId="0F8DE2FA" w14:textId="77777777" w:rsidR="00527BD4" w:rsidRPr="00BC3B53" w:rsidRDefault="00527BD4" w:rsidP="008C356D">
    <w:pPr>
      <w:pStyle w:val="Voettekst"/>
      <w:spacing w:line="240" w:lineRule="auto"/>
      <w:rPr>
        <w:sz w:val="2"/>
        <w:szCs w:val="2"/>
      </w:rPr>
    </w:pPr>
  </w:p>
  <w:p w14:paraId="51493FB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12FA" w14:textId="77777777" w:rsidR="00A967C5" w:rsidRDefault="00A967C5">
      <w:r>
        <w:separator/>
      </w:r>
    </w:p>
    <w:p w14:paraId="6FB1DABB" w14:textId="77777777" w:rsidR="00A967C5" w:rsidRDefault="00A967C5"/>
  </w:footnote>
  <w:footnote w:type="continuationSeparator" w:id="0">
    <w:p w14:paraId="36456A88" w14:textId="77777777" w:rsidR="00A967C5" w:rsidRDefault="00A967C5">
      <w:r>
        <w:continuationSeparator/>
      </w:r>
    </w:p>
    <w:p w14:paraId="2014B8FA" w14:textId="77777777" w:rsidR="00A967C5" w:rsidRDefault="00A967C5"/>
  </w:footnote>
  <w:footnote w:id="1">
    <w:p w14:paraId="2018269C" w14:textId="77777777" w:rsidR="001C42F5" w:rsidRPr="00C35522" w:rsidRDefault="001C42F5" w:rsidP="001C42F5">
      <w:pPr>
        <w:pStyle w:val="Voetnoottekst"/>
        <w:rPr>
          <w:szCs w:val="13"/>
        </w:rPr>
      </w:pPr>
      <w:r w:rsidRPr="00C35522">
        <w:rPr>
          <w:rStyle w:val="Voetnootmarkering"/>
          <w:szCs w:val="13"/>
        </w:rPr>
        <w:footnoteRef/>
      </w:r>
      <w:r w:rsidRPr="00C35522">
        <w:rPr>
          <w:szCs w:val="13"/>
        </w:rPr>
        <w:t xml:space="preserve"> </w:t>
      </w:r>
      <w:hyperlink r:id="rId1" w:history="1">
        <w:r w:rsidRPr="00C35522">
          <w:rPr>
            <w:rStyle w:val="Hyperlink"/>
            <w:szCs w:val="13"/>
          </w:rPr>
          <w:t>De bijdrage van Tata Steel Nederland aan de gezondheidsrisico's van omwonenden en de kwaliteit van hun leefomgeving | RIVM</w:t>
        </w:r>
      </w:hyperlink>
    </w:p>
  </w:footnote>
  <w:footnote w:id="2">
    <w:p w14:paraId="598DED29" w14:textId="77777777" w:rsidR="001C42F5" w:rsidRPr="00C35522" w:rsidRDefault="001C42F5" w:rsidP="001C42F5">
      <w:pPr>
        <w:pStyle w:val="Voetnoottekst"/>
        <w:rPr>
          <w:szCs w:val="13"/>
        </w:rPr>
      </w:pPr>
      <w:r w:rsidRPr="00C35522">
        <w:rPr>
          <w:rStyle w:val="Voetnootmarkering"/>
          <w:szCs w:val="13"/>
        </w:rPr>
        <w:footnoteRef/>
      </w:r>
      <w:r w:rsidRPr="00C35522">
        <w:rPr>
          <w:szCs w:val="13"/>
        </w:rPr>
        <w:t xml:space="preserve"> </w:t>
      </w:r>
      <w:hyperlink r:id="rId2" w:history="1">
        <w:r w:rsidRPr="00C35522">
          <w:rPr>
            <w:rStyle w:val="Hyperlink"/>
            <w:szCs w:val="13"/>
          </w:rPr>
          <w:t>Hoe Tata Steel Nederland te verduurzamen | Rapport | Rijksoverheid.nl</w:t>
        </w:r>
      </w:hyperlink>
    </w:p>
  </w:footnote>
  <w:footnote w:id="3">
    <w:p w14:paraId="34D02A77" w14:textId="77777777" w:rsidR="001C42F5" w:rsidRPr="00C35522" w:rsidRDefault="001C42F5" w:rsidP="001C42F5">
      <w:pPr>
        <w:pStyle w:val="Voetnoottekst"/>
        <w:rPr>
          <w:szCs w:val="13"/>
        </w:rPr>
      </w:pPr>
      <w:r w:rsidRPr="00C35522">
        <w:rPr>
          <w:rStyle w:val="Voetnootmarkering"/>
          <w:szCs w:val="13"/>
        </w:rPr>
        <w:footnoteRef/>
      </w:r>
      <w:r w:rsidRPr="00C35522">
        <w:rPr>
          <w:szCs w:val="13"/>
        </w:rPr>
        <w:t xml:space="preserve"> </w:t>
      </w:r>
      <w:hyperlink r:id="rId3" w:history="1">
        <w:r w:rsidRPr="00C35522">
          <w:rPr>
            <w:rStyle w:val="Hyperlink"/>
            <w:szCs w:val="13"/>
          </w:rPr>
          <w:t>Gezondheid geborgd | Rapport | Rijksoverheid.nl</w:t>
        </w:r>
      </w:hyperlink>
    </w:p>
  </w:footnote>
  <w:footnote w:id="4">
    <w:p w14:paraId="30F9F8A3" w14:textId="77777777" w:rsidR="001C42F5" w:rsidRPr="00C35522" w:rsidRDefault="001C42F5" w:rsidP="001C42F5">
      <w:pPr>
        <w:pStyle w:val="Voetnoottekst"/>
        <w:rPr>
          <w:szCs w:val="13"/>
        </w:rPr>
      </w:pPr>
      <w:r w:rsidRPr="00C35522">
        <w:rPr>
          <w:rStyle w:val="Voetnootmarkering"/>
          <w:szCs w:val="13"/>
        </w:rPr>
        <w:footnoteRef/>
      </w:r>
      <w:r w:rsidRPr="00C35522">
        <w:rPr>
          <w:szCs w:val="13"/>
        </w:rPr>
        <w:t xml:space="preserve"> </w:t>
      </w:r>
      <w:hyperlink r:id="rId4" w:history="1">
        <w:r w:rsidRPr="00C35522">
          <w:rPr>
            <w:rStyle w:val="Hyperlink"/>
            <w:szCs w:val="13"/>
          </w:rPr>
          <w:t>Kamerbrief over mandaat onderhandelingen Tata Steel Nederland | Kamerstuk | Rijksoverheid.nl</w:t>
        </w:r>
      </w:hyperlink>
    </w:p>
  </w:footnote>
  <w:footnote w:id="5">
    <w:p w14:paraId="00C46427" w14:textId="77777777" w:rsidR="001C42F5" w:rsidRPr="00C35522" w:rsidRDefault="001C42F5" w:rsidP="001C42F5">
      <w:pPr>
        <w:pStyle w:val="Voetnoottekst"/>
        <w:rPr>
          <w:szCs w:val="13"/>
        </w:rPr>
      </w:pPr>
      <w:r w:rsidRPr="00C35522">
        <w:rPr>
          <w:rStyle w:val="Voetnootmarkering"/>
          <w:szCs w:val="13"/>
        </w:rPr>
        <w:footnoteRef/>
      </w:r>
      <w:r w:rsidRPr="00C35522">
        <w:rPr>
          <w:szCs w:val="13"/>
        </w:rPr>
        <w:t xml:space="preserve"> </w:t>
      </w:r>
      <w:hyperlink r:id="rId5" w:history="1">
        <w:r w:rsidRPr="00C35522">
          <w:rPr>
            <w:rStyle w:val="Hyperlink"/>
            <w:szCs w:val="13"/>
          </w:rPr>
          <w:t>Kamerstuk 28089, nr. 313 | Overheid.nl &gt; Officiële bekendmakingen</w:t>
        </w:r>
      </w:hyperlink>
    </w:p>
  </w:footnote>
  <w:footnote w:id="6">
    <w:p w14:paraId="0942E4F8" w14:textId="77777777" w:rsidR="001C42F5" w:rsidRPr="00C35522" w:rsidRDefault="001C42F5" w:rsidP="001C42F5">
      <w:pPr>
        <w:pStyle w:val="Voetnoottekst"/>
        <w:rPr>
          <w:szCs w:val="13"/>
        </w:rPr>
      </w:pPr>
      <w:r w:rsidRPr="00C35522">
        <w:rPr>
          <w:rStyle w:val="Voetnootmarkering"/>
          <w:szCs w:val="13"/>
        </w:rPr>
        <w:footnoteRef/>
      </w:r>
      <w:r w:rsidRPr="00C35522">
        <w:rPr>
          <w:szCs w:val="13"/>
        </w:rPr>
        <w:t xml:space="preserve"> </w:t>
      </w:r>
      <w:hyperlink r:id="rId6" w:history="1">
        <w:r w:rsidRPr="00C35522">
          <w:rPr>
            <w:rStyle w:val="Hyperlink"/>
            <w:szCs w:val="13"/>
          </w:rPr>
          <w:t xml:space="preserve">Kamerbrief over Joint Letter of </w:t>
        </w:r>
        <w:proofErr w:type="spellStart"/>
        <w:r w:rsidRPr="00C35522">
          <w:rPr>
            <w:rStyle w:val="Hyperlink"/>
            <w:szCs w:val="13"/>
          </w:rPr>
          <w:t>Intent</w:t>
        </w:r>
        <w:proofErr w:type="spellEnd"/>
        <w:r w:rsidRPr="00C35522">
          <w:rPr>
            <w:rStyle w:val="Hyperlink"/>
            <w:szCs w:val="13"/>
          </w:rPr>
          <w:t xml:space="preserve"> Tata Steel | Kamerstuk | Rijksoverheid.nl</w:t>
        </w:r>
      </w:hyperlink>
    </w:p>
  </w:footnote>
  <w:footnote w:id="7">
    <w:p w14:paraId="6656A56E" w14:textId="77777777" w:rsidR="001C42F5" w:rsidRDefault="001C42F5" w:rsidP="001C42F5">
      <w:pPr>
        <w:pStyle w:val="Voetnoottekst"/>
      </w:pPr>
      <w:r>
        <w:rPr>
          <w:rStyle w:val="Voetnootmarkering"/>
        </w:rPr>
        <w:footnoteRef/>
      </w:r>
      <w:r>
        <w:t xml:space="preserve"> </w:t>
      </w:r>
      <w:hyperlink r:id="rId7" w:history="1">
        <w:r w:rsidRPr="00130BD3">
          <w:rPr>
            <w:rStyle w:val="Hyperlink"/>
          </w:rPr>
          <w:t xml:space="preserve">Technical </w:t>
        </w:r>
        <w:proofErr w:type="spellStart"/>
        <w:r w:rsidRPr="00130BD3">
          <w:rPr>
            <w:rStyle w:val="Hyperlink"/>
          </w:rPr>
          <w:t>Advisory</w:t>
        </w:r>
        <w:proofErr w:type="spellEnd"/>
        <w:r w:rsidRPr="00130BD3">
          <w:rPr>
            <w:rStyle w:val="Hyperlink"/>
          </w:rPr>
          <w:t xml:space="preserve"> Report Joint Letter of </w:t>
        </w:r>
        <w:proofErr w:type="spellStart"/>
        <w:r w:rsidRPr="00130BD3">
          <w:rPr>
            <w:rStyle w:val="Hyperlink"/>
          </w:rPr>
          <w:t>Intent</w:t>
        </w:r>
        <w:proofErr w:type="spellEnd"/>
        <w:r w:rsidRPr="00130BD3">
          <w:rPr>
            <w:rStyle w:val="Hyperlink"/>
          </w:rPr>
          <w:t xml:space="preserve"> Tata Steel Netherlands | Rapport | Rijksoverheid.nl</w:t>
        </w:r>
      </w:hyperlink>
    </w:p>
  </w:footnote>
  <w:footnote w:id="8">
    <w:p w14:paraId="2515602A" w14:textId="77777777" w:rsidR="001C42F5" w:rsidRPr="00C35522" w:rsidRDefault="001C42F5" w:rsidP="001C42F5">
      <w:pPr>
        <w:pStyle w:val="Voetnoottekst"/>
        <w:rPr>
          <w:szCs w:val="13"/>
        </w:rPr>
      </w:pPr>
      <w:r w:rsidRPr="00C35522">
        <w:rPr>
          <w:rStyle w:val="Voetnootmarkering"/>
          <w:szCs w:val="13"/>
        </w:rPr>
        <w:footnoteRef/>
      </w:r>
      <w:r w:rsidRPr="00C35522">
        <w:rPr>
          <w:szCs w:val="13"/>
        </w:rPr>
        <w:t xml:space="preserve"> </w:t>
      </w:r>
      <w:hyperlink r:id="rId8" w:history="1">
        <w:r w:rsidRPr="00C35522">
          <w:rPr>
            <w:rStyle w:val="Hyperlink"/>
            <w:szCs w:val="13"/>
          </w:rPr>
          <w:t>Beantwoording vragen over de additionele kosten voor Tata Steel aangaande de maatwerkaanpak | Kamerstuk | Rijksoverheid.nl</w:t>
        </w:r>
      </w:hyperlink>
      <w:r w:rsidRPr="00C35522">
        <w:rPr>
          <w:szCs w:val="13"/>
        </w:rPr>
        <w:t xml:space="preserve"> vraag </w:t>
      </w:r>
      <w:r>
        <w:rPr>
          <w:szCs w:val="13"/>
        </w:rPr>
        <w:t xml:space="preserve">1, </w:t>
      </w:r>
      <w:r w:rsidRPr="00C35522">
        <w:rPr>
          <w:szCs w:val="13"/>
        </w:rPr>
        <w:t>11</w:t>
      </w:r>
    </w:p>
  </w:footnote>
  <w:footnote w:id="9">
    <w:p w14:paraId="4016FC55" w14:textId="77777777" w:rsidR="001C42F5" w:rsidRPr="00C35522" w:rsidRDefault="001C42F5" w:rsidP="001C42F5">
      <w:pPr>
        <w:pStyle w:val="Voetnoottekst"/>
        <w:rPr>
          <w:szCs w:val="13"/>
        </w:rPr>
      </w:pPr>
      <w:r w:rsidRPr="00C35522">
        <w:rPr>
          <w:rStyle w:val="Voetnootmarkering"/>
          <w:szCs w:val="13"/>
        </w:rPr>
        <w:footnoteRef/>
      </w:r>
      <w:r w:rsidRPr="00C35522">
        <w:rPr>
          <w:szCs w:val="13"/>
        </w:rPr>
        <w:t xml:space="preserve"> </w:t>
      </w:r>
      <w:hyperlink r:id="rId9" w:history="1">
        <w:r w:rsidRPr="00C35522">
          <w:rPr>
            <w:rStyle w:val="Hyperlink"/>
            <w:szCs w:val="13"/>
          </w:rPr>
          <w:t>Beantwoording vragen over de additionele kosten voor Tata Steel aangaande de maatwerkaanpak | Kamerstuk | Rijksoverheid.nl</w:t>
        </w:r>
      </w:hyperlink>
      <w:r w:rsidRPr="00C35522">
        <w:rPr>
          <w:szCs w:val="13"/>
        </w:rPr>
        <w:t xml:space="preserve"> vraag 18, 26-30 en 33.</w:t>
      </w:r>
    </w:p>
  </w:footnote>
  <w:footnote w:id="10">
    <w:p w14:paraId="4CDB10E2" w14:textId="77777777" w:rsidR="001C42F5" w:rsidRPr="00C35522" w:rsidRDefault="001C42F5" w:rsidP="001C42F5">
      <w:pPr>
        <w:pStyle w:val="Voetnoottekst"/>
        <w:rPr>
          <w:szCs w:val="13"/>
        </w:rPr>
      </w:pPr>
      <w:r w:rsidRPr="00C35522">
        <w:rPr>
          <w:rStyle w:val="Voetnootmarkering"/>
          <w:szCs w:val="13"/>
        </w:rPr>
        <w:footnoteRef/>
      </w:r>
      <w:r w:rsidRPr="00C35522">
        <w:rPr>
          <w:szCs w:val="13"/>
        </w:rPr>
        <w:t xml:space="preserve"> </w:t>
      </w:r>
      <w:hyperlink r:id="rId10" w:history="1">
        <w:r w:rsidRPr="00C35522">
          <w:rPr>
            <w:rStyle w:val="Hyperlink"/>
            <w:szCs w:val="13"/>
          </w:rPr>
          <w:t xml:space="preserve">Joint Letter of </w:t>
        </w:r>
        <w:proofErr w:type="spellStart"/>
        <w:r w:rsidRPr="00C35522">
          <w:rPr>
            <w:rStyle w:val="Hyperlink"/>
            <w:szCs w:val="13"/>
          </w:rPr>
          <w:t>Intent</w:t>
        </w:r>
        <w:proofErr w:type="spellEnd"/>
        <w:r w:rsidRPr="00C35522">
          <w:rPr>
            <w:rStyle w:val="Hyperlink"/>
            <w:szCs w:val="13"/>
          </w:rPr>
          <w:t xml:space="preserve"> Tata Steel | Rapport | Rijksoverheid.nl</w:t>
        </w:r>
      </w:hyperlink>
    </w:p>
  </w:footnote>
  <w:footnote w:id="11">
    <w:p w14:paraId="0B239D4C" w14:textId="77777777" w:rsidR="001C42F5" w:rsidRPr="00C35522" w:rsidRDefault="001C42F5" w:rsidP="001C42F5">
      <w:pPr>
        <w:pStyle w:val="Voetnoottekst"/>
        <w:rPr>
          <w:b/>
          <w:bCs/>
          <w:szCs w:val="13"/>
        </w:rPr>
      </w:pPr>
      <w:r w:rsidRPr="00C35522">
        <w:rPr>
          <w:rStyle w:val="Voetnootmarkering"/>
          <w:szCs w:val="13"/>
        </w:rPr>
        <w:footnoteRef/>
      </w:r>
      <w:r w:rsidRPr="00C35522">
        <w:rPr>
          <w:szCs w:val="13"/>
        </w:rPr>
        <w:t xml:space="preserve"> Kamerstuk 28089-307</w:t>
      </w:r>
      <w:r>
        <w:rPr>
          <w:szCs w:val="13"/>
        </w:rPr>
        <w:t xml:space="preserve"> – motie Thijssen</w:t>
      </w:r>
    </w:p>
  </w:footnote>
  <w:footnote w:id="12">
    <w:p w14:paraId="7056355D" w14:textId="77777777" w:rsidR="001C42F5" w:rsidRPr="003D24DD" w:rsidRDefault="001C42F5" w:rsidP="001C42F5">
      <w:pPr>
        <w:pStyle w:val="Voetnoottekst"/>
        <w:rPr>
          <w:szCs w:val="13"/>
        </w:rPr>
      </w:pPr>
      <w:r>
        <w:rPr>
          <w:rStyle w:val="Voetnootmarkering"/>
        </w:rPr>
        <w:footnoteRef/>
      </w:r>
      <w:r>
        <w:t xml:space="preserve"> </w:t>
      </w:r>
      <w:hyperlink r:id="rId11" w:history="1">
        <w:r w:rsidRPr="00C35522">
          <w:rPr>
            <w:rStyle w:val="Hyperlink"/>
            <w:szCs w:val="13"/>
          </w:rPr>
          <w:t>Kamerstuk 28089, nr. 313 | Overheid.nl &gt; Officiële bekendmakingen</w:t>
        </w:r>
      </w:hyperlink>
    </w:p>
  </w:footnote>
  <w:footnote w:id="13">
    <w:p w14:paraId="364A18F0" w14:textId="77777777" w:rsidR="001C42F5" w:rsidRDefault="001C42F5" w:rsidP="001C42F5">
      <w:pPr>
        <w:pStyle w:val="Voetnoottekst"/>
      </w:pPr>
      <w:r>
        <w:rPr>
          <w:rStyle w:val="Voetnootmarkering"/>
        </w:rPr>
        <w:footnoteRef/>
      </w:r>
      <w:r>
        <w:t xml:space="preserve"> </w:t>
      </w:r>
      <w:r w:rsidRPr="00EB13A9">
        <w:t xml:space="preserve">Kamerstukken 2023-2024 II 28089 </w:t>
      </w:r>
      <w:proofErr w:type="spellStart"/>
      <w:r w:rsidRPr="00EB13A9">
        <w:t>nr</w:t>
      </w:r>
      <w:proofErr w:type="spellEnd"/>
      <w:r w:rsidRPr="00EB13A9">
        <w:t xml:space="preserve"> 318 Gezondheid en milieu | Tweede Kamer der Staten-Generaal</w:t>
      </w:r>
      <w:r>
        <w:t>. Kamerbrief reactie op motie Thijssen</w:t>
      </w:r>
    </w:p>
  </w:footnote>
  <w:footnote w:id="14">
    <w:p w14:paraId="53AB753F" w14:textId="77777777" w:rsidR="001C42F5" w:rsidRDefault="001C42F5" w:rsidP="001C42F5">
      <w:pPr>
        <w:pStyle w:val="Voetnoottekst"/>
      </w:pPr>
      <w:r>
        <w:rPr>
          <w:rStyle w:val="Voetnootmarkering"/>
        </w:rPr>
        <w:footnoteRef/>
      </w:r>
      <w:r>
        <w:t xml:space="preserve"> Kamerstuk 28089, nr. 331.</w:t>
      </w:r>
    </w:p>
  </w:footnote>
  <w:footnote w:id="15">
    <w:p w14:paraId="73BDC55B" w14:textId="77777777" w:rsidR="001C42F5" w:rsidRDefault="001C42F5" w:rsidP="001C42F5">
      <w:pPr>
        <w:pStyle w:val="Voetnoottekst"/>
      </w:pPr>
      <w:r>
        <w:rPr>
          <w:rStyle w:val="Voetnootmarkering"/>
        </w:rPr>
        <w:footnoteRef/>
      </w:r>
      <w:r>
        <w:t xml:space="preserve"> Kamerstuk 32813, nr. 1369.</w:t>
      </w:r>
    </w:p>
  </w:footnote>
  <w:footnote w:id="16">
    <w:p w14:paraId="52491B3C" w14:textId="77777777" w:rsidR="001C42F5" w:rsidRPr="00C35522" w:rsidRDefault="001C42F5" w:rsidP="001C42F5">
      <w:pPr>
        <w:pStyle w:val="Voetnoottekst"/>
        <w:rPr>
          <w:szCs w:val="13"/>
        </w:rPr>
      </w:pPr>
      <w:r w:rsidRPr="00C35522">
        <w:rPr>
          <w:rStyle w:val="Voetnootmarkering"/>
          <w:szCs w:val="13"/>
        </w:rPr>
        <w:footnoteRef/>
      </w:r>
      <w:r w:rsidRPr="00C35522">
        <w:rPr>
          <w:szCs w:val="13"/>
        </w:rPr>
        <w:t xml:space="preserve"> </w:t>
      </w:r>
      <w:hyperlink r:id="rId12" w:history="1">
        <w:r w:rsidRPr="00C35522">
          <w:rPr>
            <w:rStyle w:val="Hyperlink"/>
            <w:szCs w:val="13"/>
          </w:rPr>
          <w:t>Kamerbrief met kabinetsreactie op 2e advies Expertgroep Gezondheid IJmond | Kamerstuk | Rijksoverheid.nl</w:t>
        </w:r>
      </w:hyperlink>
    </w:p>
  </w:footnote>
  <w:footnote w:id="17">
    <w:p w14:paraId="59A6AB48" w14:textId="77777777" w:rsidR="001C42F5" w:rsidRDefault="001C42F5" w:rsidP="001C42F5">
      <w:pPr>
        <w:pStyle w:val="Voetnoottekst"/>
      </w:pPr>
      <w:r>
        <w:rPr>
          <w:rStyle w:val="Voetnootmarkering"/>
        </w:rPr>
        <w:footnoteRef/>
      </w:r>
      <w:r>
        <w:t xml:space="preserve"> </w:t>
      </w:r>
      <w:r w:rsidRPr="00C35522">
        <w:rPr>
          <w:szCs w:val="13"/>
        </w:rPr>
        <w:t xml:space="preserve"> </w:t>
      </w:r>
      <w:hyperlink r:id="rId13" w:history="1">
        <w:r w:rsidRPr="00C35522">
          <w:rPr>
            <w:rStyle w:val="Hyperlink"/>
            <w:szCs w:val="13"/>
          </w:rPr>
          <w:t xml:space="preserve">Kamerbrief over Joint Letter of </w:t>
        </w:r>
        <w:proofErr w:type="spellStart"/>
        <w:r w:rsidRPr="00C35522">
          <w:rPr>
            <w:rStyle w:val="Hyperlink"/>
            <w:szCs w:val="13"/>
          </w:rPr>
          <w:t>Intent</w:t>
        </w:r>
        <w:proofErr w:type="spellEnd"/>
        <w:r w:rsidRPr="00C35522">
          <w:rPr>
            <w:rStyle w:val="Hyperlink"/>
            <w:szCs w:val="13"/>
          </w:rPr>
          <w:t xml:space="preserve"> Tata Steel | Kamerstuk | Rijksoverheid.nl</w:t>
        </w:r>
      </w:hyperlink>
    </w:p>
  </w:footnote>
  <w:footnote w:id="18">
    <w:p w14:paraId="6A05C4DE" w14:textId="77777777" w:rsidR="001C42F5" w:rsidRPr="00C35522" w:rsidRDefault="001C42F5" w:rsidP="001C42F5">
      <w:pPr>
        <w:pStyle w:val="Voetnoottekst"/>
        <w:rPr>
          <w:szCs w:val="13"/>
        </w:rPr>
      </w:pPr>
      <w:r w:rsidRPr="00C35522">
        <w:rPr>
          <w:rStyle w:val="Voetnootmarkering"/>
          <w:szCs w:val="13"/>
        </w:rPr>
        <w:footnoteRef/>
      </w:r>
      <w:r w:rsidRPr="00C35522">
        <w:rPr>
          <w:szCs w:val="13"/>
        </w:rPr>
        <w:t xml:space="preserve"> </w:t>
      </w:r>
      <w:hyperlink r:id="rId14" w:history="1">
        <w:r w:rsidRPr="00C35522">
          <w:rPr>
            <w:rStyle w:val="Hyperlink"/>
            <w:szCs w:val="13"/>
          </w:rPr>
          <w:t>Kamerstuk 28089, nr. 346 | Overheid.nl &gt; Officiële bekendmakingen</w:t>
        </w:r>
      </w:hyperlink>
    </w:p>
  </w:footnote>
  <w:footnote w:id="19">
    <w:p w14:paraId="7A5E5F12" w14:textId="77777777" w:rsidR="001C42F5" w:rsidRPr="00C35522" w:rsidRDefault="001C42F5" w:rsidP="001C42F5">
      <w:pPr>
        <w:pStyle w:val="Voetnoottekst"/>
        <w:rPr>
          <w:szCs w:val="13"/>
        </w:rPr>
      </w:pPr>
      <w:r w:rsidRPr="00C35522">
        <w:rPr>
          <w:rStyle w:val="Voetnootmarkering"/>
          <w:szCs w:val="13"/>
        </w:rPr>
        <w:footnoteRef/>
      </w:r>
      <w:r w:rsidRPr="00C35522">
        <w:rPr>
          <w:szCs w:val="13"/>
        </w:rPr>
        <w:t xml:space="preserve"> </w:t>
      </w:r>
      <w:hyperlink r:id="rId15">
        <w:r w:rsidRPr="00C35522">
          <w:rPr>
            <w:rStyle w:val="Hyperlink"/>
            <w:szCs w:val="13"/>
          </w:rPr>
          <w:t xml:space="preserve">Dwangsommen voor overschrijden milieunormen Tata Steel en afronding onderzoek </w:t>
        </w:r>
        <w:proofErr w:type="spellStart"/>
        <w:r w:rsidRPr="00C35522">
          <w:rPr>
            <w:rStyle w:val="Hyperlink"/>
            <w:szCs w:val="13"/>
          </w:rPr>
          <w:t>Kooksgasfabriek</w:t>
        </w:r>
        <w:proofErr w:type="spellEnd"/>
        <w:r w:rsidRPr="00C35522">
          <w:rPr>
            <w:rStyle w:val="Hyperlink"/>
            <w:szCs w:val="13"/>
          </w:rPr>
          <w:t xml:space="preserve"> - Omgevingsdienst Noordzeekanaalgebied</w:t>
        </w:r>
      </w:hyperlink>
    </w:p>
  </w:footnote>
  <w:footnote w:id="20">
    <w:p w14:paraId="1172415C" w14:textId="77777777" w:rsidR="001C42F5" w:rsidRPr="00C35522" w:rsidRDefault="001C42F5" w:rsidP="001C42F5">
      <w:pPr>
        <w:pStyle w:val="Voetnoottekst"/>
        <w:rPr>
          <w:szCs w:val="13"/>
        </w:rPr>
      </w:pPr>
      <w:r w:rsidRPr="00C35522">
        <w:rPr>
          <w:rStyle w:val="Voetnootmarkering"/>
          <w:szCs w:val="13"/>
        </w:rPr>
        <w:footnoteRef/>
      </w:r>
      <w:r w:rsidRPr="00C35522">
        <w:rPr>
          <w:szCs w:val="13"/>
        </w:rPr>
        <w:t xml:space="preserve"> </w:t>
      </w:r>
      <w:hyperlink r:id="rId16" w:history="1">
        <w:r w:rsidRPr="00C35522">
          <w:rPr>
            <w:rStyle w:val="Hyperlink"/>
            <w:szCs w:val="13"/>
          </w:rPr>
          <w:t xml:space="preserve">Antwoord op vragen van de leden </w:t>
        </w:r>
        <w:proofErr w:type="spellStart"/>
        <w:r w:rsidRPr="00C35522">
          <w:rPr>
            <w:rStyle w:val="Hyperlink"/>
            <w:szCs w:val="13"/>
          </w:rPr>
          <w:t>Gabriëls</w:t>
        </w:r>
        <w:proofErr w:type="spellEnd"/>
        <w:r w:rsidRPr="00C35522">
          <w:rPr>
            <w:rStyle w:val="Hyperlink"/>
            <w:szCs w:val="13"/>
          </w:rPr>
          <w:t xml:space="preserve">, Thijssen, </w:t>
        </w:r>
        <w:proofErr w:type="spellStart"/>
        <w:r w:rsidRPr="00C35522">
          <w:rPr>
            <w:rStyle w:val="Hyperlink"/>
            <w:szCs w:val="13"/>
          </w:rPr>
          <w:t>Kröger</w:t>
        </w:r>
        <w:proofErr w:type="spellEnd"/>
        <w:r w:rsidRPr="00C35522">
          <w:rPr>
            <w:rStyle w:val="Hyperlink"/>
            <w:szCs w:val="13"/>
          </w:rPr>
          <w:t xml:space="preserve">, </w:t>
        </w:r>
        <w:proofErr w:type="spellStart"/>
        <w:r w:rsidRPr="00C35522">
          <w:rPr>
            <w:rStyle w:val="Hyperlink"/>
            <w:szCs w:val="13"/>
          </w:rPr>
          <w:t>Kostic</w:t>
        </w:r>
        <w:proofErr w:type="spellEnd"/>
        <w:r w:rsidRPr="00C35522">
          <w:rPr>
            <w:rStyle w:val="Hyperlink"/>
            <w:szCs w:val="13"/>
          </w:rPr>
          <w:t xml:space="preserve"> en Teunissen over de Joint Letter of </w:t>
        </w:r>
        <w:proofErr w:type="spellStart"/>
        <w:r w:rsidRPr="00C35522">
          <w:rPr>
            <w:rStyle w:val="Hyperlink"/>
            <w:szCs w:val="13"/>
          </w:rPr>
          <w:t>Intent</w:t>
        </w:r>
        <w:proofErr w:type="spellEnd"/>
        <w:r w:rsidRPr="00C35522">
          <w:rPr>
            <w:rStyle w:val="Hyperlink"/>
            <w:szCs w:val="13"/>
          </w:rPr>
          <w:t xml:space="preserve"> met Tata Steel, de fors hogere uitstoot van Tata Steel, staalslakken en de forse salarisverhogingen van directieleden bij Tata Steel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405D5" w14:paraId="336D5F28" w14:textId="77777777" w:rsidTr="00A50CF6">
      <w:tc>
        <w:tcPr>
          <w:tcW w:w="2156" w:type="dxa"/>
        </w:tcPr>
        <w:p w14:paraId="3F83840B" w14:textId="77777777" w:rsidR="00527BD4" w:rsidRPr="005819CE" w:rsidRDefault="00A7007F" w:rsidP="00A50CF6">
          <w:pPr>
            <w:pStyle w:val="Huisstijl-Adres"/>
            <w:rPr>
              <w:b/>
            </w:rPr>
          </w:pPr>
          <w:r>
            <w:rPr>
              <w:b/>
            </w:rPr>
            <w:t>Directoraat-generaal Realisatie Groene Groei</w:t>
          </w:r>
          <w:r w:rsidRPr="005819CE">
            <w:rPr>
              <w:b/>
            </w:rPr>
            <w:br/>
          </w:r>
        </w:p>
      </w:tc>
    </w:tr>
    <w:tr w:rsidR="00B405D5" w14:paraId="3C095413" w14:textId="77777777" w:rsidTr="00A50CF6">
      <w:trPr>
        <w:trHeight w:hRule="exact" w:val="200"/>
      </w:trPr>
      <w:tc>
        <w:tcPr>
          <w:tcW w:w="2156" w:type="dxa"/>
        </w:tcPr>
        <w:p w14:paraId="05E84E1D" w14:textId="77777777" w:rsidR="00527BD4" w:rsidRPr="005819CE" w:rsidRDefault="00527BD4" w:rsidP="00A50CF6"/>
      </w:tc>
    </w:tr>
    <w:tr w:rsidR="00B405D5" w14:paraId="5DF537F1" w14:textId="77777777" w:rsidTr="00502512">
      <w:trPr>
        <w:trHeight w:hRule="exact" w:val="774"/>
      </w:trPr>
      <w:tc>
        <w:tcPr>
          <w:tcW w:w="2156" w:type="dxa"/>
        </w:tcPr>
        <w:p w14:paraId="4CEB36D1" w14:textId="77777777" w:rsidR="00527BD4" w:rsidRDefault="00A7007F" w:rsidP="003A5290">
          <w:pPr>
            <w:pStyle w:val="Huisstijl-Kopje"/>
          </w:pPr>
          <w:r>
            <w:t>Ons kenmerk</w:t>
          </w:r>
        </w:p>
        <w:p w14:paraId="76A2C890" w14:textId="77777777" w:rsidR="00527BD4" w:rsidRPr="005819CE" w:rsidRDefault="00A7007F" w:rsidP="004425CC">
          <w:pPr>
            <w:pStyle w:val="Huisstijl-Kopje"/>
          </w:pPr>
          <w:r>
            <w:rPr>
              <w:b w:val="0"/>
            </w:rPr>
            <w:t>KGG_DGRGG</w:t>
          </w:r>
          <w:r w:rsidRPr="00502512">
            <w:rPr>
              <w:b w:val="0"/>
            </w:rPr>
            <w:t xml:space="preserve"> / </w:t>
          </w:r>
          <w:r>
            <w:rPr>
              <w:b w:val="0"/>
            </w:rPr>
            <w:t>104432262</w:t>
          </w:r>
        </w:p>
      </w:tc>
    </w:tr>
  </w:tbl>
  <w:p w14:paraId="23700DAA" w14:textId="77777777" w:rsidR="00527BD4" w:rsidRDefault="00527BD4" w:rsidP="008C356D">
    <w:pPr>
      <w:pStyle w:val="Koptekst"/>
      <w:rPr>
        <w:rFonts w:cs="Verdana-Bold"/>
        <w:b/>
        <w:bCs/>
        <w:smallCaps/>
        <w:szCs w:val="18"/>
      </w:rPr>
    </w:pPr>
  </w:p>
  <w:p w14:paraId="1CC908EE" w14:textId="77777777" w:rsidR="00527BD4" w:rsidRDefault="00527BD4" w:rsidP="008C356D"/>
  <w:p w14:paraId="67684197" w14:textId="77777777" w:rsidR="00527BD4" w:rsidRPr="00740712" w:rsidRDefault="00527BD4" w:rsidP="008C356D"/>
  <w:p w14:paraId="25A9215D" w14:textId="77777777" w:rsidR="00527BD4" w:rsidRPr="00217880" w:rsidRDefault="00527BD4" w:rsidP="008C356D">
    <w:pPr>
      <w:spacing w:line="0" w:lineRule="atLeast"/>
      <w:rPr>
        <w:sz w:val="2"/>
        <w:szCs w:val="2"/>
      </w:rPr>
    </w:pPr>
  </w:p>
  <w:p w14:paraId="6471A8A7" w14:textId="77777777" w:rsidR="00527BD4" w:rsidRDefault="00527BD4" w:rsidP="004F44C2">
    <w:pPr>
      <w:pStyle w:val="Koptekst"/>
      <w:rPr>
        <w:rFonts w:cs="Verdana-Bold"/>
        <w:b/>
        <w:bCs/>
        <w:smallCaps/>
        <w:szCs w:val="18"/>
      </w:rPr>
    </w:pPr>
  </w:p>
  <w:p w14:paraId="775FED86" w14:textId="77777777" w:rsidR="00527BD4" w:rsidRDefault="00527BD4" w:rsidP="004F44C2"/>
  <w:p w14:paraId="36282C3C" w14:textId="77777777" w:rsidR="00527BD4" w:rsidRPr="00740712" w:rsidRDefault="00527BD4" w:rsidP="004F44C2"/>
  <w:p w14:paraId="3E35CBB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405D5" w14:paraId="0F15872E" w14:textId="77777777" w:rsidTr="00751A6A">
      <w:trPr>
        <w:trHeight w:val="2636"/>
      </w:trPr>
      <w:tc>
        <w:tcPr>
          <w:tcW w:w="737" w:type="dxa"/>
        </w:tcPr>
        <w:p w14:paraId="6B1FF70A" w14:textId="77777777" w:rsidR="00527BD4" w:rsidRDefault="00527BD4" w:rsidP="00D0609E">
          <w:pPr>
            <w:framePr w:w="6340" w:h="2750" w:hRule="exact" w:hSpace="180" w:wrap="around" w:vAnchor="page" w:hAnchor="text" w:x="3873" w:y="-140"/>
            <w:spacing w:line="240" w:lineRule="auto"/>
          </w:pPr>
        </w:p>
      </w:tc>
      <w:tc>
        <w:tcPr>
          <w:tcW w:w="5156" w:type="dxa"/>
        </w:tcPr>
        <w:p w14:paraId="44552747" w14:textId="77777777" w:rsidR="00527BD4" w:rsidRDefault="00A7007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B6BD4B8" wp14:editId="32CC6A3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1D0B752" w14:textId="77777777" w:rsidR="007269E3" w:rsidRDefault="007269E3" w:rsidP="00651CEE">
          <w:pPr>
            <w:framePr w:w="6340" w:h="2750" w:hRule="exact" w:hSpace="180" w:wrap="around" w:vAnchor="page" w:hAnchor="text" w:x="3873" w:y="-140"/>
            <w:spacing w:line="240" w:lineRule="auto"/>
          </w:pPr>
        </w:p>
      </w:tc>
    </w:tr>
  </w:tbl>
  <w:p w14:paraId="47EFA0A4" w14:textId="77777777" w:rsidR="00527BD4" w:rsidRDefault="00527BD4" w:rsidP="00D0609E">
    <w:pPr>
      <w:framePr w:w="6340" w:h="2750" w:hRule="exact" w:hSpace="180" w:wrap="around" w:vAnchor="page" w:hAnchor="text" w:x="3873" w:y="-140"/>
    </w:pPr>
  </w:p>
  <w:p w14:paraId="4EF27E8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405D5" w14:paraId="592AC4D7" w14:textId="77777777" w:rsidTr="00A50CF6">
      <w:tc>
        <w:tcPr>
          <w:tcW w:w="2160" w:type="dxa"/>
        </w:tcPr>
        <w:p w14:paraId="47EC0D47" w14:textId="77777777" w:rsidR="00527BD4" w:rsidRPr="005819CE" w:rsidRDefault="00A7007F" w:rsidP="00A50CF6">
          <w:pPr>
            <w:pStyle w:val="Huisstijl-Adres"/>
            <w:rPr>
              <w:b/>
            </w:rPr>
          </w:pPr>
          <w:r>
            <w:rPr>
              <w:b/>
            </w:rPr>
            <w:t>Directoraat-generaal Realisatie Groene Groei</w:t>
          </w:r>
          <w:r w:rsidRPr="005819CE">
            <w:rPr>
              <w:b/>
            </w:rPr>
            <w:br/>
          </w:r>
        </w:p>
        <w:p w14:paraId="45C644A5" w14:textId="77777777" w:rsidR="00527BD4" w:rsidRPr="00BE5ED9" w:rsidRDefault="00A7007F" w:rsidP="00A50CF6">
          <w:pPr>
            <w:pStyle w:val="Huisstijl-Adres"/>
          </w:pPr>
          <w:r>
            <w:rPr>
              <w:b/>
            </w:rPr>
            <w:t>Bezoekadres</w:t>
          </w:r>
          <w:r>
            <w:rPr>
              <w:b/>
            </w:rPr>
            <w:br/>
          </w:r>
          <w:r>
            <w:t>Bezuidenhoutseweg 73</w:t>
          </w:r>
          <w:r w:rsidRPr="005819CE">
            <w:br/>
          </w:r>
          <w:r>
            <w:t>2594 AC DEN HAAG</w:t>
          </w:r>
        </w:p>
        <w:p w14:paraId="62443E56" w14:textId="77777777" w:rsidR="00EF495B" w:rsidRDefault="00A7007F" w:rsidP="0098788A">
          <w:pPr>
            <w:pStyle w:val="Huisstijl-Adres"/>
          </w:pPr>
          <w:r>
            <w:rPr>
              <w:b/>
            </w:rPr>
            <w:t>Postadres</w:t>
          </w:r>
          <w:r>
            <w:rPr>
              <w:b/>
            </w:rPr>
            <w:br/>
          </w:r>
          <w:r>
            <w:t>Postbus 20401</w:t>
          </w:r>
          <w:r w:rsidRPr="005819CE">
            <w:br/>
            <w:t>2500 E</w:t>
          </w:r>
          <w:r>
            <w:t>K</w:t>
          </w:r>
          <w:r w:rsidRPr="005819CE">
            <w:t xml:space="preserve"> Den Haag</w:t>
          </w:r>
        </w:p>
        <w:p w14:paraId="6F18659F" w14:textId="77777777" w:rsidR="00EF495B" w:rsidRPr="005B3814" w:rsidRDefault="00A7007F" w:rsidP="0098788A">
          <w:pPr>
            <w:pStyle w:val="Huisstijl-Adres"/>
          </w:pPr>
          <w:r>
            <w:rPr>
              <w:b/>
            </w:rPr>
            <w:t>Overheidsidentificatienr</w:t>
          </w:r>
          <w:r>
            <w:rPr>
              <w:b/>
            </w:rPr>
            <w:br/>
          </w:r>
          <w:r w:rsidRPr="005B3814">
            <w:t>00000001003214369000</w:t>
          </w:r>
        </w:p>
        <w:p w14:paraId="2CCD405C" w14:textId="7E362022" w:rsidR="00527BD4" w:rsidRPr="00C35522" w:rsidRDefault="00A7007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405D5" w14:paraId="7C9A83DE" w14:textId="77777777" w:rsidTr="00A50CF6">
      <w:trPr>
        <w:trHeight w:hRule="exact" w:val="200"/>
      </w:trPr>
      <w:tc>
        <w:tcPr>
          <w:tcW w:w="2160" w:type="dxa"/>
        </w:tcPr>
        <w:p w14:paraId="58CE4784" w14:textId="77777777" w:rsidR="00527BD4" w:rsidRPr="005819CE" w:rsidRDefault="00527BD4" w:rsidP="00A50CF6"/>
      </w:tc>
    </w:tr>
    <w:tr w:rsidR="00B405D5" w14:paraId="08EEF199" w14:textId="77777777" w:rsidTr="00A50CF6">
      <w:tc>
        <w:tcPr>
          <w:tcW w:w="2160" w:type="dxa"/>
        </w:tcPr>
        <w:p w14:paraId="4EC1D196" w14:textId="77777777" w:rsidR="000C0163" w:rsidRPr="005819CE" w:rsidRDefault="00A7007F" w:rsidP="000C0163">
          <w:pPr>
            <w:pStyle w:val="Huisstijl-Kopje"/>
          </w:pPr>
          <w:r>
            <w:t>Ons kenmerk</w:t>
          </w:r>
          <w:r w:rsidRPr="005819CE">
            <w:t xml:space="preserve"> </w:t>
          </w:r>
        </w:p>
        <w:p w14:paraId="17894A2A" w14:textId="1A07D53C" w:rsidR="00527BD4" w:rsidRPr="005819CE" w:rsidRDefault="00A7007F" w:rsidP="00A50CF6">
          <w:pPr>
            <w:pStyle w:val="Huisstijl-Gegeven"/>
          </w:pPr>
          <w:r>
            <w:t>KGG_DGRGG</w:t>
          </w:r>
          <w:r w:rsidR="00926AE2">
            <w:t xml:space="preserve"> / </w:t>
          </w:r>
          <w:r>
            <w:t>104432262</w:t>
          </w:r>
        </w:p>
      </w:tc>
    </w:tr>
  </w:tbl>
  <w:p w14:paraId="51B720D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405D5" w14:paraId="1370FCE6" w14:textId="77777777" w:rsidTr="007610AA">
      <w:trPr>
        <w:trHeight w:val="400"/>
      </w:trPr>
      <w:tc>
        <w:tcPr>
          <w:tcW w:w="7520" w:type="dxa"/>
          <w:gridSpan w:val="2"/>
        </w:tcPr>
        <w:p w14:paraId="7974DDE1" w14:textId="77777777" w:rsidR="00527BD4" w:rsidRPr="00BC3B53" w:rsidRDefault="00A7007F" w:rsidP="00A50CF6">
          <w:pPr>
            <w:pStyle w:val="Huisstijl-Retouradres"/>
          </w:pPr>
          <w:r>
            <w:t>&gt; Retouradres Postbus 20401 2500 EK Den Haag</w:t>
          </w:r>
        </w:p>
      </w:tc>
    </w:tr>
    <w:tr w:rsidR="00B405D5" w14:paraId="2D37C0DF" w14:textId="77777777" w:rsidTr="007610AA">
      <w:tc>
        <w:tcPr>
          <w:tcW w:w="7520" w:type="dxa"/>
          <w:gridSpan w:val="2"/>
        </w:tcPr>
        <w:p w14:paraId="70A2B647" w14:textId="77777777" w:rsidR="00527BD4" w:rsidRPr="00983E8F" w:rsidRDefault="00527BD4" w:rsidP="00A50CF6">
          <w:pPr>
            <w:pStyle w:val="Huisstijl-Rubricering"/>
          </w:pPr>
        </w:p>
      </w:tc>
    </w:tr>
    <w:tr w:rsidR="00B405D5" w14:paraId="08C5E67C" w14:textId="77777777" w:rsidTr="007610AA">
      <w:trPr>
        <w:trHeight w:hRule="exact" w:val="2440"/>
      </w:trPr>
      <w:tc>
        <w:tcPr>
          <w:tcW w:w="7520" w:type="dxa"/>
          <w:gridSpan w:val="2"/>
        </w:tcPr>
        <w:p w14:paraId="4EEF073F" w14:textId="008074D2" w:rsidR="00527BD4" w:rsidRDefault="00C35522" w:rsidP="00A50CF6">
          <w:pPr>
            <w:pStyle w:val="Huisstijl-NAW"/>
          </w:pPr>
          <w:r>
            <w:t xml:space="preserve">De </w:t>
          </w:r>
          <w:r w:rsidR="00A7007F">
            <w:t>Voorzitter van de Tweede Kamer</w:t>
          </w:r>
        </w:p>
        <w:p w14:paraId="42F5ECBB" w14:textId="77777777" w:rsidR="00B405D5" w:rsidRDefault="00A7007F">
          <w:pPr>
            <w:pStyle w:val="Huisstijl-NAW"/>
          </w:pPr>
          <w:r>
            <w:t xml:space="preserve">der Staten-Generaal </w:t>
          </w:r>
        </w:p>
        <w:p w14:paraId="6F878A89" w14:textId="77777777" w:rsidR="00B405D5" w:rsidRDefault="00A7007F">
          <w:pPr>
            <w:pStyle w:val="Huisstijl-NAW"/>
          </w:pPr>
          <w:r>
            <w:t xml:space="preserve">Prinses Irenestraat 6 </w:t>
          </w:r>
        </w:p>
        <w:p w14:paraId="3DDAAA59" w14:textId="78E01D0A" w:rsidR="00B405D5" w:rsidRDefault="00A7007F">
          <w:pPr>
            <w:pStyle w:val="Huisstijl-NAW"/>
          </w:pPr>
          <w:r>
            <w:t xml:space="preserve">2595 BD </w:t>
          </w:r>
          <w:r w:rsidR="00C35522">
            <w:t xml:space="preserve"> </w:t>
          </w:r>
          <w:r>
            <w:t>DEN HAAG</w:t>
          </w:r>
        </w:p>
      </w:tc>
    </w:tr>
    <w:tr w:rsidR="00B405D5" w14:paraId="34F5A67A" w14:textId="77777777" w:rsidTr="007610AA">
      <w:trPr>
        <w:trHeight w:hRule="exact" w:val="400"/>
      </w:trPr>
      <w:tc>
        <w:tcPr>
          <w:tcW w:w="7520" w:type="dxa"/>
          <w:gridSpan w:val="2"/>
        </w:tcPr>
        <w:p w14:paraId="2B27E7D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405D5" w14:paraId="020CB257" w14:textId="77777777" w:rsidTr="007610AA">
      <w:trPr>
        <w:trHeight w:val="240"/>
      </w:trPr>
      <w:tc>
        <w:tcPr>
          <w:tcW w:w="900" w:type="dxa"/>
        </w:tcPr>
        <w:p w14:paraId="4F0076D4" w14:textId="77777777" w:rsidR="00527BD4" w:rsidRPr="007709EF" w:rsidRDefault="00A7007F" w:rsidP="00A50CF6">
          <w:pPr>
            <w:rPr>
              <w:szCs w:val="18"/>
            </w:rPr>
          </w:pPr>
          <w:r>
            <w:rPr>
              <w:szCs w:val="18"/>
            </w:rPr>
            <w:t>Datum</w:t>
          </w:r>
        </w:p>
      </w:tc>
      <w:tc>
        <w:tcPr>
          <w:tcW w:w="6620" w:type="dxa"/>
        </w:tcPr>
        <w:p w14:paraId="5FDB7B0E" w14:textId="3FBC09B0" w:rsidR="00527BD4" w:rsidRPr="007709EF" w:rsidRDefault="00FC757C" w:rsidP="00A50CF6">
          <w:r>
            <w:t>26 maart 2026</w:t>
          </w:r>
        </w:p>
      </w:tc>
    </w:tr>
    <w:tr w:rsidR="00B405D5" w14:paraId="238D40A4" w14:textId="77777777" w:rsidTr="007610AA">
      <w:trPr>
        <w:trHeight w:val="240"/>
      </w:trPr>
      <w:tc>
        <w:tcPr>
          <w:tcW w:w="900" w:type="dxa"/>
        </w:tcPr>
        <w:p w14:paraId="3C225673" w14:textId="77777777" w:rsidR="00527BD4" w:rsidRPr="007709EF" w:rsidRDefault="00A7007F" w:rsidP="00A50CF6">
          <w:pPr>
            <w:rPr>
              <w:szCs w:val="18"/>
            </w:rPr>
          </w:pPr>
          <w:r>
            <w:rPr>
              <w:szCs w:val="18"/>
            </w:rPr>
            <w:t>Betreft</w:t>
          </w:r>
        </w:p>
      </w:tc>
      <w:tc>
        <w:tcPr>
          <w:tcW w:w="6620" w:type="dxa"/>
        </w:tcPr>
        <w:p w14:paraId="0C5B3F04" w14:textId="77777777" w:rsidR="00527BD4" w:rsidRPr="007709EF" w:rsidRDefault="00A7007F" w:rsidP="00A50CF6">
          <w:r>
            <w:t xml:space="preserve">Reactie op brief Greenpeace Nederland, Stichting Frisse Wind.nu en Dorpsraad Wijk aan Zee m.b.t. "De schadelijke uitstoot van Tata Steel" </w:t>
          </w:r>
        </w:p>
      </w:tc>
    </w:tr>
  </w:tbl>
  <w:p w14:paraId="7CF5924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0E6795"/>
    <w:multiLevelType w:val="hybridMultilevel"/>
    <w:tmpl w:val="4B6E0ECC"/>
    <w:lvl w:ilvl="0" w:tplc="18804C66">
      <w:start w:val="9"/>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FDD2179E">
      <w:start w:val="1"/>
      <w:numFmt w:val="bullet"/>
      <w:pStyle w:val="Lijstopsomteken"/>
      <w:lvlText w:val="•"/>
      <w:lvlJc w:val="left"/>
      <w:pPr>
        <w:tabs>
          <w:tab w:val="num" w:pos="227"/>
        </w:tabs>
        <w:ind w:left="227" w:hanging="227"/>
      </w:pPr>
      <w:rPr>
        <w:rFonts w:ascii="Verdana" w:hAnsi="Verdana" w:hint="default"/>
        <w:sz w:val="18"/>
        <w:szCs w:val="18"/>
      </w:rPr>
    </w:lvl>
    <w:lvl w:ilvl="1" w:tplc="88B8654C" w:tentative="1">
      <w:start w:val="1"/>
      <w:numFmt w:val="bullet"/>
      <w:lvlText w:val="o"/>
      <w:lvlJc w:val="left"/>
      <w:pPr>
        <w:tabs>
          <w:tab w:val="num" w:pos="1440"/>
        </w:tabs>
        <w:ind w:left="1440" w:hanging="360"/>
      </w:pPr>
      <w:rPr>
        <w:rFonts w:ascii="Courier New" w:hAnsi="Courier New" w:cs="Courier New" w:hint="default"/>
      </w:rPr>
    </w:lvl>
    <w:lvl w:ilvl="2" w:tplc="6F822BDE" w:tentative="1">
      <w:start w:val="1"/>
      <w:numFmt w:val="bullet"/>
      <w:lvlText w:val=""/>
      <w:lvlJc w:val="left"/>
      <w:pPr>
        <w:tabs>
          <w:tab w:val="num" w:pos="2160"/>
        </w:tabs>
        <w:ind w:left="2160" w:hanging="360"/>
      </w:pPr>
      <w:rPr>
        <w:rFonts w:ascii="Wingdings" w:hAnsi="Wingdings" w:hint="default"/>
      </w:rPr>
    </w:lvl>
    <w:lvl w:ilvl="3" w:tplc="692E87D2" w:tentative="1">
      <w:start w:val="1"/>
      <w:numFmt w:val="bullet"/>
      <w:lvlText w:val=""/>
      <w:lvlJc w:val="left"/>
      <w:pPr>
        <w:tabs>
          <w:tab w:val="num" w:pos="2880"/>
        </w:tabs>
        <w:ind w:left="2880" w:hanging="360"/>
      </w:pPr>
      <w:rPr>
        <w:rFonts w:ascii="Symbol" w:hAnsi="Symbol" w:hint="default"/>
      </w:rPr>
    </w:lvl>
    <w:lvl w:ilvl="4" w:tplc="1D025864" w:tentative="1">
      <w:start w:val="1"/>
      <w:numFmt w:val="bullet"/>
      <w:lvlText w:val="o"/>
      <w:lvlJc w:val="left"/>
      <w:pPr>
        <w:tabs>
          <w:tab w:val="num" w:pos="3600"/>
        </w:tabs>
        <w:ind w:left="3600" w:hanging="360"/>
      </w:pPr>
      <w:rPr>
        <w:rFonts w:ascii="Courier New" w:hAnsi="Courier New" w:cs="Courier New" w:hint="default"/>
      </w:rPr>
    </w:lvl>
    <w:lvl w:ilvl="5" w:tplc="752A531A" w:tentative="1">
      <w:start w:val="1"/>
      <w:numFmt w:val="bullet"/>
      <w:lvlText w:val=""/>
      <w:lvlJc w:val="left"/>
      <w:pPr>
        <w:tabs>
          <w:tab w:val="num" w:pos="4320"/>
        </w:tabs>
        <w:ind w:left="4320" w:hanging="360"/>
      </w:pPr>
      <w:rPr>
        <w:rFonts w:ascii="Wingdings" w:hAnsi="Wingdings" w:hint="default"/>
      </w:rPr>
    </w:lvl>
    <w:lvl w:ilvl="6" w:tplc="89868148" w:tentative="1">
      <w:start w:val="1"/>
      <w:numFmt w:val="bullet"/>
      <w:lvlText w:val=""/>
      <w:lvlJc w:val="left"/>
      <w:pPr>
        <w:tabs>
          <w:tab w:val="num" w:pos="5040"/>
        </w:tabs>
        <w:ind w:left="5040" w:hanging="360"/>
      </w:pPr>
      <w:rPr>
        <w:rFonts w:ascii="Symbol" w:hAnsi="Symbol" w:hint="default"/>
      </w:rPr>
    </w:lvl>
    <w:lvl w:ilvl="7" w:tplc="34E0E588" w:tentative="1">
      <w:start w:val="1"/>
      <w:numFmt w:val="bullet"/>
      <w:lvlText w:val="o"/>
      <w:lvlJc w:val="left"/>
      <w:pPr>
        <w:tabs>
          <w:tab w:val="num" w:pos="5760"/>
        </w:tabs>
        <w:ind w:left="5760" w:hanging="360"/>
      </w:pPr>
      <w:rPr>
        <w:rFonts w:ascii="Courier New" w:hAnsi="Courier New" w:cs="Courier New" w:hint="default"/>
      </w:rPr>
    </w:lvl>
    <w:lvl w:ilvl="8" w:tplc="503ECF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D9A4E358">
      <w:start w:val="1"/>
      <w:numFmt w:val="bullet"/>
      <w:pStyle w:val="Lijstopsomteken2"/>
      <w:lvlText w:val="–"/>
      <w:lvlJc w:val="left"/>
      <w:pPr>
        <w:tabs>
          <w:tab w:val="num" w:pos="227"/>
        </w:tabs>
        <w:ind w:left="227" w:firstLine="0"/>
      </w:pPr>
      <w:rPr>
        <w:rFonts w:ascii="Verdana" w:hAnsi="Verdana" w:hint="default"/>
      </w:rPr>
    </w:lvl>
    <w:lvl w:ilvl="1" w:tplc="5672E844" w:tentative="1">
      <w:start w:val="1"/>
      <w:numFmt w:val="bullet"/>
      <w:lvlText w:val="o"/>
      <w:lvlJc w:val="left"/>
      <w:pPr>
        <w:tabs>
          <w:tab w:val="num" w:pos="1440"/>
        </w:tabs>
        <w:ind w:left="1440" w:hanging="360"/>
      </w:pPr>
      <w:rPr>
        <w:rFonts w:ascii="Courier New" w:hAnsi="Courier New" w:cs="Courier New" w:hint="default"/>
      </w:rPr>
    </w:lvl>
    <w:lvl w:ilvl="2" w:tplc="1B9EEF64" w:tentative="1">
      <w:start w:val="1"/>
      <w:numFmt w:val="bullet"/>
      <w:lvlText w:val=""/>
      <w:lvlJc w:val="left"/>
      <w:pPr>
        <w:tabs>
          <w:tab w:val="num" w:pos="2160"/>
        </w:tabs>
        <w:ind w:left="2160" w:hanging="360"/>
      </w:pPr>
      <w:rPr>
        <w:rFonts w:ascii="Wingdings" w:hAnsi="Wingdings" w:hint="default"/>
      </w:rPr>
    </w:lvl>
    <w:lvl w:ilvl="3" w:tplc="884A15C4" w:tentative="1">
      <w:start w:val="1"/>
      <w:numFmt w:val="bullet"/>
      <w:lvlText w:val=""/>
      <w:lvlJc w:val="left"/>
      <w:pPr>
        <w:tabs>
          <w:tab w:val="num" w:pos="2880"/>
        </w:tabs>
        <w:ind w:left="2880" w:hanging="360"/>
      </w:pPr>
      <w:rPr>
        <w:rFonts w:ascii="Symbol" w:hAnsi="Symbol" w:hint="default"/>
      </w:rPr>
    </w:lvl>
    <w:lvl w:ilvl="4" w:tplc="67606DC2" w:tentative="1">
      <w:start w:val="1"/>
      <w:numFmt w:val="bullet"/>
      <w:lvlText w:val="o"/>
      <w:lvlJc w:val="left"/>
      <w:pPr>
        <w:tabs>
          <w:tab w:val="num" w:pos="3600"/>
        </w:tabs>
        <w:ind w:left="3600" w:hanging="360"/>
      </w:pPr>
      <w:rPr>
        <w:rFonts w:ascii="Courier New" w:hAnsi="Courier New" w:cs="Courier New" w:hint="default"/>
      </w:rPr>
    </w:lvl>
    <w:lvl w:ilvl="5" w:tplc="4B927CA4" w:tentative="1">
      <w:start w:val="1"/>
      <w:numFmt w:val="bullet"/>
      <w:lvlText w:val=""/>
      <w:lvlJc w:val="left"/>
      <w:pPr>
        <w:tabs>
          <w:tab w:val="num" w:pos="4320"/>
        </w:tabs>
        <w:ind w:left="4320" w:hanging="360"/>
      </w:pPr>
      <w:rPr>
        <w:rFonts w:ascii="Wingdings" w:hAnsi="Wingdings" w:hint="default"/>
      </w:rPr>
    </w:lvl>
    <w:lvl w:ilvl="6" w:tplc="25B6422E" w:tentative="1">
      <w:start w:val="1"/>
      <w:numFmt w:val="bullet"/>
      <w:lvlText w:val=""/>
      <w:lvlJc w:val="left"/>
      <w:pPr>
        <w:tabs>
          <w:tab w:val="num" w:pos="5040"/>
        </w:tabs>
        <w:ind w:left="5040" w:hanging="360"/>
      </w:pPr>
      <w:rPr>
        <w:rFonts w:ascii="Symbol" w:hAnsi="Symbol" w:hint="default"/>
      </w:rPr>
    </w:lvl>
    <w:lvl w:ilvl="7" w:tplc="73366484" w:tentative="1">
      <w:start w:val="1"/>
      <w:numFmt w:val="bullet"/>
      <w:lvlText w:val="o"/>
      <w:lvlJc w:val="left"/>
      <w:pPr>
        <w:tabs>
          <w:tab w:val="num" w:pos="5760"/>
        </w:tabs>
        <w:ind w:left="5760" w:hanging="360"/>
      </w:pPr>
      <w:rPr>
        <w:rFonts w:ascii="Courier New" w:hAnsi="Courier New" w:cs="Courier New" w:hint="default"/>
      </w:rPr>
    </w:lvl>
    <w:lvl w:ilvl="8" w:tplc="9E1AD4D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09310540">
    <w:abstractNumId w:val="11"/>
  </w:num>
  <w:num w:numId="2" w16cid:durableId="2143689916">
    <w:abstractNumId w:val="7"/>
  </w:num>
  <w:num w:numId="3" w16cid:durableId="238255503">
    <w:abstractNumId w:val="6"/>
  </w:num>
  <w:num w:numId="4" w16cid:durableId="629166102">
    <w:abstractNumId w:val="5"/>
  </w:num>
  <w:num w:numId="5" w16cid:durableId="213395324">
    <w:abstractNumId w:val="4"/>
  </w:num>
  <w:num w:numId="6" w16cid:durableId="1509522043">
    <w:abstractNumId w:val="8"/>
  </w:num>
  <w:num w:numId="7" w16cid:durableId="690028714">
    <w:abstractNumId w:val="3"/>
  </w:num>
  <w:num w:numId="8" w16cid:durableId="913244616">
    <w:abstractNumId w:val="2"/>
  </w:num>
  <w:num w:numId="9" w16cid:durableId="300812424">
    <w:abstractNumId w:val="1"/>
  </w:num>
  <w:num w:numId="10" w16cid:durableId="204946896">
    <w:abstractNumId w:val="0"/>
  </w:num>
  <w:num w:numId="11" w16cid:durableId="84308061">
    <w:abstractNumId w:val="9"/>
  </w:num>
  <w:num w:numId="12" w16cid:durableId="1764691635">
    <w:abstractNumId w:val="12"/>
  </w:num>
  <w:num w:numId="13" w16cid:durableId="2034575066">
    <w:abstractNumId w:val="14"/>
  </w:num>
  <w:num w:numId="14" w16cid:durableId="287398641">
    <w:abstractNumId w:val="13"/>
  </w:num>
  <w:num w:numId="15" w16cid:durableId="66178590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2F5"/>
    <w:rsid w:val="001C4D5A"/>
    <w:rsid w:val="001D1272"/>
    <w:rsid w:val="001E34C6"/>
    <w:rsid w:val="001E5581"/>
    <w:rsid w:val="001F0CE2"/>
    <w:rsid w:val="001F3C70"/>
    <w:rsid w:val="00200D88"/>
    <w:rsid w:val="00201F68"/>
    <w:rsid w:val="00212F2A"/>
    <w:rsid w:val="00214F2B"/>
    <w:rsid w:val="00217880"/>
    <w:rsid w:val="00222D66"/>
    <w:rsid w:val="00224A8A"/>
    <w:rsid w:val="002309A8"/>
    <w:rsid w:val="002319A6"/>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A4C"/>
    <w:rsid w:val="0032110F"/>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3659"/>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54223"/>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461DA"/>
    <w:rsid w:val="005565F9"/>
    <w:rsid w:val="00573041"/>
    <w:rsid w:val="00575B80"/>
    <w:rsid w:val="0057620F"/>
    <w:rsid w:val="005771DE"/>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39A5"/>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4AAB"/>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18B8"/>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63FD1"/>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B5608"/>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007F"/>
    <w:rsid w:val="00A715F8"/>
    <w:rsid w:val="00A77F6F"/>
    <w:rsid w:val="00A831FD"/>
    <w:rsid w:val="00A83352"/>
    <w:rsid w:val="00A850A2"/>
    <w:rsid w:val="00A91FA3"/>
    <w:rsid w:val="00A927D3"/>
    <w:rsid w:val="00A959F1"/>
    <w:rsid w:val="00A967C5"/>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05D5"/>
    <w:rsid w:val="00B425F0"/>
    <w:rsid w:val="00B42DFA"/>
    <w:rsid w:val="00B47CB3"/>
    <w:rsid w:val="00B531DD"/>
    <w:rsid w:val="00B55014"/>
    <w:rsid w:val="00B62232"/>
    <w:rsid w:val="00B70BF3"/>
    <w:rsid w:val="00B71DC2"/>
    <w:rsid w:val="00B849F5"/>
    <w:rsid w:val="00B90E6E"/>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35522"/>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B64FB"/>
    <w:rsid w:val="00FC2311"/>
    <w:rsid w:val="00FC3165"/>
    <w:rsid w:val="00FC36AB"/>
    <w:rsid w:val="00FC4300"/>
    <w:rsid w:val="00FC757C"/>
    <w:rsid w:val="00FC7F66"/>
    <w:rsid w:val="00FD5776"/>
    <w:rsid w:val="00FD6FE1"/>
    <w:rsid w:val="00FE1CB6"/>
    <w:rsid w:val="00FE486B"/>
    <w:rsid w:val="00FE4E2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3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8718B8"/>
    <w:pPr>
      <w:spacing w:after="160" w:line="279" w:lineRule="auto"/>
      <w:ind w:left="720"/>
      <w:contextualSpacing/>
    </w:pPr>
    <w:rPr>
      <w:rFonts w:asciiTheme="minorHAnsi" w:eastAsiaTheme="minorHAnsi" w:hAnsiTheme="minorHAnsi" w:cstheme="minorBidi"/>
      <w:sz w:val="24"/>
      <w:lang w:eastAsia="en-US"/>
    </w:rPr>
  </w:style>
  <w:style w:type="character" w:styleId="Voetnootmarkering">
    <w:name w:val="footnote reference"/>
    <w:basedOn w:val="Standaardalinea-lettertype"/>
    <w:uiPriority w:val="99"/>
    <w:semiHidden/>
    <w:unhideWhenUsed/>
    <w:rsid w:val="008718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6/02/04/beantwoording-vragen-over-de-additionele-kosten-voor-tata-steel-aangaande-de-maatwerkaanpak" TargetMode="External"/><Relationship Id="rId13" Type="http://schemas.openxmlformats.org/officeDocument/2006/relationships/hyperlink" Target="https://www.rijksoverheid.nl/documenten/kamerstukken/2025/09/29/joint-letter-of-intent-tata-steel" TargetMode="External"/><Relationship Id="rId3" Type="http://schemas.openxmlformats.org/officeDocument/2006/relationships/hyperlink" Target="https://www.rijksoverheid.nl/documenten/rapporten/2024/02/28/bijlage-2-advies-gezondheid-geborgd-eerste-bevindingen-van-de-expertgroep-gezondheid-ijmond-28-februari-2023-3" TargetMode="External"/><Relationship Id="rId7" Type="http://schemas.openxmlformats.org/officeDocument/2006/relationships/hyperlink" Target="https://www.rijksoverheid.nl/documenten/rapporten/2025/09/29/technical-advisory-report-joint-letter-of-intent-tata-steel-netherlands" TargetMode="External"/><Relationship Id="rId12" Type="http://schemas.openxmlformats.org/officeDocument/2006/relationships/hyperlink" Target="https://www.rijksoverheid.nl/documenten/kamerstukken/2024/12/06/kamerbrief-kabinetsreactie-tweede-advies-expertgroep-gezondheid-ijmond" TargetMode="External"/><Relationship Id="rId2" Type="http://schemas.openxmlformats.org/officeDocument/2006/relationships/hyperlink" Target="https://www.rijksoverheid.nl/documenten/rapporten/2024/03/29/hoe-tata-steel-nederland-te-verduurzamen" TargetMode="External"/><Relationship Id="rId16" Type="http://schemas.openxmlformats.org/officeDocument/2006/relationships/hyperlink" Target="https://www.tweedekamer.nl/kamerstukken/kamervragen/detail?id=2025Z19208&amp;did=2025D50797" TargetMode="External"/><Relationship Id="rId1" Type="http://schemas.openxmlformats.org/officeDocument/2006/relationships/hyperlink" Target="https://www.rivm.nl/publicaties/bijdrage-van-tata-steel-nederland-aan-gezondheidsrisicos-van-omwonenden-en-kwaliteit" TargetMode="External"/><Relationship Id="rId6" Type="http://schemas.openxmlformats.org/officeDocument/2006/relationships/hyperlink" Target="https://www.rijksoverheid.nl/documenten/kamerstukken/2025/09/29/joint-letter-of-intent-tata-steel" TargetMode="External"/><Relationship Id="rId11" Type="http://schemas.openxmlformats.org/officeDocument/2006/relationships/hyperlink" Target="https://zoek.officielebekendmakingen.nl/kst-28089-313.html" TargetMode="External"/><Relationship Id="rId5" Type="http://schemas.openxmlformats.org/officeDocument/2006/relationships/hyperlink" Target="https://zoek.officielebekendmakingen.nl/kst-28089-313.html" TargetMode="External"/><Relationship Id="rId15" Type="http://schemas.openxmlformats.org/officeDocument/2006/relationships/hyperlink" Target="https://odnzkg.nl/nieuws/dwangsommen-voor-overschrijden-milieunormen-tata-steel-en-afronding-onderzoek-kooksgasfabriek/" TargetMode="External"/><Relationship Id="rId10" Type="http://schemas.openxmlformats.org/officeDocument/2006/relationships/hyperlink" Target="https://www.rijksoverheid.nl/documenten/rapporten/2025/09/29/joint-letter-of-intent-tata-steel" TargetMode="External"/><Relationship Id="rId4" Type="http://schemas.openxmlformats.org/officeDocument/2006/relationships/hyperlink" Target="https://www.rijksoverheid.nl/documenten/kamerstukken/2024/04/26/mandaat-onderhandelingen-tata-steel-nederland-defintief-26-april" TargetMode="External"/><Relationship Id="rId9" Type="http://schemas.openxmlformats.org/officeDocument/2006/relationships/hyperlink" Target="https://www.rijksoverheid.nl/documenten/kamerstukken/2026/02/04/beantwoording-vragen-over-de-additionele-kosten-voor-tata-steel-aangaande-de-maatwerkaanpak" TargetMode="External"/><Relationship Id="rId14" Type="http://schemas.openxmlformats.org/officeDocument/2006/relationships/hyperlink" Target="https://zoek.officielebekendmakingen.nl/kst-28089-346.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2151</ap:Words>
  <ap:Characters>11799</ap:Characters>
  <ap:DocSecurity>0</ap:DocSecurity>
  <ap:Lines>98</ap:Lines>
  <ap:Paragraphs>27</ap:Paragraphs>
  <ap:ScaleCrop>false</ap:ScaleCrop>
  <ap:LinksUpToDate>false</ap:LinksUpToDate>
  <ap:CharactersWithSpaces>13923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2026-03-26T14:19:00.0000000Z</dcterms:created>
  <dcterms:modified xsi:type="dcterms:W3CDTF">2026-03-26T14:19:00.0000000Z</dcterms:modified>
  <dc:description>------------------------</dc:description>
  <dc:subject/>
  <keywords/>
  <version/>
  <category/>
</coreProperties>
</file>