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534" w:rsidRDefault="001C1534" w14:paraId="2207AE3D" w14:textId="77777777">
      <w:bookmarkStart w:name="_GoBack" w:id="0"/>
      <w:bookmarkEnd w:id="0"/>
    </w:p>
    <w:p w:rsidR="001C1534" w:rsidRDefault="001C1534" w14:paraId="31C35BDB" w14:textId="77777777"/>
    <w:p w:rsidR="00057E6B" w:rsidRDefault="00ED2D9C" w14:paraId="293A14AE" w14:textId="29FB88FF">
      <w:r>
        <w:t>Geachte voorzitter,</w:t>
      </w:r>
    </w:p>
    <w:p w:rsidR="00ED2D9C" w:rsidRDefault="00ED2D9C" w14:paraId="5C5C06AD" w14:textId="77777777"/>
    <w:p w:rsidR="00057E6B" w:rsidP="00D77524" w:rsidRDefault="00ED2D9C" w14:paraId="34381A59" w14:textId="2344CD7D">
      <w:r>
        <w:t>Op 19 maart 2025 bent u geïnformeerd</w:t>
      </w:r>
      <w:r>
        <w:rPr>
          <w:rStyle w:val="FootnoteReference"/>
        </w:rPr>
        <w:footnoteReference w:id="1"/>
      </w:r>
      <w:r>
        <w:t xml:space="preserve"> over de voortgang van de afhandeling van de motie</w:t>
      </w:r>
      <w:r w:rsidR="00D77524">
        <w:t xml:space="preserve">s </w:t>
      </w:r>
      <w:r w:rsidRPr="005D6C74" w:rsidR="00D77524">
        <w:t xml:space="preserve">Boswijk c.s. </w:t>
      </w:r>
      <w:r w:rsidRPr="00D77524" w:rsidR="00D77524">
        <w:t>Middels deze brief wordt u</w:t>
      </w:r>
      <w:r w:rsidR="00D77524">
        <w:t xml:space="preserve"> </w:t>
      </w:r>
      <w:r w:rsidRPr="00D77524" w:rsidR="00D77524">
        <w:t>geïnformeerd over de wijze waarop uitvoering is gegeven aan deze motie</w:t>
      </w:r>
      <w:r w:rsidR="00D77524">
        <w:t>s</w:t>
      </w:r>
      <w:r w:rsidRPr="00D77524" w:rsidR="00D77524">
        <w:t>. Daarbij wordt opgemerkt dat de betreffende</w:t>
      </w:r>
      <w:r w:rsidR="00D77524">
        <w:t xml:space="preserve"> </w:t>
      </w:r>
      <w:r w:rsidRPr="00D77524" w:rsidR="00D77524">
        <w:t>onderzoeken</w:t>
      </w:r>
      <w:r w:rsidR="00D77524">
        <w:t xml:space="preserve"> en uitkomsten </w:t>
      </w:r>
      <w:r w:rsidRPr="00D77524" w:rsidR="00D77524">
        <w:t>inzicht geven in nationale veiligheidsrisico’s en daarom voor een</w:t>
      </w:r>
      <w:r w:rsidR="00D77524">
        <w:t xml:space="preserve"> </w:t>
      </w:r>
      <w:r w:rsidRPr="00D77524" w:rsidR="00D77524">
        <w:t xml:space="preserve">groot deel niet geschikt zijn voor openbaarmaking. De analyses </w:t>
      </w:r>
      <w:r w:rsidR="00D77524">
        <w:t xml:space="preserve">en de uitkomsten </w:t>
      </w:r>
      <w:r w:rsidRPr="00D77524" w:rsidR="00D77524">
        <w:t>kunnen</w:t>
      </w:r>
      <w:r w:rsidR="00D77524">
        <w:t xml:space="preserve"> </w:t>
      </w:r>
      <w:r w:rsidRPr="00D77524" w:rsidR="00D77524">
        <w:t>in een vertrouwelijke technische briefing nader worden toegelicht.</w:t>
      </w:r>
    </w:p>
    <w:p w:rsidR="00222B9F" w:rsidP="00D77524" w:rsidRDefault="00222B9F" w14:paraId="5BBB6B73" w14:textId="77777777"/>
    <w:p w:rsidRPr="004D2CB0" w:rsidR="00222B9F" w:rsidP="00D77524" w:rsidRDefault="00222B9F" w14:paraId="26085B0E" w14:textId="2D05E19A">
      <w:pPr>
        <w:rPr>
          <w:b/>
          <w:bCs/>
        </w:rPr>
      </w:pPr>
      <w:r w:rsidRPr="004D2CB0">
        <w:rPr>
          <w:b/>
          <w:bCs/>
        </w:rPr>
        <w:t>Proces</w:t>
      </w:r>
    </w:p>
    <w:p w:rsidR="00515F57" w:rsidP="00515F57" w:rsidRDefault="00515F57" w14:paraId="54378D14" w14:textId="743537B3">
      <w:r>
        <w:t>Op 16 april 2024 heeft het lid Boswijk c.s. een motie</w:t>
      </w:r>
      <w:r w:rsidR="00A52A2E">
        <w:rPr>
          <w:rStyle w:val="FootnoteReference"/>
        </w:rPr>
        <w:footnoteReference w:id="2"/>
      </w:r>
      <w:r>
        <w:t xml:space="preserve"> ingediend die de regering verzoekt om een analyse te doen van de risico’s van elektrische auto’s voor de nationale veiligheid en indien zulke risico’s geconstateerd worden opties aan te dragen om deze te mitigeren. Op 21 november 2024</w:t>
      </w:r>
      <w:r w:rsidR="00410B30">
        <w:rPr>
          <w:rStyle w:val="FootnoteReference"/>
        </w:rPr>
        <w:footnoteReference w:id="3"/>
      </w:r>
      <w:r>
        <w:t xml:space="preserve"> en 9 april 2025</w:t>
      </w:r>
      <w:r w:rsidR="00410B30">
        <w:rPr>
          <w:rStyle w:val="FootnoteReference"/>
        </w:rPr>
        <w:footnoteReference w:id="4"/>
      </w:r>
      <w:r>
        <w:t xml:space="preserve"> heeft het lid Boswijk c.s. aanvullende moties ingediend die respectievelijk de regering verzoekt in het onderzoek naar elektrische auto’s ook de economische risico’s van overige mobiliteitsproducten uit China te onderzoeken; en die de regering verzoekt om het vervolgonderzoek naar de vraag welke verstrekkende beveiligingsmaatregelen genomen moeten worden rond bijvoorbeeld vitale infrastructuur met spoed uit te voeren en de Kamer voor de zomer van 2025 over de uitkomsten te informeren.</w:t>
      </w:r>
    </w:p>
    <w:p w:rsidR="00515F57" w:rsidP="00515F57" w:rsidRDefault="00515F57" w14:paraId="498504B4" w14:textId="77777777"/>
    <w:p w:rsidR="001C1534" w:rsidP="00D77524" w:rsidRDefault="006747B7" w14:paraId="652E5B60" w14:textId="77777777">
      <w:r>
        <w:t xml:space="preserve">Zoals reeds aan de Kamer is </w:t>
      </w:r>
      <w:r w:rsidR="002654B9">
        <w:t>gemeld</w:t>
      </w:r>
      <w:r w:rsidR="00325FC2">
        <w:rPr>
          <w:rStyle w:val="FootnoteReference"/>
        </w:rPr>
        <w:footnoteReference w:id="5"/>
      </w:r>
      <w:r w:rsidR="002654B9">
        <w:t xml:space="preserve"> </w:t>
      </w:r>
      <w:r w:rsidR="00515F57">
        <w:t xml:space="preserve">is de uitvoering van de eerste motie opgepakt door het </w:t>
      </w:r>
      <w:r>
        <w:t>uit</w:t>
      </w:r>
      <w:r w:rsidR="00515F57">
        <w:t>voeren van een</w:t>
      </w:r>
      <w:r>
        <w:t xml:space="preserve"> risicoanalyse</w:t>
      </w:r>
      <w:r w:rsidR="00515F57">
        <w:t>. Deze risicoanalyse bestond</w:t>
      </w:r>
      <w:r>
        <w:t xml:space="preserve"> </w:t>
      </w:r>
      <w:r w:rsidR="00222B9F">
        <w:t xml:space="preserve">uit een dreigingsanalyse en een </w:t>
      </w:r>
      <w:r>
        <w:t>impact</w:t>
      </w:r>
      <w:r w:rsidR="00222B9F">
        <w:t>analyse van de risico’s van slimme (elektrische) voertuigen voor de nationale veiligheid.</w:t>
      </w:r>
      <w:r w:rsidR="00DF4A53">
        <w:t xml:space="preserve"> Hier zijn verschillende </w:t>
      </w:r>
      <w:r w:rsidR="00DF4A53">
        <w:lastRenderedPageBreak/>
        <w:t xml:space="preserve">scenario’s </w:t>
      </w:r>
      <w:r>
        <w:t>voor</w:t>
      </w:r>
      <w:r w:rsidRPr="00FE0D2F">
        <w:t xml:space="preserve"> opgesteld waarin </w:t>
      </w:r>
      <w:r>
        <w:t xml:space="preserve">een slim (elektrisch) voertuig </w:t>
      </w:r>
      <w:r w:rsidRPr="00FE0D2F">
        <w:t xml:space="preserve">de nationale veiligheid zou kunnen </w:t>
      </w:r>
      <w:r>
        <w:t>schaden</w:t>
      </w:r>
      <w:r w:rsidR="00DF4A53">
        <w:t>.</w:t>
      </w:r>
      <w:r>
        <w:t xml:space="preserve"> Uit deze risicoanalyse was op te maken dat er een </w:t>
      </w:r>
    </w:p>
    <w:p w:rsidR="001C1534" w:rsidP="00D77524" w:rsidRDefault="001C1534" w14:paraId="13A56250" w14:textId="77777777"/>
    <w:p w:rsidR="001C1534" w:rsidP="00D77524" w:rsidRDefault="001C1534" w14:paraId="42113A6F" w14:textId="77777777"/>
    <w:p w:rsidR="00222B9F" w:rsidP="00D77524" w:rsidRDefault="006747B7" w14:paraId="0C0A39DC" w14:textId="4AB94ECF">
      <w:r>
        <w:t>bepaalde mate van risico’s bestaa</w:t>
      </w:r>
      <w:r w:rsidR="002654B9">
        <w:t>t</w:t>
      </w:r>
      <w:r>
        <w:t xml:space="preserve"> op het gebied van spionage en sabotage.</w:t>
      </w:r>
      <w:r w:rsidR="004D2CB0">
        <w:t xml:space="preserve"> </w:t>
      </w:r>
      <w:r w:rsidR="001E415D">
        <w:t>D</w:t>
      </w:r>
      <w:r w:rsidR="004D2CB0">
        <w:t>e Taskforce Economische Veiligheid (TFEV)</w:t>
      </w:r>
      <w:r w:rsidR="001E415D">
        <w:t xml:space="preserve"> heeft naar aanleiding van deze analyses</w:t>
      </w:r>
      <w:r w:rsidR="004D2CB0">
        <w:t xml:space="preserve"> </w:t>
      </w:r>
      <w:r>
        <w:t xml:space="preserve">en conform de </w:t>
      </w:r>
      <w:r w:rsidR="00515F57">
        <w:t xml:space="preserve">aanvullende </w:t>
      </w:r>
      <w:r>
        <w:t xml:space="preserve">moties </w:t>
      </w:r>
      <w:r w:rsidR="004D2CB0">
        <w:t>de opdracht gegeven om vervolgonderzoek te doen</w:t>
      </w:r>
      <w:r w:rsidR="002654B9">
        <w:t>.</w:t>
      </w:r>
      <w:r w:rsidR="00515F57">
        <w:t xml:space="preserve"> Voor de uitvoering van de eerste aanvullende motie zijn bussen en vrachtwagens meegenomen. Voor de uitvoering van de tweede aanvullende motie is in een appreciatie</w:t>
      </w:r>
      <w:r w:rsidR="0050041D">
        <w:rPr>
          <w:rStyle w:val="FootnoteReference"/>
        </w:rPr>
        <w:footnoteReference w:id="6"/>
      </w:r>
      <w:r w:rsidR="00515F57">
        <w:t xml:space="preserve"> aangegeven dat </w:t>
      </w:r>
      <w:r w:rsidR="00F43A4A">
        <w:t>he</w:t>
      </w:r>
      <w:r w:rsidR="00515F57">
        <w:t>t niet haalbaar was om dit</w:t>
      </w:r>
      <w:r w:rsidR="00F43A4A">
        <w:t xml:space="preserve"> onderzoek</w:t>
      </w:r>
      <w:r w:rsidR="00515F57">
        <w:t xml:space="preserve"> voor de zomer van 2025 uit te voeren vanwege de complexiteit van het vraagstuk, maar dat de gevraagde maatregelen wel onderdeel zijn van het vervolgonderzoek.</w:t>
      </w:r>
      <w:r w:rsidR="002654B9">
        <w:t xml:space="preserve"> Dit vervolgonderzoek heeft</w:t>
      </w:r>
      <w:r w:rsidR="004D2CB0">
        <w:t xml:space="preserve"> </w:t>
      </w:r>
      <w:r w:rsidR="001E415D">
        <w:t xml:space="preserve">naar </w:t>
      </w:r>
      <w:r w:rsidRPr="005D6C74" w:rsidR="004D2CB0">
        <w:t>de</w:t>
      </w:r>
      <w:r w:rsidR="001E415D">
        <w:t xml:space="preserve"> technische haalbaarheid van de</w:t>
      </w:r>
      <w:r w:rsidRPr="005D6C74" w:rsidR="004D2CB0">
        <w:t xml:space="preserve"> </w:t>
      </w:r>
      <w:r w:rsidR="00DF4A53">
        <w:t>scenario</w:t>
      </w:r>
      <w:r w:rsidR="002654B9">
        <w:t>’</w:t>
      </w:r>
      <w:r w:rsidR="00DF4A53">
        <w:t xml:space="preserve">s </w:t>
      </w:r>
      <w:r w:rsidR="002654B9">
        <w:t xml:space="preserve">gekeken en naar </w:t>
      </w:r>
      <w:r>
        <w:t xml:space="preserve">de </w:t>
      </w:r>
      <w:r w:rsidR="001E415D">
        <w:t xml:space="preserve">mogelijke </w:t>
      </w:r>
      <w:r w:rsidR="00DF4A53">
        <w:t xml:space="preserve">te nemen </w:t>
      </w:r>
      <w:r w:rsidRPr="005D6C74" w:rsidR="004D2CB0">
        <w:t>maatregele</w:t>
      </w:r>
      <w:r w:rsidR="004D2CB0">
        <w:t>n</w:t>
      </w:r>
      <w:r>
        <w:t xml:space="preserve"> om o.a. </w:t>
      </w:r>
      <w:r w:rsidR="00325FC2">
        <w:t xml:space="preserve">kritieke </w:t>
      </w:r>
      <w:r>
        <w:t>infrastructuur te beschermen tegen de gevonden risico’s</w:t>
      </w:r>
      <w:r w:rsidR="004D2CB0">
        <w:t xml:space="preserve">. </w:t>
      </w:r>
      <w:r w:rsidR="00B06E90">
        <w:t>Dit onderzoek is uitgevoerd door TNO.</w:t>
      </w:r>
    </w:p>
    <w:p w:rsidR="004D2CB0" w:rsidP="00D77524" w:rsidRDefault="004D2CB0" w14:paraId="3488ABBC" w14:textId="77777777"/>
    <w:p w:rsidR="004D2CB0" w:rsidP="00D77524" w:rsidRDefault="00D45FE1" w14:paraId="1B08AA6D" w14:textId="3987553B">
      <w:r>
        <w:t xml:space="preserve">Net als bij de uitvoering van de </w:t>
      </w:r>
      <w:r w:rsidR="00E45DBE">
        <w:t>eerder</w:t>
      </w:r>
      <w:r w:rsidR="002654B9">
        <w:t>e</w:t>
      </w:r>
      <w:r w:rsidR="00E45DBE">
        <w:t xml:space="preserve"> </w:t>
      </w:r>
      <w:r>
        <w:t xml:space="preserve">risicoanalyse zijn </w:t>
      </w:r>
      <w:r w:rsidR="00E45DBE">
        <w:t xml:space="preserve">voor het vervolgonderzoek </w:t>
      </w:r>
      <w:r>
        <w:t>de</w:t>
      </w:r>
      <w:r w:rsidR="00E45DBE">
        <w:t xml:space="preserve"> volgende</w:t>
      </w:r>
      <w:r>
        <w:t xml:space="preserve"> </w:t>
      </w:r>
      <w:r w:rsidRPr="004D2CB0" w:rsidR="004D2CB0">
        <w:t xml:space="preserve">partijen </w:t>
      </w:r>
      <w:r w:rsidR="00E45DBE">
        <w:t xml:space="preserve">betrokken geweest: </w:t>
      </w:r>
      <w:r w:rsidRPr="004D2CB0" w:rsidR="004D2CB0">
        <w:t>de Ministeries van</w:t>
      </w:r>
      <w:r w:rsidR="004D2CB0">
        <w:t xml:space="preserve"> </w:t>
      </w:r>
      <w:r w:rsidRPr="004D2CB0" w:rsidR="004D2CB0">
        <w:t>Infrastructuur en Waterstaat, Defensie, Economische Zaken</w:t>
      </w:r>
      <w:r w:rsidR="004D2CB0">
        <w:t xml:space="preserve"> en Klimaat</w:t>
      </w:r>
      <w:r w:rsidRPr="004D2CB0" w:rsidR="004D2CB0">
        <w:t>, Buitenlandse</w:t>
      </w:r>
      <w:r w:rsidR="004D2CB0">
        <w:t xml:space="preserve"> </w:t>
      </w:r>
      <w:r w:rsidRPr="004D2CB0" w:rsidR="004D2CB0">
        <w:t xml:space="preserve">Zaken, Financiën, Justitie en Veiligheid, NCSC, alsmede voertuigenautoriteit RDW, de Algemene Inlichtingen- en Veiligheidsdienst (AIVD), </w:t>
      </w:r>
      <w:r>
        <w:t xml:space="preserve">de Rijksinspectie Digitale Infrastructuur (RDI) </w:t>
      </w:r>
      <w:r w:rsidRPr="004D2CB0" w:rsidR="004D2CB0">
        <w:t>en de</w:t>
      </w:r>
      <w:r w:rsidR="004D2CB0">
        <w:t xml:space="preserve"> </w:t>
      </w:r>
      <w:r w:rsidRPr="004D2CB0" w:rsidR="004D2CB0">
        <w:t xml:space="preserve">Autoriteit Persoonsgegevens (AP). </w:t>
      </w:r>
    </w:p>
    <w:p w:rsidR="00515F57" w:rsidP="00D77524" w:rsidRDefault="00515F57" w14:paraId="273C5775" w14:textId="77777777"/>
    <w:p w:rsidR="004D2CB0" w:rsidP="00D77524" w:rsidRDefault="004D2CB0" w14:paraId="38C8AF02" w14:textId="6BA42F40">
      <w:pPr>
        <w:rPr>
          <w:b/>
          <w:bCs/>
        </w:rPr>
      </w:pPr>
      <w:r w:rsidRPr="004D2CB0">
        <w:rPr>
          <w:b/>
          <w:bCs/>
        </w:rPr>
        <w:t>Uitkomsten</w:t>
      </w:r>
    </w:p>
    <w:p w:rsidR="00C9449C" w:rsidP="00D77524" w:rsidRDefault="004D2CB0" w14:paraId="0C35E7FF" w14:textId="77777777">
      <w:r>
        <w:t>Uit de risicoanalyse is eerder al gebleken dat er risico’s bestaan rondom spionage en sabotage in relatie tot slimme (elektrische) voertuigen.</w:t>
      </w:r>
      <w:r w:rsidR="001E415D">
        <w:t xml:space="preserve"> Het vervolgonderzoek</w:t>
      </w:r>
      <w:r w:rsidR="00314DBA">
        <w:t xml:space="preserve"> </w:t>
      </w:r>
      <w:r w:rsidR="00B06E90">
        <w:t xml:space="preserve">van TNO </w:t>
      </w:r>
      <w:r w:rsidR="001E415D">
        <w:t>bestendigt deze uitkomsten</w:t>
      </w:r>
      <w:r w:rsidR="00314DBA">
        <w:t xml:space="preserve">. Het vervolgonderzoek bevat net als de risicoanalyse veel informatie over nationale veiligheidsrisico’s en </w:t>
      </w:r>
      <w:r w:rsidR="00C9449C">
        <w:t>is</w:t>
      </w:r>
      <w:r w:rsidR="00314DBA">
        <w:t xml:space="preserve"> daarom voor een groot deel niet geschikt voor openbaarmaking. </w:t>
      </w:r>
    </w:p>
    <w:p w:rsidR="00C9449C" w:rsidP="00D77524" w:rsidRDefault="00C9449C" w14:paraId="4626AB56" w14:textId="77777777"/>
    <w:p w:rsidR="00D0369F" w:rsidP="00D77524" w:rsidRDefault="00C9449C" w14:paraId="0C993E17" w14:textId="2753A34C">
      <w:r>
        <w:t xml:space="preserve">Een van de conclusies uit het </w:t>
      </w:r>
      <w:r w:rsidR="00314DBA">
        <w:t>vervolgonderzoek</w:t>
      </w:r>
      <w:r w:rsidR="00B06E90">
        <w:t xml:space="preserve"> </w:t>
      </w:r>
      <w:r>
        <w:t xml:space="preserve">is </w:t>
      </w:r>
      <w:r w:rsidR="00B06E90">
        <w:t>dat</w:t>
      </w:r>
      <w:r w:rsidR="001F5A0B">
        <w:t xml:space="preserve"> het huidige </w:t>
      </w:r>
      <w:r w:rsidR="00BE2710">
        <w:t xml:space="preserve">Europese </w:t>
      </w:r>
      <w:r w:rsidR="001F5A0B">
        <w:t xml:space="preserve">stelsel </w:t>
      </w:r>
      <w:r w:rsidR="00BE2710">
        <w:t>van voertuig</w:t>
      </w:r>
      <w:r w:rsidR="001F5A0B">
        <w:t>toelating risico</w:t>
      </w:r>
      <w:r w:rsidR="00D0369F">
        <w:t>’</w:t>
      </w:r>
      <w:r w:rsidR="001F5A0B">
        <w:t>s kent</w:t>
      </w:r>
      <w:r w:rsidRPr="00BE2710" w:rsidR="00BE2710">
        <w:t xml:space="preserve"> </w:t>
      </w:r>
      <w:r w:rsidR="00BE2710">
        <w:t>ten aanzien van de cybersecurity</w:t>
      </w:r>
      <w:r w:rsidR="00D0369F">
        <w:t>.</w:t>
      </w:r>
      <w:r w:rsidR="001F5A0B">
        <w:t xml:space="preserve"> </w:t>
      </w:r>
      <w:r w:rsidR="00D0369F">
        <w:t xml:space="preserve">Om </w:t>
      </w:r>
      <w:r w:rsidR="00D86CB3">
        <w:t xml:space="preserve">sommige van </w:t>
      </w:r>
      <w:r w:rsidR="00D0369F">
        <w:t>deze gevonden cyberrisico’s van slimme voertuigen te mitigeren</w:t>
      </w:r>
      <w:r w:rsidR="00A62B01">
        <w:t>,</w:t>
      </w:r>
      <w:r w:rsidR="00D0369F">
        <w:t xml:space="preserve"> zal ik </w:t>
      </w:r>
      <w:r w:rsidR="00A62B01">
        <w:t xml:space="preserve">samen met relevante partnerorganisaties </w:t>
      </w:r>
      <w:r w:rsidR="00D0369F">
        <w:t>onderzoeken in hoeverre veranderingen in het Europese stelsel van goedkeuring van voertuigen de cybersecurity van voertuigen kan verbeteren en m</w:t>
      </w:r>
      <w:r w:rsidR="00A62B01">
        <w:t>ij</w:t>
      </w:r>
      <w:r w:rsidR="00D0369F">
        <w:t xml:space="preserve"> daar in Europees verband voor inzetten.</w:t>
      </w:r>
    </w:p>
    <w:p w:rsidR="00D86CB3" w:rsidP="00D77524" w:rsidRDefault="00D86CB3" w14:paraId="7F355161" w14:textId="77777777"/>
    <w:p w:rsidR="001C1534" w:rsidP="00D77524" w:rsidRDefault="000027CC" w14:paraId="7034346D" w14:textId="77777777">
      <w:r>
        <w:t xml:space="preserve">Enkele ander door TNO geïdentificeerde risico’s </w:t>
      </w:r>
      <w:r w:rsidR="00D86CB3">
        <w:t xml:space="preserve">vragen om maatregelen in het kader van de nationale veiligheid. </w:t>
      </w:r>
      <w:r w:rsidRPr="003427B4" w:rsidR="003427B4">
        <w:t>Het Ministerie van Infrastructuur en Waterstaat zal</w:t>
      </w:r>
      <w:r w:rsidR="004A7F93">
        <w:t xml:space="preserve"> </w:t>
      </w:r>
      <w:r w:rsidRPr="003427B4" w:rsidR="003427B4">
        <w:t xml:space="preserve">de gevonden risico’s delen binnen haar vitale sectoren en de partijen verzoeken om passende en evenredige maatregelen te nemen om hun vitale infrastructuur te beschermen. </w:t>
      </w:r>
      <w:r w:rsidR="004A7F93">
        <w:t xml:space="preserve">Hierbij zoek ik afstemming met de </w:t>
      </w:r>
      <w:r w:rsidRPr="003427B4" w:rsidR="003427B4">
        <w:t>overige leden van het kabinet</w:t>
      </w:r>
      <w:r w:rsidR="003E540D">
        <w:t xml:space="preserve">, zodat ook in de andere vitale sectoren de partijen verzocht kunnen worden om </w:t>
      </w:r>
      <w:r w:rsidRPr="003427B4" w:rsidR="003E540D">
        <w:t>passende en evenredige maatregelen te nemen om hun vitale infrastructuur te beschermen</w:t>
      </w:r>
      <w:r w:rsidRPr="003427B4" w:rsidR="003427B4">
        <w:t>.</w:t>
      </w:r>
      <w:r w:rsidR="00812024">
        <w:t xml:space="preserve"> </w:t>
      </w:r>
    </w:p>
    <w:p w:rsidR="001C1534" w:rsidRDefault="001C1534" w14:paraId="3EA1617E" w14:textId="77777777">
      <w:pPr>
        <w:spacing w:line="240" w:lineRule="auto"/>
      </w:pPr>
      <w:r>
        <w:br w:type="page"/>
      </w:r>
    </w:p>
    <w:p w:rsidR="004D2CB0" w:rsidP="00D77524" w:rsidRDefault="00D86CB3" w14:paraId="4F7C4C29" w14:textId="1DCC3887">
      <w:r>
        <w:t xml:space="preserve">Hieronder vallen ook maatregelen die het mogelijk maken om </w:t>
      </w:r>
      <w:r w:rsidR="00BE2710">
        <w:t xml:space="preserve">deze </w:t>
      </w:r>
      <w:r>
        <w:t xml:space="preserve">voertuigen van defensieterreinen te weren wanneer het dreigingsniveau daarom vraagt, zoals u </w:t>
      </w:r>
      <w:r w:rsidR="00BB7424">
        <w:t xml:space="preserve">hier </w:t>
      </w:r>
      <w:r>
        <w:t xml:space="preserve">eerder </w:t>
      </w:r>
      <w:r w:rsidR="00BB7424">
        <w:t xml:space="preserve">over </w:t>
      </w:r>
      <w:r>
        <w:t>bent geïnformeerd</w:t>
      </w:r>
      <w:r w:rsidR="00C9449C">
        <w:rPr>
          <w:rStyle w:val="FootnoteReference"/>
        </w:rPr>
        <w:footnoteReference w:id="7"/>
      </w:r>
      <w:r>
        <w:t>.</w:t>
      </w:r>
    </w:p>
    <w:p w:rsidR="00BE2710" w:rsidP="00D77524" w:rsidRDefault="00BE2710" w14:paraId="749E9262" w14:textId="77777777"/>
    <w:p w:rsidR="001C1534" w:rsidP="001C1534" w:rsidRDefault="001C1534" w14:paraId="0D5B4D32" w14:textId="77777777">
      <w:pPr>
        <w:spacing w:line="240" w:lineRule="auto"/>
      </w:pPr>
    </w:p>
    <w:p w:rsidRPr="001C1534" w:rsidR="001C1534" w:rsidP="001C1534" w:rsidRDefault="001C1534" w14:paraId="4BA80074" w14:textId="77777777"/>
    <w:p w:rsidR="00057E6B" w:rsidP="001C1534" w:rsidRDefault="00BA71D1" w14:paraId="67579894" w14:textId="229406CC">
      <w:pPr>
        <w:tabs>
          <w:tab w:val="left" w:pos="3090"/>
        </w:tabs>
        <w:spacing w:line="240" w:lineRule="auto"/>
      </w:pPr>
      <w:r>
        <w:t>Hoogachtend,</w:t>
      </w:r>
    </w:p>
    <w:p w:rsidR="00057E6B" w:rsidRDefault="00BA71D1" w14:paraId="26855436" w14:textId="77777777">
      <w:pPr>
        <w:pStyle w:val="OndertekeningArea1"/>
      </w:pPr>
      <w:r>
        <w:t>DE MINISTER VAN INFRASTRUCTUUR EN WATERSTAAT,</w:t>
      </w:r>
    </w:p>
    <w:p w:rsidR="00057E6B" w:rsidRDefault="00057E6B" w14:paraId="175BF3B8" w14:textId="77777777"/>
    <w:p w:rsidR="005B51FD" w:rsidRDefault="005B51FD" w14:paraId="48F0EAD2" w14:textId="77777777"/>
    <w:p w:rsidR="005B51FD" w:rsidRDefault="005B51FD" w14:paraId="43E882B0" w14:textId="77777777"/>
    <w:p w:rsidR="008942D1" w:rsidRDefault="008942D1" w14:paraId="469BB1B5" w14:textId="77777777"/>
    <w:p w:rsidR="00057E6B" w:rsidRDefault="00BA71D1" w14:paraId="3DA18AEC" w14:textId="77777777">
      <w:r>
        <w:t>Vincent Karremans</w:t>
      </w:r>
    </w:p>
    <w:sectPr w:rsidR="00057E6B">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F90FB" w14:textId="77777777" w:rsidR="00CA02BB" w:rsidRDefault="00CA02BB">
      <w:pPr>
        <w:spacing w:line="240" w:lineRule="auto"/>
      </w:pPr>
      <w:r>
        <w:separator/>
      </w:r>
    </w:p>
  </w:endnote>
  <w:endnote w:type="continuationSeparator" w:id="0">
    <w:p w14:paraId="60AE2B25" w14:textId="77777777" w:rsidR="00CA02BB" w:rsidRDefault="00CA0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049EF" w14:textId="77777777" w:rsidR="001C1534" w:rsidRDefault="001C1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95B61" w14:textId="77777777" w:rsidR="001C1534" w:rsidRDefault="001C1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6E0DF" w14:textId="77777777" w:rsidR="001C1534" w:rsidRDefault="001C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F1CE2" w14:textId="77777777" w:rsidR="00CA02BB" w:rsidRDefault="00CA02BB">
      <w:pPr>
        <w:spacing w:line="240" w:lineRule="auto"/>
      </w:pPr>
      <w:r>
        <w:separator/>
      </w:r>
    </w:p>
  </w:footnote>
  <w:footnote w:type="continuationSeparator" w:id="0">
    <w:p w14:paraId="3DB0962B" w14:textId="77777777" w:rsidR="00CA02BB" w:rsidRDefault="00CA02BB">
      <w:pPr>
        <w:spacing w:line="240" w:lineRule="auto"/>
      </w:pPr>
      <w:r>
        <w:continuationSeparator/>
      </w:r>
    </w:p>
  </w:footnote>
  <w:footnote w:id="1">
    <w:p w14:paraId="7A65833B" w14:textId="6C36BD2C" w:rsidR="00ED2D9C" w:rsidRDefault="00ED2D9C">
      <w:pPr>
        <w:pStyle w:val="FootnoteText"/>
      </w:pPr>
      <w:r w:rsidRPr="00472140">
        <w:rPr>
          <w:rStyle w:val="FootnoteReference"/>
          <w:sz w:val="16"/>
          <w:szCs w:val="16"/>
        </w:rPr>
        <w:footnoteRef/>
      </w:r>
      <w:r w:rsidRPr="00472140">
        <w:rPr>
          <w:sz w:val="16"/>
          <w:szCs w:val="16"/>
        </w:rPr>
        <w:t xml:space="preserve"> </w:t>
      </w:r>
      <w:r w:rsidRPr="00410AFA">
        <w:rPr>
          <w:sz w:val="16"/>
          <w:szCs w:val="16"/>
        </w:rPr>
        <w:t>Kamerstuk 21 501-20</w:t>
      </w:r>
      <w:r w:rsidR="00BE2710">
        <w:rPr>
          <w:sz w:val="16"/>
          <w:szCs w:val="16"/>
        </w:rPr>
        <w:t>,</w:t>
      </w:r>
      <w:r w:rsidRPr="00410AFA">
        <w:rPr>
          <w:sz w:val="16"/>
          <w:szCs w:val="16"/>
        </w:rPr>
        <w:t xml:space="preserve"> </w:t>
      </w:r>
      <w:r w:rsidR="00F43A4A">
        <w:rPr>
          <w:sz w:val="16"/>
          <w:szCs w:val="16"/>
        </w:rPr>
        <w:t>n</w:t>
      </w:r>
      <w:r w:rsidRPr="00410AFA">
        <w:rPr>
          <w:sz w:val="16"/>
          <w:szCs w:val="16"/>
        </w:rPr>
        <w:t>r. 2243</w:t>
      </w:r>
    </w:p>
  </w:footnote>
  <w:footnote w:id="2">
    <w:p w14:paraId="784F05B1" w14:textId="0240B20C" w:rsidR="00A52A2E" w:rsidRPr="00410B30" w:rsidRDefault="00A52A2E">
      <w:pPr>
        <w:pStyle w:val="FootnoteText"/>
        <w:rPr>
          <w:sz w:val="16"/>
          <w:szCs w:val="16"/>
        </w:rPr>
      </w:pPr>
      <w:r w:rsidRPr="00410B30">
        <w:rPr>
          <w:rStyle w:val="FootnoteReference"/>
          <w:sz w:val="16"/>
          <w:szCs w:val="16"/>
        </w:rPr>
        <w:footnoteRef/>
      </w:r>
      <w:r w:rsidRPr="00410B30">
        <w:rPr>
          <w:sz w:val="16"/>
          <w:szCs w:val="16"/>
        </w:rPr>
        <w:t xml:space="preserve"> Kamerstuk 21 501-20, nr. 2068</w:t>
      </w:r>
    </w:p>
  </w:footnote>
  <w:footnote w:id="3">
    <w:p w14:paraId="13B80386" w14:textId="2CC9BD28" w:rsidR="00410B30" w:rsidRDefault="00410B30">
      <w:pPr>
        <w:pStyle w:val="FootnoteText"/>
      </w:pPr>
      <w:r w:rsidRPr="00912C78">
        <w:rPr>
          <w:rStyle w:val="FootnoteReference"/>
          <w:sz w:val="16"/>
          <w:szCs w:val="16"/>
        </w:rPr>
        <w:footnoteRef/>
      </w:r>
      <w:r w:rsidRPr="00912C78">
        <w:rPr>
          <w:sz w:val="16"/>
          <w:szCs w:val="16"/>
        </w:rPr>
        <w:t xml:space="preserve"> Kamerstuk 36 600</w:t>
      </w:r>
      <w:r>
        <w:rPr>
          <w:sz w:val="16"/>
          <w:szCs w:val="16"/>
        </w:rPr>
        <w:t xml:space="preserve"> V</w:t>
      </w:r>
      <w:r w:rsidRPr="00912C78">
        <w:rPr>
          <w:sz w:val="16"/>
          <w:szCs w:val="16"/>
        </w:rPr>
        <w:t>, nr. 31</w:t>
      </w:r>
    </w:p>
  </w:footnote>
  <w:footnote w:id="4">
    <w:p w14:paraId="38A6B8E0" w14:textId="76FAC047" w:rsidR="00410B30" w:rsidRDefault="00410B30">
      <w:pPr>
        <w:pStyle w:val="FootnoteText"/>
      </w:pPr>
      <w:r w:rsidRPr="00912C78">
        <w:rPr>
          <w:rStyle w:val="FootnoteReference"/>
          <w:sz w:val="16"/>
          <w:szCs w:val="16"/>
        </w:rPr>
        <w:footnoteRef/>
      </w:r>
      <w:r w:rsidRPr="00912C78">
        <w:rPr>
          <w:sz w:val="16"/>
          <w:szCs w:val="16"/>
        </w:rPr>
        <w:t xml:space="preserve"> Kamerstuk 35 207, nr. 95</w:t>
      </w:r>
    </w:p>
  </w:footnote>
  <w:footnote w:id="5">
    <w:p w14:paraId="3D10FE81" w14:textId="0B0441F1" w:rsidR="00325FC2" w:rsidRDefault="00325FC2" w:rsidP="00325FC2">
      <w:pPr>
        <w:pStyle w:val="FootnoteText"/>
      </w:pPr>
      <w:r w:rsidRPr="00472140">
        <w:rPr>
          <w:rStyle w:val="FootnoteReference"/>
          <w:sz w:val="16"/>
          <w:szCs w:val="16"/>
        </w:rPr>
        <w:footnoteRef/>
      </w:r>
      <w:r>
        <w:t xml:space="preserve"> </w:t>
      </w:r>
      <w:r w:rsidRPr="00410AFA">
        <w:rPr>
          <w:sz w:val="16"/>
          <w:szCs w:val="16"/>
        </w:rPr>
        <w:t>Kamerstuk 21 501-20</w:t>
      </w:r>
      <w:r w:rsidR="00BE2710">
        <w:rPr>
          <w:sz w:val="16"/>
          <w:szCs w:val="16"/>
        </w:rPr>
        <w:t>,</w:t>
      </w:r>
      <w:r w:rsidRPr="00410AFA">
        <w:rPr>
          <w:sz w:val="16"/>
          <w:szCs w:val="16"/>
        </w:rPr>
        <w:t xml:space="preserve"> </w:t>
      </w:r>
      <w:r w:rsidR="00F43A4A">
        <w:rPr>
          <w:sz w:val="16"/>
          <w:szCs w:val="16"/>
        </w:rPr>
        <w:t>n</w:t>
      </w:r>
      <w:r w:rsidRPr="00410AFA">
        <w:rPr>
          <w:sz w:val="16"/>
          <w:szCs w:val="16"/>
        </w:rPr>
        <w:t>r. 2243</w:t>
      </w:r>
    </w:p>
    <w:p w14:paraId="23851FE9" w14:textId="50007B72" w:rsidR="00325FC2" w:rsidRDefault="00325FC2">
      <w:pPr>
        <w:pStyle w:val="FootnoteText"/>
      </w:pPr>
    </w:p>
  </w:footnote>
  <w:footnote w:id="6">
    <w:p w14:paraId="5BD731FE" w14:textId="70DEC269" w:rsidR="0050041D" w:rsidRPr="003D7BA3" w:rsidRDefault="0050041D">
      <w:pPr>
        <w:pStyle w:val="FootnoteText"/>
        <w:rPr>
          <w:sz w:val="16"/>
          <w:szCs w:val="16"/>
        </w:rPr>
      </w:pPr>
      <w:r w:rsidRPr="003D7BA3">
        <w:rPr>
          <w:rStyle w:val="FootnoteReference"/>
          <w:sz w:val="16"/>
          <w:szCs w:val="16"/>
        </w:rPr>
        <w:footnoteRef/>
      </w:r>
      <w:r w:rsidRPr="003D7BA3">
        <w:rPr>
          <w:sz w:val="16"/>
          <w:szCs w:val="16"/>
        </w:rPr>
        <w:t xml:space="preserve"> Kamerstuk 35207, nr. 97</w:t>
      </w:r>
    </w:p>
  </w:footnote>
  <w:footnote w:id="7">
    <w:p w14:paraId="44F9FF9E" w14:textId="00159981" w:rsidR="00C9449C" w:rsidRDefault="00C9449C">
      <w:pPr>
        <w:pStyle w:val="FootnoteText"/>
      </w:pPr>
      <w:r w:rsidRPr="003D7BA3">
        <w:rPr>
          <w:rStyle w:val="FootnoteReference"/>
          <w:sz w:val="16"/>
          <w:szCs w:val="16"/>
        </w:rPr>
        <w:footnoteRef/>
      </w:r>
      <w:r w:rsidRPr="003D7BA3">
        <w:rPr>
          <w:sz w:val="16"/>
          <w:szCs w:val="16"/>
        </w:rPr>
        <w:t xml:space="preserve"> </w:t>
      </w:r>
      <w:r w:rsidR="003D7BA3" w:rsidRPr="003D7BA3">
        <w:rPr>
          <w:sz w:val="16"/>
          <w:szCs w:val="16"/>
        </w:rPr>
        <w:t>Kamerstuk</w:t>
      </w:r>
      <w:r w:rsidR="003D7BA3" w:rsidRPr="00410AFA">
        <w:rPr>
          <w:sz w:val="16"/>
          <w:szCs w:val="16"/>
        </w:rPr>
        <w:t xml:space="preserve"> 21 501-20</w:t>
      </w:r>
      <w:r w:rsidR="003D7BA3">
        <w:rPr>
          <w:sz w:val="16"/>
          <w:szCs w:val="16"/>
        </w:rPr>
        <w:t>,</w:t>
      </w:r>
      <w:r w:rsidR="003D7BA3" w:rsidRPr="00410AFA">
        <w:rPr>
          <w:sz w:val="16"/>
          <w:szCs w:val="16"/>
        </w:rPr>
        <w:t xml:space="preserve"> </w:t>
      </w:r>
      <w:r w:rsidR="003D7BA3">
        <w:rPr>
          <w:sz w:val="16"/>
          <w:szCs w:val="16"/>
        </w:rPr>
        <w:t>n</w:t>
      </w:r>
      <w:r w:rsidR="003D7BA3" w:rsidRPr="00410AFA">
        <w:rPr>
          <w:sz w:val="16"/>
          <w:szCs w:val="16"/>
        </w:rPr>
        <w:t>r. 2243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596D7" w14:textId="77777777" w:rsidR="001C1534" w:rsidRDefault="001C1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A432" w14:textId="77777777" w:rsidR="00057E6B" w:rsidRDefault="00BA71D1">
    <w:r>
      <w:rPr>
        <w:noProof/>
        <w:lang w:val="en-GB" w:eastAsia="en-GB"/>
      </w:rPr>
      <mc:AlternateContent>
        <mc:Choice Requires="wps">
          <w:drawing>
            <wp:anchor distT="0" distB="0" distL="0" distR="0" simplePos="0" relativeHeight="251651584" behindDoc="0" locked="1" layoutInCell="1" allowOverlap="1" wp14:anchorId="0FD10D70" wp14:editId="61FD35FC">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95A3545" w14:textId="77777777" w:rsidR="00057E6B" w:rsidRDefault="00BA71D1">
                          <w:pPr>
                            <w:pStyle w:val="AfzendgegevensKop0"/>
                          </w:pPr>
                          <w:r>
                            <w:t>Ministerie van Infrastructuur en Waterstaat</w:t>
                          </w:r>
                        </w:p>
                        <w:p w14:paraId="0C5F53CC" w14:textId="77777777" w:rsidR="001C1534" w:rsidRDefault="001C1534" w:rsidP="001C1534"/>
                        <w:p w14:paraId="0396821D" w14:textId="77777777" w:rsidR="001C1534" w:rsidRPr="006779E7" w:rsidRDefault="001C1534" w:rsidP="001C1534">
                          <w:pPr>
                            <w:spacing w:line="276" w:lineRule="auto"/>
                            <w:rPr>
                              <w:b/>
                              <w:bCs/>
                              <w:sz w:val="13"/>
                              <w:szCs w:val="13"/>
                            </w:rPr>
                          </w:pPr>
                          <w:r w:rsidRPr="006779E7">
                            <w:rPr>
                              <w:b/>
                              <w:bCs/>
                              <w:sz w:val="13"/>
                              <w:szCs w:val="13"/>
                            </w:rPr>
                            <w:t>Kenmerk</w:t>
                          </w:r>
                        </w:p>
                        <w:p w14:paraId="400A4F9A" w14:textId="77777777" w:rsidR="001C1534" w:rsidRDefault="001C1534" w:rsidP="001C1534">
                          <w:pPr>
                            <w:spacing w:line="276" w:lineRule="auto"/>
                            <w:rPr>
                              <w:sz w:val="13"/>
                              <w:szCs w:val="13"/>
                            </w:rPr>
                          </w:pPr>
                          <w:r w:rsidRPr="006779E7">
                            <w:rPr>
                              <w:sz w:val="13"/>
                              <w:szCs w:val="13"/>
                            </w:rPr>
                            <w:t>IENW/BSK-2026/52011</w:t>
                          </w:r>
                        </w:p>
                        <w:p w14:paraId="6D26C668" w14:textId="77777777" w:rsidR="001C1534" w:rsidRPr="001C1534" w:rsidRDefault="001C1534" w:rsidP="001C1534"/>
                      </w:txbxContent>
                    </wps:txbx>
                    <wps:bodyPr vert="horz" wrap="square" lIns="0" tIns="0" rIns="0" bIns="0" anchor="t" anchorCtr="0"/>
                  </wps:wsp>
                </a:graphicData>
              </a:graphic>
            </wp:anchor>
          </w:drawing>
        </mc:Choice>
        <mc:Fallback>
          <w:pict>
            <v:shapetype w14:anchorId="0FD10D7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95A3545" w14:textId="77777777" w:rsidR="00057E6B" w:rsidRDefault="00BA71D1">
                    <w:pPr>
                      <w:pStyle w:val="AfzendgegevensKop0"/>
                    </w:pPr>
                    <w:r>
                      <w:t>Ministerie van Infrastructuur en Waterstaat</w:t>
                    </w:r>
                  </w:p>
                  <w:p w14:paraId="0C5F53CC" w14:textId="77777777" w:rsidR="001C1534" w:rsidRDefault="001C1534" w:rsidP="001C1534"/>
                  <w:p w14:paraId="0396821D" w14:textId="77777777" w:rsidR="001C1534" w:rsidRPr="006779E7" w:rsidRDefault="001C1534" w:rsidP="001C1534">
                    <w:pPr>
                      <w:spacing w:line="276" w:lineRule="auto"/>
                      <w:rPr>
                        <w:b/>
                        <w:bCs/>
                        <w:sz w:val="13"/>
                        <w:szCs w:val="13"/>
                      </w:rPr>
                    </w:pPr>
                    <w:r w:rsidRPr="006779E7">
                      <w:rPr>
                        <w:b/>
                        <w:bCs/>
                        <w:sz w:val="13"/>
                        <w:szCs w:val="13"/>
                      </w:rPr>
                      <w:t>Kenmerk</w:t>
                    </w:r>
                  </w:p>
                  <w:p w14:paraId="400A4F9A" w14:textId="77777777" w:rsidR="001C1534" w:rsidRDefault="001C1534" w:rsidP="001C1534">
                    <w:pPr>
                      <w:spacing w:line="276" w:lineRule="auto"/>
                      <w:rPr>
                        <w:sz w:val="13"/>
                        <w:szCs w:val="13"/>
                      </w:rPr>
                    </w:pPr>
                    <w:r w:rsidRPr="006779E7">
                      <w:rPr>
                        <w:sz w:val="13"/>
                        <w:szCs w:val="13"/>
                      </w:rPr>
                      <w:t>IENW/BSK-2026/52011</w:t>
                    </w:r>
                  </w:p>
                  <w:p w14:paraId="6D26C668" w14:textId="77777777" w:rsidR="001C1534" w:rsidRPr="001C1534" w:rsidRDefault="001C1534" w:rsidP="001C1534"/>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A0CFC82" wp14:editId="6F3FD9A5">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36B037B" w14:textId="54E7774D" w:rsidR="00057E6B" w:rsidRDefault="00BA71D1">
                          <w:pPr>
                            <w:pStyle w:val="Referentiegegevens"/>
                          </w:pPr>
                          <w:r>
                            <w:t xml:space="preserve">Page </w:t>
                          </w:r>
                          <w:r>
                            <w:fldChar w:fldCharType="begin"/>
                          </w:r>
                          <w:r>
                            <w:instrText>PAGE</w:instrText>
                          </w:r>
                          <w:r>
                            <w:fldChar w:fldCharType="separate"/>
                          </w:r>
                          <w:r w:rsidR="004D2CB0">
                            <w:rPr>
                              <w:noProof/>
                            </w:rPr>
                            <w:t>2</w:t>
                          </w:r>
                          <w:r>
                            <w:fldChar w:fldCharType="end"/>
                          </w:r>
                          <w:r>
                            <w:t xml:space="preserve"> of </w:t>
                          </w:r>
                          <w:r>
                            <w:fldChar w:fldCharType="begin"/>
                          </w:r>
                          <w:r>
                            <w:instrText>NUMPAGES</w:instrText>
                          </w:r>
                          <w:r>
                            <w:fldChar w:fldCharType="separate"/>
                          </w:r>
                          <w:r w:rsidR="008C6342">
                            <w:rPr>
                              <w:noProof/>
                            </w:rPr>
                            <w:t>1</w:t>
                          </w:r>
                          <w:r>
                            <w:fldChar w:fldCharType="end"/>
                          </w:r>
                        </w:p>
                      </w:txbxContent>
                    </wps:txbx>
                    <wps:bodyPr vert="horz" wrap="square" lIns="0" tIns="0" rIns="0" bIns="0" anchor="t" anchorCtr="0"/>
                  </wps:wsp>
                </a:graphicData>
              </a:graphic>
            </wp:anchor>
          </w:drawing>
        </mc:Choice>
        <mc:Fallback>
          <w:pict>
            <v:shape w14:anchorId="4A0CFC8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36B037B" w14:textId="54E7774D" w:rsidR="00057E6B" w:rsidRDefault="00BA71D1">
                    <w:pPr>
                      <w:pStyle w:val="Referentiegegevens"/>
                    </w:pPr>
                    <w:r>
                      <w:t xml:space="preserve">Page </w:t>
                    </w:r>
                    <w:r>
                      <w:fldChar w:fldCharType="begin"/>
                    </w:r>
                    <w:r>
                      <w:instrText>PAGE</w:instrText>
                    </w:r>
                    <w:r>
                      <w:fldChar w:fldCharType="separate"/>
                    </w:r>
                    <w:r w:rsidR="004D2CB0">
                      <w:rPr>
                        <w:noProof/>
                      </w:rPr>
                      <w:t>2</w:t>
                    </w:r>
                    <w:r>
                      <w:fldChar w:fldCharType="end"/>
                    </w:r>
                    <w:r>
                      <w:t xml:space="preserve"> of </w:t>
                    </w:r>
                    <w:r>
                      <w:fldChar w:fldCharType="begin"/>
                    </w:r>
                    <w:r>
                      <w:instrText>NUMPAGES</w:instrText>
                    </w:r>
                    <w:r>
                      <w:fldChar w:fldCharType="separate"/>
                    </w:r>
                    <w:r w:rsidR="008C634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F8D87A6" wp14:editId="7399DD1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816E198" w14:textId="77777777" w:rsidR="00057E6B" w:rsidRDefault="00BA71D1">
                          <w:pPr>
                            <w:pStyle w:val="Rubricering"/>
                          </w:pPr>
                          <w:r>
                            <w:t>openbaar</w:t>
                          </w:r>
                        </w:p>
                      </w:txbxContent>
                    </wps:txbx>
                    <wps:bodyPr vert="horz" wrap="square" lIns="0" tIns="0" rIns="0" bIns="0" anchor="t" anchorCtr="0"/>
                  </wps:wsp>
                </a:graphicData>
              </a:graphic>
            </wp:anchor>
          </w:drawing>
        </mc:Choice>
        <mc:Fallback>
          <w:pict>
            <v:shape w14:anchorId="7F8D87A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816E198" w14:textId="77777777" w:rsidR="00057E6B" w:rsidRDefault="00BA71D1">
                    <w:pPr>
                      <w:pStyle w:val="Rubricering"/>
                    </w:pPr>
                    <w:r>
                      <w:t>openbaar</w:t>
                    </w:r>
                  </w:p>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0C4C4CD" wp14:editId="47BEE4E2">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B599563" w14:textId="77777777" w:rsidR="0039753A" w:rsidRDefault="0039753A"/>
                      </w:txbxContent>
                    </wps:txbx>
                    <wps:bodyPr vert="horz" wrap="square" lIns="0" tIns="0" rIns="0" bIns="0" anchor="t" anchorCtr="0"/>
                  </wps:wsp>
                </a:graphicData>
              </a:graphic>
            </wp:anchor>
          </w:drawing>
        </mc:Choice>
        <mc:Fallback>
          <w:pict>
            <v:shape w14:anchorId="70C4C4C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B599563" w14:textId="77777777" w:rsidR="0039753A" w:rsidRDefault="0039753A"/>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80F70" w14:textId="77777777" w:rsidR="00057E6B" w:rsidRDefault="00BA71D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15F880C" wp14:editId="48F2F4F3">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2837A72" w14:textId="77777777" w:rsidR="00057E6B" w:rsidRDefault="00BA71D1">
                          <w:pPr>
                            <w:pStyle w:val="Rubricering"/>
                          </w:pPr>
                          <w:r>
                            <w:t>openbaar</w:t>
                          </w:r>
                        </w:p>
                      </w:txbxContent>
                    </wps:txbx>
                    <wps:bodyPr vert="horz" wrap="square" lIns="0" tIns="0" rIns="0" bIns="0" anchor="t" anchorCtr="0"/>
                  </wps:wsp>
                </a:graphicData>
              </a:graphic>
            </wp:anchor>
          </w:drawing>
        </mc:Choice>
        <mc:Fallback>
          <w:pict>
            <v:shapetype w14:anchorId="015F880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2837A72" w14:textId="77777777" w:rsidR="00057E6B" w:rsidRDefault="00BA71D1">
                    <w:pPr>
                      <w:pStyle w:val="Rubricering"/>
                    </w:pPr>
                    <w:r>
                      <w:t>openbaar</w:t>
                    </w:r>
                  </w:p>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BABD7C9" wp14:editId="7A82003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63E4C9" w14:textId="73D9EC8C" w:rsidR="00057E6B" w:rsidRDefault="00BA71D1">
                          <w:pPr>
                            <w:pStyle w:val="Referentiegegevens"/>
                          </w:pPr>
                          <w:r>
                            <w:t xml:space="preserve">Page </w:t>
                          </w:r>
                          <w:r>
                            <w:fldChar w:fldCharType="begin"/>
                          </w:r>
                          <w:r>
                            <w:instrText>PAGE</w:instrText>
                          </w:r>
                          <w:r>
                            <w:fldChar w:fldCharType="separate"/>
                          </w:r>
                          <w:r w:rsidR="00313F4E">
                            <w:rPr>
                              <w:noProof/>
                            </w:rPr>
                            <w:t>1</w:t>
                          </w:r>
                          <w:r>
                            <w:fldChar w:fldCharType="end"/>
                          </w:r>
                          <w:r>
                            <w:t xml:space="preserve"> of </w:t>
                          </w:r>
                          <w:r>
                            <w:fldChar w:fldCharType="begin"/>
                          </w:r>
                          <w:r>
                            <w:instrText>NUMPAGES</w:instrText>
                          </w:r>
                          <w:r>
                            <w:fldChar w:fldCharType="separate"/>
                          </w:r>
                          <w:r w:rsidR="00313F4E">
                            <w:rPr>
                              <w:noProof/>
                            </w:rPr>
                            <w:t>1</w:t>
                          </w:r>
                          <w:r>
                            <w:fldChar w:fldCharType="end"/>
                          </w:r>
                        </w:p>
                      </w:txbxContent>
                    </wps:txbx>
                    <wps:bodyPr vert="horz" wrap="square" lIns="0" tIns="0" rIns="0" bIns="0" anchor="t" anchorCtr="0"/>
                  </wps:wsp>
                </a:graphicData>
              </a:graphic>
            </wp:anchor>
          </w:drawing>
        </mc:Choice>
        <mc:Fallback>
          <w:pict>
            <v:shape w14:anchorId="2BABD7C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763E4C9" w14:textId="73D9EC8C" w:rsidR="00057E6B" w:rsidRDefault="00BA71D1">
                    <w:pPr>
                      <w:pStyle w:val="Referentiegegevens"/>
                    </w:pPr>
                    <w:r>
                      <w:t xml:space="preserve">Page </w:t>
                    </w:r>
                    <w:r>
                      <w:fldChar w:fldCharType="begin"/>
                    </w:r>
                    <w:r>
                      <w:instrText>PAGE</w:instrText>
                    </w:r>
                    <w:r>
                      <w:fldChar w:fldCharType="separate"/>
                    </w:r>
                    <w:r w:rsidR="00313F4E">
                      <w:rPr>
                        <w:noProof/>
                      </w:rPr>
                      <w:t>1</w:t>
                    </w:r>
                    <w:r>
                      <w:fldChar w:fldCharType="end"/>
                    </w:r>
                    <w:r>
                      <w:t xml:space="preserve"> of </w:t>
                    </w:r>
                    <w:r>
                      <w:fldChar w:fldCharType="begin"/>
                    </w:r>
                    <w:r>
                      <w:instrText>NUMPAGES</w:instrText>
                    </w:r>
                    <w:r>
                      <w:fldChar w:fldCharType="separate"/>
                    </w:r>
                    <w:r w:rsidR="00313F4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84F927A" wp14:editId="4FB33141">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1F775A2" w14:textId="77777777" w:rsidR="00057E6B" w:rsidRDefault="00BA71D1">
                          <w:pPr>
                            <w:pStyle w:val="AfzendgegevensKop0"/>
                          </w:pPr>
                          <w:r>
                            <w:t>Ministerie van Infrastructuur en Waterstaat</w:t>
                          </w:r>
                        </w:p>
                        <w:p w14:paraId="7D68872A" w14:textId="77777777" w:rsidR="00057E6B" w:rsidRDefault="00057E6B">
                          <w:pPr>
                            <w:pStyle w:val="WitregelW1"/>
                          </w:pPr>
                        </w:p>
                        <w:p w14:paraId="2E1642C1" w14:textId="77777777" w:rsidR="00057E6B" w:rsidRDefault="00BA71D1">
                          <w:pPr>
                            <w:pStyle w:val="Afzendgegevens"/>
                          </w:pPr>
                          <w:r>
                            <w:t>Rijnstraat 8</w:t>
                          </w:r>
                        </w:p>
                        <w:p w14:paraId="270BC08E" w14:textId="77777777" w:rsidR="00057E6B" w:rsidRPr="008C6342" w:rsidRDefault="00BA71D1">
                          <w:pPr>
                            <w:pStyle w:val="Afzendgegevens"/>
                            <w:rPr>
                              <w:lang w:val="de-DE"/>
                            </w:rPr>
                          </w:pPr>
                          <w:r w:rsidRPr="008C6342">
                            <w:rPr>
                              <w:lang w:val="de-DE"/>
                            </w:rPr>
                            <w:t>2515 XP  Den Haag</w:t>
                          </w:r>
                        </w:p>
                        <w:p w14:paraId="08E6C448" w14:textId="77777777" w:rsidR="00057E6B" w:rsidRPr="008C6342" w:rsidRDefault="00BA71D1">
                          <w:pPr>
                            <w:pStyle w:val="Afzendgegevens"/>
                            <w:rPr>
                              <w:lang w:val="de-DE"/>
                            </w:rPr>
                          </w:pPr>
                          <w:r w:rsidRPr="008C6342">
                            <w:rPr>
                              <w:lang w:val="de-DE"/>
                            </w:rPr>
                            <w:t>Postbus 20901</w:t>
                          </w:r>
                        </w:p>
                        <w:p w14:paraId="1804B694" w14:textId="77777777" w:rsidR="00057E6B" w:rsidRPr="008C6342" w:rsidRDefault="00BA71D1">
                          <w:pPr>
                            <w:pStyle w:val="Afzendgegevens"/>
                            <w:rPr>
                              <w:lang w:val="de-DE"/>
                            </w:rPr>
                          </w:pPr>
                          <w:r w:rsidRPr="008C6342">
                            <w:rPr>
                              <w:lang w:val="de-DE"/>
                            </w:rPr>
                            <w:t>2500 EX Den Haag</w:t>
                          </w:r>
                        </w:p>
                        <w:p w14:paraId="07DD1CFE" w14:textId="77777777" w:rsidR="00057E6B" w:rsidRPr="008C6342" w:rsidRDefault="00057E6B">
                          <w:pPr>
                            <w:pStyle w:val="WitregelW1"/>
                            <w:rPr>
                              <w:lang w:val="de-DE"/>
                            </w:rPr>
                          </w:pPr>
                        </w:p>
                        <w:p w14:paraId="48ADEBDA" w14:textId="77777777" w:rsidR="00057E6B" w:rsidRPr="008C6342" w:rsidRDefault="00BA71D1">
                          <w:pPr>
                            <w:pStyle w:val="Afzendgegevens"/>
                            <w:rPr>
                              <w:lang w:val="de-DE"/>
                            </w:rPr>
                          </w:pPr>
                          <w:r w:rsidRPr="008C6342">
                            <w:rPr>
                              <w:lang w:val="de-DE"/>
                            </w:rPr>
                            <w:t>T   070-456 0000</w:t>
                          </w:r>
                        </w:p>
                        <w:p w14:paraId="533DF125" w14:textId="77777777" w:rsidR="00057E6B" w:rsidRDefault="00BA71D1">
                          <w:pPr>
                            <w:pStyle w:val="Afzendgegevens"/>
                          </w:pPr>
                          <w:r>
                            <w:t>F   070-456 1111</w:t>
                          </w:r>
                        </w:p>
                        <w:p w14:paraId="59F54A51" w14:textId="77777777" w:rsidR="006779E7" w:rsidRPr="006779E7" w:rsidRDefault="006779E7" w:rsidP="006779E7">
                          <w:pPr>
                            <w:rPr>
                              <w:sz w:val="13"/>
                              <w:szCs w:val="13"/>
                            </w:rPr>
                          </w:pPr>
                        </w:p>
                        <w:p w14:paraId="457508C0" w14:textId="641100D1" w:rsidR="006779E7" w:rsidRPr="006779E7" w:rsidRDefault="006779E7" w:rsidP="001C1534">
                          <w:pPr>
                            <w:spacing w:line="276" w:lineRule="auto"/>
                            <w:rPr>
                              <w:b/>
                              <w:bCs/>
                              <w:sz w:val="13"/>
                              <w:szCs w:val="13"/>
                            </w:rPr>
                          </w:pPr>
                          <w:r w:rsidRPr="006779E7">
                            <w:rPr>
                              <w:b/>
                              <w:bCs/>
                              <w:sz w:val="13"/>
                              <w:szCs w:val="13"/>
                            </w:rPr>
                            <w:t>Kenmerk</w:t>
                          </w:r>
                        </w:p>
                        <w:p w14:paraId="16F510C2" w14:textId="59A19731" w:rsidR="006779E7" w:rsidRDefault="006779E7" w:rsidP="001C1534">
                          <w:pPr>
                            <w:spacing w:line="276" w:lineRule="auto"/>
                            <w:rPr>
                              <w:sz w:val="13"/>
                              <w:szCs w:val="13"/>
                            </w:rPr>
                          </w:pPr>
                          <w:r w:rsidRPr="006779E7">
                            <w:rPr>
                              <w:sz w:val="13"/>
                              <w:szCs w:val="13"/>
                            </w:rPr>
                            <w:t>IENW/BSK-2026/52011</w:t>
                          </w:r>
                        </w:p>
                        <w:p w14:paraId="2A188B89" w14:textId="77777777" w:rsidR="006779E7" w:rsidRPr="006779E7" w:rsidRDefault="006779E7" w:rsidP="001C1534">
                          <w:pPr>
                            <w:spacing w:line="276" w:lineRule="auto"/>
                            <w:rPr>
                              <w:b/>
                              <w:bCs/>
                              <w:sz w:val="13"/>
                              <w:szCs w:val="13"/>
                            </w:rPr>
                          </w:pPr>
                        </w:p>
                        <w:p w14:paraId="4A6F1F47" w14:textId="28CA318B" w:rsidR="006779E7" w:rsidRDefault="006779E7" w:rsidP="001C1534">
                          <w:pPr>
                            <w:spacing w:line="276" w:lineRule="auto"/>
                            <w:rPr>
                              <w:b/>
                              <w:bCs/>
                              <w:sz w:val="13"/>
                              <w:szCs w:val="13"/>
                            </w:rPr>
                          </w:pPr>
                          <w:r w:rsidRPr="006779E7">
                            <w:rPr>
                              <w:b/>
                              <w:bCs/>
                              <w:sz w:val="13"/>
                              <w:szCs w:val="13"/>
                            </w:rPr>
                            <w:t>Bijlage(n)</w:t>
                          </w:r>
                        </w:p>
                        <w:p w14:paraId="4D4BFB23" w14:textId="46E2C963" w:rsidR="006779E7" w:rsidRPr="006779E7" w:rsidRDefault="006779E7" w:rsidP="001C1534">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684F927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1F775A2" w14:textId="77777777" w:rsidR="00057E6B" w:rsidRDefault="00BA71D1">
                    <w:pPr>
                      <w:pStyle w:val="AfzendgegevensKop0"/>
                    </w:pPr>
                    <w:r>
                      <w:t>Ministerie van Infrastructuur en Waterstaat</w:t>
                    </w:r>
                  </w:p>
                  <w:p w14:paraId="7D68872A" w14:textId="77777777" w:rsidR="00057E6B" w:rsidRDefault="00057E6B">
                    <w:pPr>
                      <w:pStyle w:val="WitregelW1"/>
                    </w:pPr>
                  </w:p>
                  <w:p w14:paraId="2E1642C1" w14:textId="77777777" w:rsidR="00057E6B" w:rsidRDefault="00BA71D1">
                    <w:pPr>
                      <w:pStyle w:val="Afzendgegevens"/>
                    </w:pPr>
                    <w:r>
                      <w:t>Rijnstraat 8</w:t>
                    </w:r>
                  </w:p>
                  <w:p w14:paraId="270BC08E" w14:textId="77777777" w:rsidR="00057E6B" w:rsidRPr="008C6342" w:rsidRDefault="00BA71D1">
                    <w:pPr>
                      <w:pStyle w:val="Afzendgegevens"/>
                      <w:rPr>
                        <w:lang w:val="de-DE"/>
                      </w:rPr>
                    </w:pPr>
                    <w:r w:rsidRPr="008C6342">
                      <w:rPr>
                        <w:lang w:val="de-DE"/>
                      </w:rPr>
                      <w:t>2515 XP  Den Haag</w:t>
                    </w:r>
                  </w:p>
                  <w:p w14:paraId="08E6C448" w14:textId="77777777" w:rsidR="00057E6B" w:rsidRPr="008C6342" w:rsidRDefault="00BA71D1">
                    <w:pPr>
                      <w:pStyle w:val="Afzendgegevens"/>
                      <w:rPr>
                        <w:lang w:val="de-DE"/>
                      </w:rPr>
                    </w:pPr>
                    <w:r w:rsidRPr="008C6342">
                      <w:rPr>
                        <w:lang w:val="de-DE"/>
                      </w:rPr>
                      <w:t>Postbus 20901</w:t>
                    </w:r>
                  </w:p>
                  <w:p w14:paraId="1804B694" w14:textId="77777777" w:rsidR="00057E6B" w:rsidRPr="008C6342" w:rsidRDefault="00BA71D1">
                    <w:pPr>
                      <w:pStyle w:val="Afzendgegevens"/>
                      <w:rPr>
                        <w:lang w:val="de-DE"/>
                      </w:rPr>
                    </w:pPr>
                    <w:r w:rsidRPr="008C6342">
                      <w:rPr>
                        <w:lang w:val="de-DE"/>
                      </w:rPr>
                      <w:t>2500 EX Den Haag</w:t>
                    </w:r>
                  </w:p>
                  <w:p w14:paraId="07DD1CFE" w14:textId="77777777" w:rsidR="00057E6B" w:rsidRPr="008C6342" w:rsidRDefault="00057E6B">
                    <w:pPr>
                      <w:pStyle w:val="WitregelW1"/>
                      <w:rPr>
                        <w:lang w:val="de-DE"/>
                      </w:rPr>
                    </w:pPr>
                  </w:p>
                  <w:p w14:paraId="48ADEBDA" w14:textId="77777777" w:rsidR="00057E6B" w:rsidRPr="008C6342" w:rsidRDefault="00BA71D1">
                    <w:pPr>
                      <w:pStyle w:val="Afzendgegevens"/>
                      <w:rPr>
                        <w:lang w:val="de-DE"/>
                      </w:rPr>
                    </w:pPr>
                    <w:r w:rsidRPr="008C6342">
                      <w:rPr>
                        <w:lang w:val="de-DE"/>
                      </w:rPr>
                      <w:t>T   070-456 0000</w:t>
                    </w:r>
                  </w:p>
                  <w:p w14:paraId="533DF125" w14:textId="77777777" w:rsidR="00057E6B" w:rsidRDefault="00BA71D1">
                    <w:pPr>
                      <w:pStyle w:val="Afzendgegevens"/>
                    </w:pPr>
                    <w:r>
                      <w:t>F   070-456 1111</w:t>
                    </w:r>
                  </w:p>
                  <w:p w14:paraId="59F54A51" w14:textId="77777777" w:rsidR="006779E7" w:rsidRPr="006779E7" w:rsidRDefault="006779E7" w:rsidP="006779E7">
                    <w:pPr>
                      <w:rPr>
                        <w:sz w:val="13"/>
                        <w:szCs w:val="13"/>
                      </w:rPr>
                    </w:pPr>
                  </w:p>
                  <w:p w14:paraId="457508C0" w14:textId="641100D1" w:rsidR="006779E7" w:rsidRPr="006779E7" w:rsidRDefault="006779E7" w:rsidP="001C1534">
                    <w:pPr>
                      <w:spacing w:line="276" w:lineRule="auto"/>
                      <w:rPr>
                        <w:b/>
                        <w:bCs/>
                        <w:sz w:val="13"/>
                        <w:szCs w:val="13"/>
                      </w:rPr>
                    </w:pPr>
                    <w:r w:rsidRPr="006779E7">
                      <w:rPr>
                        <w:b/>
                        <w:bCs/>
                        <w:sz w:val="13"/>
                        <w:szCs w:val="13"/>
                      </w:rPr>
                      <w:t>Kenmerk</w:t>
                    </w:r>
                  </w:p>
                  <w:p w14:paraId="16F510C2" w14:textId="59A19731" w:rsidR="006779E7" w:rsidRDefault="006779E7" w:rsidP="001C1534">
                    <w:pPr>
                      <w:spacing w:line="276" w:lineRule="auto"/>
                      <w:rPr>
                        <w:sz w:val="13"/>
                        <w:szCs w:val="13"/>
                      </w:rPr>
                    </w:pPr>
                    <w:r w:rsidRPr="006779E7">
                      <w:rPr>
                        <w:sz w:val="13"/>
                        <w:szCs w:val="13"/>
                      </w:rPr>
                      <w:t>IENW/BSK-2026/52011</w:t>
                    </w:r>
                  </w:p>
                  <w:p w14:paraId="2A188B89" w14:textId="77777777" w:rsidR="006779E7" w:rsidRPr="006779E7" w:rsidRDefault="006779E7" w:rsidP="001C1534">
                    <w:pPr>
                      <w:spacing w:line="276" w:lineRule="auto"/>
                      <w:rPr>
                        <w:b/>
                        <w:bCs/>
                        <w:sz w:val="13"/>
                        <w:szCs w:val="13"/>
                      </w:rPr>
                    </w:pPr>
                  </w:p>
                  <w:p w14:paraId="4A6F1F47" w14:textId="28CA318B" w:rsidR="006779E7" w:rsidRDefault="006779E7" w:rsidP="001C1534">
                    <w:pPr>
                      <w:spacing w:line="276" w:lineRule="auto"/>
                      <w:rPr>
                        <w:b/>
                        <w:bCs/>
                        <w:sz w:val="13"/>
                        <w:szCs w:val="13"/>
                      </w:rPr>
                    </w:pPr>
                    <w:r w:rsidRPr="006779E7">
                      <w:rPr>
                        <w:b/>
                        <w:bCs/>
                        <w:sz w:val="13"/>
                        <w:szCs w:val="13"/>
                      </w:rPr>
                      <w:t>Bijlage(n)</w:t>
                    </w:r>
                  </w:p>
                  <w:p w14:paraId="4D4BFB23" w14:textId="46E2C963" w:rsidR="006779E7" w:rsidRPr="006779E7" w:rsidRDefault="006779E7" w:rsidP="001C1534">
                    <w:pPr>
                      <w:spacing w:line="276" w:lineRule="auto"/>
                      <w:rPr>
                        <w:sz w:val="13"/>
                        <w:szCs w:val="13"/>
                      </w:rPr>
                    </w:pPr>
                    <w:r>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87569C6" wp14:editId="3B679EA2">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4A09FCF" w14:textId="77777777" w:rsidR="00057E6B" w:rsidRDefault="00BA71D1">
                          <w:pPr>
                            <w:spacing w:line="240" w:lineRule="auto"/>
                          </w:pPr>
                          <w:r>
                            <w:rPr>
                              <w:noProof/>
                              <w:lang w:val="en-GB" w:eastAsia="en-GB"/>
                            </w:rPr>
                            <w:drawing>
                              <wp:inline distT="0" distB="0" distL="0" distR="0" wp14:anchorId="10C97C07" wp14:editId="1CA7C94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7569C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4A09FCF" w14:textId="77777777" w:rsidR="00057E6B" w:rsidRDefault="00BA71D1">
                    <w:pPr>
                      <w:spacing w:line="240" w:lineRule="auto"/>
                    </w:pPr>
                    <w:r>
                      <w:rPr>
                        <w:noProof/>
                        <w:lang w:val="en-GB" w:eastAsia="en-GB"/>
                      </w:rPr>
                      <w:drawing>
                        <wp:inline distT="0" distB="0" distL="0" distR="0" wp14:anchorId="10C97C07" wp14:editId="1CA7C94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13D6E31" wp14:editId="7CB9104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2E529E" w14:textId="77777777" w:rsidR="00057E6B" w:rsidRDefault="00BA71D1">
                          <w:pPr>
                            <w:spacing w:line="240" w:lineRule="auto"/>
                          </w:pPr>
                          <w:r>
                            <w:rPr>
                              <w:noProof/>
                              <w:lang w:val="en-GB" w:eastAsia="en-GB"/>
                            </w:rPr>
                            <w:drawing>
                              <wp:inline distT="0" distB="0" distL="0" distR="0" wp14:anchorId="6BE05245" wp14:editId="17C11FD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3D6E3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22E529E" w14:textId="77777777" w:rsidR="00057E6B" w:rsidRDefault="00BA71D1">
                    <w:pPr>
                      <w:spacing w:line="240" w:lineRule="auto"/>
                    </w:pPr>
                    <w:r>
                      <w:rPr>
                        <w:noProof/>
                        <w:lang w:val="en-GB" w:eastAsia="en-GB"/>
                      </w:rPr>
                      <w:drawing>
                        <wp:inline distT="0" distB="0" distL="0" distR="0" wp14:anchorId="6BE05245" wp14:editId="17C11FD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2B1B899" wp14:editId="5703B2E7">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E07B7E5" w14:textId="77777777" w:rsidR="00057E6B" w:rsidRDefault="00BA71D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2B1B89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E07B7E5" w14:textId="77777777" w:rsidR="00057E6B" w:rsidRDefault="00BA71D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3F32248" wp14:editId="6177003E">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7617B01" w14:textId="77777777" w:rsidR="00057E6B" w:rsidRDefault="00BA71D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3F3224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7617B01" w14:textId="77777777" w:rsidR="00057E6B" w:rsidRDefault="00BA71D1">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D512D6E" wp14:editId="1E48A5D0">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57E6B" w14:paraId="25AC0C52" w14:textId="77777777">
                            <w:trPr>
                              <w:trHeight w:val="200"/>
                            </w:trPr>
                            <w:tc>
                              <w:tcPr>
                                <w:tcW w:w="1140" w:type="dxa"/>
                              </w:tcPr>
                              <w:p w14:paraId="56FABAA2" w14:textId="77777777" w:rsidR="00057E6B" w:rsidRDefault="00057E6B"/>
                            </w:tc>
                            <w:tc>
                              <w:tcPr>
                                <w:tcW w:w="5400" w:type="dxa"/>
                              </w:tcPr>
                              <w:p w14:paraId="6BD6ACB2" w14:textId="77777777" w:rsidR="00057E6B" w:rsidRDefault="00057E6B"/>
                            </w:tc>
                          </w:tr>
                          <w:tr w:rsidR="00057E6B" w14:paraId="1D6AEE77" w14:textId="77777777">
                            <w:trPr>
                              <w:trHeight w:val="240"/>
                            </w:trPr>
                            <w:tc>
                              <w:tcPr>
                                <w:tcW w:w="1140" w:type="dxa"/>
                              </w:tcPr>
                              <w:p w14:paraId="54616FBE" w14:textId="77777777" w:rsidR="00057E6B" w:rsidRDefault="00BA71D1">
                                <w:r>
                                  <w:t>Datum</w:t>
                                </w:r>
                              </w:p>
                            </w:tc>
                            <w:tc>
                              <w:tcPr>
                                <w:tcW w:w="5400" w:type="dxa"/>
                              </w:tcPr>
                              <w:p w14:paraId="3908B094" w14:textId="3B680610" w:rsidR="00057E6B" w:rsidRDefault="001C1534">
                                <w:r>
                                  <w:t>26 maart 2026</w:t>
                                </w:r>
                              </w:p>
                            </w:tc>
                          </w:tr>
                          <w:tr w:rsidR="00057E6B" w14:paraId="4117F0E4" w14:textId="77777777">
                            <w:trPr>
                              <w:trHeight w:val="240"/>
                            </w:trPr>
                            <w:tc>
                              <w:tcPr>
                                <w:tcW w:w="1140" w:type="dxa"/>
                              </w:tcPr>
                              <w:p w14:paraId="2A4B16C3" w14:textId="77777777" w:rsidR="00057E6B" w:rsidRDefault="00BA71D1">
                                <w:r>
                                  <w:t>Betreft</w:t>
                                </w:r>
                              </w:p>
                            </w:tc>
                            <w:tc>
                              <w:tcPr>
                                <w:tcW w:w="5400" w:type="dxa"/>
                              </w:tcPr>
                              <w:p w14:paraId="0710E4F3" w14:textId="7CA00907" w:rsidR="008C6342" w:rsidRPr="008C6342" w:rsidRDefault="00240CC9" w:rsidP="008C6342">
                                <w:pPr>
                                  <w:rPr>
                                    <w:b/>
                                    <w:bCs/>
                                  </w:rPr>
                                </w:pPr>
                                <w:r>
                                  <w:t>U</w:t>
                                </w:r>
                                <w:r w:rsidR="00F02645">
                                  <w:t xml:space="preserve">itvoering </w:t>
                                </w:r>
                                <w:r w:rsidR="00BA71D1">
                                  <w:t>moties nationale veiligheidsrisico's van slimme (elektrische) voertuigen</w:t>
                                </w:r>
                              </w:p>
                              <w:p w14:paraId="1DB4EDEA" w14:textId="2E2BEA69" w:rsidR="00057E6B" w:rsidRDefault="00057E6B"/>
                            </w:tc>
                          </w:tr>
                          <w:tr w:rsidR="00057E6B" w14:paraId="74169389" w14:textId="77777777">
                            <w:trPr>
                              <w:trHeight w:val="200"/>
                            </w:trPr>
                            <w:tc>
                              <w:tcPr>
                                <w:tcW w:w="1140" w:type="dxa"/>
                              </w:tcPr>
                              <w:p w14:paraId="4E812E39" w14:textId="77777777" w:rsidR="00057E6B" w:rsidRDefault="00057E6B"/>
                            </w:tc>
                            <w:tc>
                              <w:tcPr>
                                <w:tcW w:w="5400" w:type="dxa"/>
                              </w:tcPr>
                              <w:p w14:paraId="4CD720EA" w14:textId="77777777" w:rsidR="00057E6B" w:rsidRDefault="00057E6B"/>
                            </w:tc>
                          </w:tr>
                        </w:tbl>
                        <w:p w14:paraId="2126E981" w14:textId="77777777" w:rsidR="0039753A" w:rsidRDefault="0039753A"/>
                      </w:txbxContent>
                    </wps:txbx>
                    <wps:bodyPr vert="horz" wrap="square" lIns="0" tIns="0" rIns="0" bIns="0" anchor="t" anchorCtr="0"/>
                  </wps:wsp>
                </a:graphicData>
              </a:graphic>
            </wp:anchor>
          </w:drawing>
        </mc:Choice>
        <mc:Fallback>
          <w:pict>
            <v:shape w14:anchorId="2D512D6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57E6B" w14:paraId="25AC0C52" w14:textId="77777777">
                      <w:trPr>
                        <w:trHeight w:val="200"/>
                      </w:trPr>
                      <w:tc>
                        <w:tcPr>
                          <w:tcW w:w="1140" w:type="dxa"/>
                        </w:tcPr>
                        <w:p w14:paraId="56FABAA2" w14:textId="77777777" w:rsidR="00057E6B" w:rsidRDefault="00057E6B"/>
                      </w:tc>
                      <w:tc>
                        <w:tcPr>
                          <w:tcW w:w="5400" w:type="dxa"/>
                        </w:tcPr>
                        <w:p w14:paraId="6BD6ACB2" w14:textId="77777777" w:rsidR="00057E6B" w:rsidRDefault="00057E6B"/>
                      </w:tc>
                    </w:tr>
                    <w:tr w:rsidR="00057E6B" w14:paraId="1D6AEE77" w14:textId="77777777">
                      <w:trPr>
                        <w:trHeight w:val="240"/>
                      </w:trPr>
                      <w:tc>
                        <w:tcPr>
                          <w:tcW w:w="1140" w:type="dxa"/>
                        </w:tcPr>
                        <w:p w14:paraId="54616FBE" w14:textId="77777777" w:rsidR="00057E6B" w:rsidRDefault="00BA71D1">
                          <w:r>
                            <w:t>Datum</w:t>
                          </w:r>
                        </w:p>
                      </w:tc>
                      <w:tc>
                        <w:tcPr>
                          <w:tcW w:w="5400" w:type="dxa"/>
                        </w:tcPr>
                        <w:p w14:paraId="3908B094" w14:textId="3B680610" w:rsidR="00057E6B" w:rsidRDefault="001C1534">
                          <w:r>
                            <w:t>26 maart 2026</w:t>
                          </w:r>
                        </w:p>
                      </w:tc>
                    </w:tr>
                    <w:tr w:rsidR="00057E6B" w14:paraId="4117F0E4" w14:textId="77777777">
                      <w:trPr>
                        <w:trHeight w:val="240"/>
                      </w:trPr>
                      <w:tc>
                        <w:tcPr>
                          <w:tcW w:w="1140" w:type="dxa"/>
                        </w:tcPr>
                        <w:p w14:paraId="2A4B16C3" w14:textId="77777777" w:rsidR="00057E6B" w:rsidRDefault="00BA71D1">
                          <w:r>
                            <w:t>Betreft</w:t>
                          </w:r>
                        </w:p>
                      </w:tc>
                      <w:tc>
                        <w:tcPr>
                          <w:tcW w:w="5400" w:type="dxa"/>
                        </w:tcPr>
                        <w:p w14:paraId="0710E4F3" w14:textId="7CA00907" w:rsidR="008C6342" w:rsidRPr="008C6342" w:rsidRDefault="00240CC9" w:rsidP="008C6342">
                          <w:pPr>
                            <w:rPr>
                              <w:b/>
                              <w:bCs/>
                            </w:rPr>
                          </w:pPr>
                          <w:r>
                            <w:t>U</w:t>
                          </w:r>
                          <w:r w:rsidR="00F02645">
                            <w:t xml:space="preserve">itvoering </w:t>
                          </w:r>
                          <w:r w:rsidR="00BA71D1">
                            <w:t>moties nationale veiligheidsrisico's van slimme (elektrische) voertuigen</w:t>
                          </w:r>
                        </w:p>
                        <w:p w14:paraId="1DB4EDEA" w14:textId="2E2BEA69" w:rsidR="00057E6B" w:rsidRDefault="00057E6B"/>
                      </w:tc>
                    </w:tr>
                    <w:tr w:rsidR="00057E6B" w14:paraId="74169389" w14:textId="77777777">
                      <w:trPr>
                        <w:trHeight w:val="200"/>
                      </w:trPr>
                      <w:tc>
                        <w:tcPr>
                          <w:tcW w:w="1140" w:type="dxa"/>
                        </w:tcPr>
                        <w:p w14:paraId="4E812E39" w14:textId="77777777" w:rsidR="00057E6B" w:rsidRDefault="00057E6B"/>
                      </w:tc>
                      <w:tc>
                        <w:tcPr>
                          <w:tcW w:w="5400" w:type="dxa"/>
                        </w:tcPr>
                        <w:p w14:paraId="4CD720EA" w14:textId="77777777" w:rsidR="00057E6B" w:rsidRDefault="00057E6B"/>
                      </w:tc>
                    </w:tr>
                  </w:tbl>
                  <w:p w14:paraId="2126E981" w14:textId="77777777" w:rsidR="0039753A" w:rsidRDefault="0039753A"/>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40DCFA9" wp14:editId="00E481F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28C911A" w14:textId="77777777" w:rsidR="0039753A" w:rsidRDefault="0039753A"/>
                      </w:txbxContent>
                    </wps:txbx>
                    <wps:bodyPr vert="horz" wrap="square" lIns="0" tIns="0" rIns="0" bIns="0" anchor="t" anchorCtr="0"/>
                  </wps:wsp>
                </a:graphicData>
              </a:graphic>
            </wp:anchor>
          </w:drawing>
        </mc:Choice>
        <mc:Fallback>
          <w:pict>
            <v:shape w14:anchorId="640DCFA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28C911A" w14:textId="77777777" w:rsidR="0039753A" w:rsidRDefault="0039753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744F79"/>
    <w:multiLevelType w:val="multilevel"/>
    <w:tmpl w:val="1B693CB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1E6FB5"/>
    <w:multiLevelType w:val="multilevel"/>
    <w:tmpl w:val="13C3F35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724438F"/>
    <w:multiLevelType w:val="multilevel"/>
    <w:tmpl w:val="D7DE3BA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056C67"/>
    <w:multiLevelType w:val="multilevel"/>
    <w:tmpl w:val="46FAD81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26AF94B"/>
    <w:multiLevelType w:val="multilevel"/>
    <w:tmpl w:val="C174A0E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F8A4F94"/>
    <w:multiLevelType w:val="multilevel"/>
    <w:tmpl w:val="124C10A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3B45F0E"/>
    <w:multiLevelType w:val="multilevel"/>
    <w:tmpl w:val="579CF2F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B3638B"/>
    <w:multiLevelType w:val="multilevel"/>
    <w:tmpl w:val="0F67D57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B0C923"/>
    <w:multiLevelType w:val="multilevel"/>
    <w:tmpl w:val="D69148D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6C0F85A"/>
    <w:multiLevelType w:val="multilevel"/>
    <w:tmpl w:val="BFB3039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9F21B7D"/>
    <w:multiLevelType w:val="multilevel"/>
    <w:tmpl w:val="0E94324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C5A5A9F"/>
    <w:multiLevelType w:val="multilevel"/>
    <w:tmpl w:val="5996FA5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68EEDC"/>
    <w:multiLevelType w:val="multilevel"/>
    <w:tmpl w:val="5F4F06A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63F6E9"/>
    <w:multiLevelType w:val="multilevel"/>
    <w:tmpl w:val="1643643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7BFE74"/>
    <w:multiLevelType w:val="multilevel"/>
    <w:tmpl w:val="0E863E8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7F6FB7"/>
    <w:multiLevelType w:val="multilevel"/>
    <w:tmpl w:val="7E26448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828EED"/>
    <w:multiLevelType w:val="multilevel"/>
    <w:tmpl w:val="19A51BB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C4AAE2"/>
    <w:multiLevelType w:val="multilevel"/>
    <w:tmpl w:val="C5D913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5490C57C"/>
    <w:multiLevelType w:val="multilevel"/>
    <w:tmpl w:val="CB41CD2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5E0302"/>
    <w:multiLevelType w:val="multilevel"/>
    <w:tmpl w:val="EDFA33F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6BB7077F"/>
    <w:multiLevelType w:val="multilevel"/>
    <w:tmpl w:val="CAD8FBE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5CEBF8"/>
    <w:multiLevelType w:val="multilevel"/>
    <w:tmpl w:val="C79AB75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A2CBA6"/>
    <w:multiLevelType w:val="multilevel"/>
    <w:tmpl w:val="D0613BF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1"/>
  </w:num>
  <w:num w:numId="3">
    <w:abstractNumId w:val="20"/>
  </w:num>
  <w:num w:numId="4">
    <w:abstractNumId w:val="10"/>
  </w:num>
  <w:num w:numId="5">
    <w:abstractNumId w:val="19"/>
  </w:num>
  <w:num w:numId="6">
    <w:abstractNumId w:val="14"/>
  </w:num>
  <w:num w:numId="7">
    <w:abstractNumId w:val="4"/>
  </w:num>
  <w:num w:numId="8">
    <w:abstractNumId w:val="15"/>
  </w:num>
  <w:num w:numId="9">
    <w:abstractNumId w:val="18"/>
  </w:num>
  <w:num w:numId="10">
    <w:abstractNumId w:val="0"/>
  </w:num>
  <w:num w:numId="11">
    <w:abstractNumId w:val="12"/>
  </w:num>
  <w:num w:numId="12">
    <w:abstractNumId w:val="17"/>
  </w:num>
  <w:num w:numId="13">
    <w:abstractNumId w:val="13"/>
  </w:num>
  <w:num w:numId="14">
    <w:abstractNumId w:val="21"/>
  </w:num>
  <w:num w:numId="15">
    <w:abstractNumId w:val="7"/>
  </w:num>
  <w:num w:numId="16">
    <w:abstractNumId w:val="6"/>
  </w:num>
  <w:num w:numId="17">
    <w:abstractNumId w:val="22"/>
  </w:num>
  <w:num w:numId="18">
    <w:abstractNumId w:val="9"/>
  </w:num>
  <w:num w:numId="19">
    <w:abstractNumId w:val="2"/>
  </w:num>
  <w:num w:numId="20">
    <w:abstractNumId w:val="3"/>
  </w:num>
  <w:num w:numId="21">
    <w:abstractNumId w:val="8"/>
  </w:num>
  <w:num w:numId="22">
    <w:abstractNumId w:val="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42"/>
    <w:rsid w:val="000027CC"/>
    <w:rsid w:val="00057E6B"/>
    <w:rsid w:val="000956AB"/>
    <w:rsid w:val="00193901"/>
    <w:rsid w:val="001B0A56"/>
    <w:rsid w:val="001C1534"/>
    <w:rsid w:val="001E415D"/>
    <w:rsid w:val="001F5A0B"/>
    <w:rsid w:val="00201348"/>
    <w:rsid w:val="00207E58"/>
    <w:rsid w:val="00215450"/>
    <w:rsid w:val="002218EB"/>
    <w:rsid w:val="00222B9F"/>
    <w:rsid w:val="002328F1"/>
    <w:rsid w:val="00240CC9"/>
    <w:rsid w:val="002654B9"/>
    <w:rsid w:val="0029119B"/>
    <w:rsid w:val="002A6554"/>
    <w:rsid w:val="002E74D2"/>
    <w:rsid w:val="00313F4E"/>
    <w:rsid w:val="00314DBA"/>
    <w:rsid w:val="00324319"/>
    <w:rsid w:val="00325FC2"/>
    <w:rsid w:val="003427B4"/>
    <w:rsid w:val="00377EE2"/>
    <w:rsid w:val="0039753A"/>
    <w:rsid w:val="003D7BA3"/>
    <w:rsid w:val="003E540D"/>
    <w:rsid w:val="00410AFA"/>
    <w:rsid w:val="00410B30"/>
    <w:rsid w:val="00453555"/>
    <w:rsid w:val="00472140"/>
    <w:rsid w:val="00483E13"/>
    <w:rsid w:val="004956C3"/>
    <w:rsid w:val="0049786E"/>
    <w:rsid w:val="004A7F93"/>
    <w:rsid w:val="004B55E6"/>
    <w:rsid w:val="004D037A"/>
    <w:rsid w:val="004D2CB0"/>
    <w:rsid w:val="0050041D"/>
    <w:rsid w:val="00515F57"/>
    <w:rsid w:val="005178BA"/>
    <w:rsid w:val="005330AC"/>
    <w:rsid w:val="00544DB9"/>
    <w:rsid w:val="0056637C"/>
    <w:rsid w:val="00595B75"/>
    <w:rsid w:val="005B51FD"/>
    <w:rsid w:val="005F7C66"/>
    <w:rsid w:val="00603E06"/>
    <w:rsid w:val="0065375E"/>
    <w:rsid w:val="00656120"/>
    <w:rsid w:val="006747A7"/>
    <w:rsid w:val="006747B7"/>
    <w:rsid w:val="006779E7"/>
    <w:rsid w:val="00680E99"/>
    <w:rsid w:val="00687ABF"/>
    <w:rsid w:val="00697DF4"/>
    <w:rsid w:val="006B3F4E"/>
    <w:rsid w:val="006C0168"/>
    <w:rsid w:val="006F7CB0"/>
    <w:rsid w:val="00710CA9"/>
    <w:rsid w:val="00720C25"/>
    <w:rsid w:val="00721241"/>
    <w:rsid w:val="007250CA"/>
    <w:rsid w:val="00794D84"/>
    <w:rsid w:val="007A3403"/>
    <w:rsid w:val="007A74FB"/>
    <w:rsid w:val="007B7F51"/>
    <w:rsid w:val="007D28B0"/>
    <w:rsid w:val="007F2453"/>
    <w:rsid w:val="00801580"/>
    <w:rsid w:val="00812024"/>
    <w:rsid w:val="008425F4"/>
    <w:rsid w:val="00844F6F"/>
    <w:rsid w:val="0085763C"/>
    <w:rsid w:val="0086241B"/>
    <w:rsid w:val="008942D1"/>
    <w:rsid w:val="008C6342"/>
    <w:rsid w:val="008E1926"/>
    <w:rsid w:val="00963FBE"/>
    <w:rsid w:val="009A5358"/>
    <w:rsid w:val="009C58C0"/>
    <w:rsid w:val="009E1CC8"/>
    <w:rsid w:val="00A20B2B"/>
    <w:rsid w:val="00A22F15"/>
    <w:rsid w:val="00A413AC"/>
    <w:rsid w:val="00A52A2E"/>
    <w:rsid w:val="00A55F89"/>
    <w:rsid w:val="00A6287D"/>
    <w:rsid w:val="00A62B01"/>
    <w:rsid w:val="00A86E59"/>
    <w:rsid w:val="00A90077"/>
    <w:rsid w:val="00AA4311"/>
    <w:rsid w:val="00AB04C1"/>
    <w:rsid w:val="00B03F20"/>
    <w:rsid w:val="00B06E90"/>
    <w:rsid w:val="00B414BB"/>
    <w:rsid w:val="00B664D6"/>
    <w:rsid w:val="00B81D93"/>
    <w:rsid w:val="00BA3BFC"/>
    <w:rsid w:val="00BA71D1"/>
    <w:rsid w:val="00BB08D8"/>
    <w:rsid w:val="00BB7424"/>
    <w:rsid w:val="00BB78F4"/>
    <w:rsid w:val="00BE0CF8"/>
    <w:rsid w:val="00BE2710"/>
    <w:rsid w:val="00BF4AA1"/>
    <w:rsid w:val="00C27196"/>
    <w:rsid w:val="00C66A96"/>
    <w:rsid w:val="00C93DBE"/>
    <w:rsid w:val="00C9449C"/>
    <w:rsid w:val="00CA02BB"/>
    <w:rsid w:val="00D0369F"/>
    <w:rsid w:val="00D45FE1"/>
    <w:rsid w:val="00D51384"/>
    <w:rsid w:val="00D52B01"/>
    <w:rsid w:val="00D77524"/>
    <w:rsid w:val="00D8035D"/>
    <w:rsid w:val="00D86CB3"/>
    <w:rsid w:val="00DF4A53"/>
    <w:rsid w:val="00E169EB"/>
    <w:rsid w:val="00E17F47"/>
    <w:rsid w:val="00E45DBE"/>
    <w:rsid w:val="00E85740"/>
    <w:rsid w:val="00ED2D9C"/>
    <w:rsid w:val="00EF2513"/>
    <w:rsid w:val="00F02645"/>
    <w:rsid w:val="00F057AA"/>
    <w:rsid w:val="00F43A4A"/>
    <w:rsid w:val="00F457AB"/>
    <w:rsid w:val="00F70C0A"/>
    <w:rsid w:val="00FA5A3F"/>
    <w:rsid w:val="00FB2338"/>
    <w:rsid w:val="00FD1BDE"/>
    <w:rsid w:val="00FE25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8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8C6342"/>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C6342"/>
    <w:pPr>
      <w:tabs>
        <w:tab w:val="center" w:pos="4536"/>
        <w:tab w:val="right" w:pos="9072"/>
      </w:tabs>
      <w:spacing w:line="240" w:lineRule="auto"/>
    </w:pPr>
  </w:style>
  <w:style w:type="character" w:customStyle="1" w:styleId="HeaderChar">
    <w:name w:val="Header Char"/>
    <w:basedOn w:val="DefaultParagraphFont"/>
    <w:link w:val="Header"/>
    <w:uiPriority w:val="99"/>
    <w:rsid w:val="008C6342"/>
    <w:rPr>
      <w:rFonts w:ascii="Verdana" w:hAnsi="Verdana"/>
      <w:color w:val="000000"/>
      <w:sz w:val="18"/>
      <w:szCs w:val="18"/>
    </w:rPr>
  </w:style>
  <w:style w:type="paragraph" w:styleId="Footer">
    <w:name w:val="footer"/>
    <w:basedOn w:val="Normal"/>
    <w:link w:val="FooterChar"/>
    <w:uiPriority w:val="99"/>
    <w:unhideWhenUsed/>
    <w:rsid w:val="008C6342"/>
    <w:pPr>
      <w:tabs>
        <w:tab w:val="center" w:pos="4536"/>
        <w:tab w:val="right" w:pos="9072"/>
      </w:tabs>
      <w:spacing w:line="240" w:lineRule="auto"/>
    </w:pPr>
  </w:style>
  <w:style w:type="character" w:customStyle="1" w:styleId="FooterChar">
    <w:name w:val="Footer Char"/>
    <w:basedOn w:val="DefaultParagraphFont"/>
    <w:link w:val="Footer"/>
    <w:uiPriority w:val="99"/>
    <w:rsid w:val="008C6342"/>
    <w:rPr>
      <w:rFonts w:ascii="Verdana" w:hAnsi="Verdana"/>
      <w:color w:val="000000"/>
      <w:sz w:val="18"/>
      <w:szCs w:val="18"/>
    </w:rPr>
  </w:style>
  <w:style w:type="character" w:customStyle="1" w:styleId="Heading1Char">
    <w:name w:val="Heading 1 Char"/>
    <w:basedOn w:val="DefaultParagraphFont"/>
    <w:link w:val="Heading1"/>
    <w:uiPriority w:val="99"/>
    <w:semiHidden/>
    <w:rsid w:val="008C6342"/>
    <w:rPr>
      <w:rFonts w:asciiTheme="majorHAnsi" w:eastAsiaTheme="majorEastAsia" w:hAnsiTheme="majorHAnsi" w:cstheme="majorBidi"/>
      <w:color w:val="0F4761" w:themeColor="accent1" w:themeShade="BF"/>
      <w:sz w:val="32"/>
      <w:szCs w:val="32"/>
    </w:rPr>
  </w:style>
  <w:style w:type="paragraph" w:styleId="FootnoteText">
    <w:name w:val="footnote text"/>
    <w:basedOn w:val="Normal"/>
    <w:link w:val="FootnoteTextChar"/>
    <w:uiPriority w:val="99"/>
    <w:semiHidden/>
    <w:unhideWhenUsed/>
    <w:rsid w:val="00ED2D9C"/>
    <w:pPr>
      <w:spacing w:line="240" w:lineRule="auto"/>
    </w:pPr>
    <w:rPr>
      <w:sz w:val="20"/>
      <w:szCs w:val="20"/>
    </w:rPr>
  </w:style>
  <w:style w:type="character" w:customStyle="1" w:styleId="FootnoteTextChar">
    <w:name w:val="Footnote Text Char"/>
    <w:basedOn w:val="DefaultParagraphFont"/>
    <w:link w:val="FootnoteText"/>
    <w:uiPriority w:val="99"/>
    <w:semiHidden/>
    <w:rsid w:val="00ED2D9C"/>
    <w:rPr>
      <w:rFonts w:ascii="Verdana" w:hAnsi="Verdana"/>
      <w:color w:val="000000"/>
    </w:rPr>
  </w:style>
  <w:style w:type="character" w:styleId="FootnoteReference">
    <w:name w:val="footnote reference"/>
    <w:basedOn w:val="DefaultParagraphFont"/>
    <w:uiPriority w:val="99"/>
    <w:semiHidden/>
    <w:unhideWhenUsed/>
    <w:rsid w:val="00ED2D9C"/>
    <w:rPr>
      <w:vertAlign w:val="superscript"/>
    </w:rPr>
  </w:style>
  <w:style w:type="character" w:styleId="CommentReference">
    <w:name w:val="annotation reference"/>
    <w:basedOn w:val="DefaultParagraphFont"/>
    <w:uiPriority w:val="99"/>
    <w:semiHidden/>
    <w:unhideWhenUsed/>
    <w:rsid w:val="00ED2D9C"/>
    <w:rPr>
      <w:sz w:val="16"/>
      <w:szCs w:val="16"/>
    </w:rPr>
  </w:style>
  <w:style w:type="paragraph" w:styleId="CommentText">
    <w:name w:val="annotation text"/>
    <w:basedOn w:val="Normal"/>
    <w:link w:val="CommentTextChar"/>
    <w:uiPriority w:val="99"/>
    <w:unhideWhenUsed/>
    <w:rsid w:val="00ED2D9C"/>
    <w:pPr>
      <w:spacing w:line="240" w:lineRule="auto"/>
    </w:pPr>
    <w:rPr>
      <w:sz w:val="20"/>
      <w:szCs w:val="20"/>
    </w:rPr>
  </w:style>
  <w:style w:type="character" w:customStyle="1" w:styleId="CommentTextChar">
    <w:name w:val="Comment Text Char"/>
    <w:basedOn w:val="DefaultParagraphFont"/>
    <w:link w:val="CommentText"/>
    <w:uiPriority w:val="99"/>
    <w:rsid w:val="00ED2D9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D2D9C"/>
    <w:rPr>
      <w:b/>
      <w:bCs/>
    </w:rPr>
  </w:style>
  <w:style w:type="character" w:customStyle="1" w:styleId="CommentSubjectChar">
    <w:name w:val="Comment Subject Char"/>
    <w:basedOn w:val="CommentTextChar"/>
    <w:link w:val="CommentSubject"/>
    <w:uiPriority w:val="99"/>
    <w:semiHidden/>
    <w:rsid w:val="00ED2D9C"/>
    <w:rPr>
      <w:rFonts w:ascii="Verdana" w:hAnsi="Verdana"/>
      <w:b/>
      <w:bCs/>
      <w:color w:val="000000"/>
    </w:rPr>
  </w:style>
  <w:style w:type="paragraph" w:styleId="Revision">
    <w:name w:val="Revision"/>
    <w:hidden/>
    <w:uiPriority w:val="99"/>
    <w:semiHidden/>
    <w:rsid w:val="00F0264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89924">
      <w:bodyDiv w:val="1"/>
      <w:marLeft w:val="0"/>
      <w:marRight w:val="0"/>
      <w:marTop w:val="0"/>
      <w:marBottom w:val="0"/>
      <w:divBdr>
        <w:top w:val="none" w:sz="0" w:space="0" w:color="auto"/>
        <w:left w:val="none" w:sz="0" w:space="0" w:color="auto"/>
        <w:bottom w:val="none" w:sz="0" w:space="0" w:color="auto"/>
        <w:right w:val="none" w:sz="0" w:space="0" w:color="auto"/>
      </w:divBdr>
    </w:div>
    <w:div w:id="1493451957">
      <w:bodyDiv w:val="1"/>
      <w:marLeft w:val="0"/>
      <w:marRight w:val="0"/>
      <w:marTop w:val="0"/>
      <w:marBottom w:val="0"/>
      <w:divBdr>
        <w:top w:val="none" w:sz="0" w:space="0" w:color="auto"/>
        <w:left w:val="none" w:sz="0" w:space="0" w:color="auto"/>
        <w:bottom w:val="none" w:sz="0" w:space="0" w:color="auto"/>
        <w:right w:val="none" w:sz="0" w:space="0" w:color="auto"/>
      </w:divBdr>
    </w:div>
    <w:div w:id="1826046517">
      <w:bodyDiv w:val="1"/>
      <w:marLeft w:val="0"/>
      <w:marRight w:val="0"/>
      <w:marTop w:val="0"/>
      <w:marBottom w:val="0"/>
      <w:divBdr>
        <w:top w:val="none" w:sz="0" w:space="0" w:color="auto"/>
        <w:left w:val="none" w:sz="0" w:space="0" w:color="auto"/>
        <w:bottom w:val="none" w:sz="0" w:space="0" w:color="auto"/>
        <w:right w:val="none" w:sz="0" w:space="0" w:color="auto"/>
      </w:divBdr>
    </w:div>
    <w:div w:id="1964581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715</ap:Words>
  <ap:Characters>4080</ap:Characters>
  <ap:DocSecurity>0</ap:DocSecurity>
  <ap:Lines>34</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Parlement - Kamerbrief over afhandeling moties nationale veiligheidsrisico's van slimme (elektrische) voertuigen</vt:lpstr>
      <vt:lpstr>Brief aan Parlement - Kamerbrief over afhandeling moties nationale veiligheidsrisico's van slimme (elektrische) voertuigen</vt:lpstr>
    </vt:vector>
  </ap:TitlesOfParts>
  <ap:LinksUpToDate>false</ap:LinksUpToDate>
  <ap:CharactersWithSpaces>4786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2026-03-12T13:45:00.0000000Z</lastPrinted>
  <dcterms:created xsi:type="dcterms:W3CDTF">2026-03-26T15:03:00.0000000Z</dcterms:created>
  <dcterms:modified xsi:type="dcterms:W3CDTF">2026-03-26T15:03:00.0000000Z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over afhandeling moties nationale veiligheidsrisico's van slimme (elektrische) voertuigen</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M.L. Porte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