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3576E" w:rsidRDefault="00CB1B3A" w14:paraId="53A1CF0F" w14:textId="77777777">
      <w:r>
        <w:t>Geachte Voorzitter,</w:t>
      </w:r>
      <w:r>
        <w:br/>
      </w:r>
    </w:p>
    <w:p w:rsidR="00AB3FB7" w:rsidP="00C3576E" w:rsidRDefault="00AB3FB7" w14:paraId="2ED505E3" w14:textId="1872702E">
      <w:r>
        <w:t>Hierbij zend ik u</w:t>
      </w:r>
      <w:r w:rsidR="25519FDE">
        <w:t>, mede namens de staatssecretaris van Klimaat en Groene Groei,</w:t>
      </w:r>
      <w:r>
        <w:t xml:space="preserve"> de antwoorden op de vragen van het lid Dassen (Volt) over het conceptakkoord met Tata Steel en de vraagtekens bij de daadwerkelijke klimaatwinst van de miljarden staatssubsidie (</w:t>
      </w:r>
      <w:r w:rsidR="00C3576E">
        <w:t xml:space="preserve">kenmerk </w:t>
      </w:r>
      <w:r>
        <w:t xml:space="preserve">2026Z01793, ingezonden 29 januari 2026). </w:t>
      </w:r>
    </w:p>
    <w:p w:rsidR="0029019C" w:rsidP="00C3576E" w:rsidRDefault="0029019C" w14:paraId="53BDA651" w14:textId="77777777"/>
    <w:p w:rsidR="00AB3FB7" w:rsidP="00C3576E" w:rsidRDefault="00AB3FB7" w14:paraId="0FA3C6AF" w14:textId="77777777"/>
    <w:p w:rsidR="00AB3FB7" w:rsidP="00C3576E" w:rsidRDefault="00AB3FB7" w14:paraId="797476B6" w14:textId="77777777"/>
    <w:p w:rsidR="00AB3FB7" w:rsidP="00C3576E" w:rsidRDefault="00AB3FB7" w14:paraId="2134AA4E" w14:textId="77777777"/>
    <w:p w:rsidRPr="00AB3FB7" w:rsidR="00AB3FB7" w:rsidP="00C3576E" w:rsidRDefault="00AB3FB7" w14:paraId="57B92A4D" w14:textId="37DEDCD3">
      <w:r w:rsidRPr="00AB3FB7">
        <w:t xml:space="preserve">Stientje van Veldhoven-van der Meer </w:t>
      </w:r>
    </w:p>
    <w:p w:rsidRPr="00AB3FB7" w:rsidR="00AB3FB7" w:rsidP="00C3576E" w:rsidRDefault="00AB3FB7" w14:paraId="7598A177" w14:textId="77777777">
      <w:r w:rsidRPr="00AB3FB7">
        <w:t>Minister van Klimaat en Groene Groei</w:t>
      </w:r>
    </w:p>
    <w:p w:rsidRPr="00747885" w:rsidR="00AB3FB7" w:rsidP="00C3576E" w:rsidRDefault="00AB3FB7" w14:paraId="3C34A809" w14:textId="77777777"/>
    <w:p w:rsidR="00EF6D37" w:rsidP="00C3576E" w:rsidRDefault="00EF6D37" w14:paraId="2DA2457F" w14:textId="77777777">
      <w:pPr>
        <w:rPr>
          <w:b/>
        </w:rPr>
      </w:pPr>
    </w:p>
    <w:p w:rsidR="00EF6D37" w:rsidP="00C3576E" w:rsidRDefault="00EF6D37" w14:paraId="4550EB55" w14:textId="77777777">
      <w:pPr>
        <w:rPr>
          <w:b/>
        </w:rPr>
      </w:pPr>
    </w:p>
    <w:p w:rsidR="00225675" w:rsidP="00C3576E" w:rsidRDefault="00CB1B3A" w14:paraId="4C60FFAF" w14:textId="77777777">
      <w:pPr>
        <w:rPr>
          <w:b/>
        </w:rPr>
      </w:pPr>
      <w:r>
        <w:rPr>
          <w:b/>
        </w:rPr>
        <w:br w:type="page"/>
      </w:r>
    </w:p>
    <w:p w:rsidR="00DE546D" w:rsidP="00C3576E" w:rsidRDefault="00AB3FB7" w14:paraId="3F6CF08B" w14:textId="77F3C3D1">
      <w:pPr>
        <w:rPr>
          <w:b/>
          <w:bCs/>
        </w:rPr>
      </w:pPr>
      <w:r w:rsidRPr="01E1EC2F">
        <w:rPr>
          <w:b/>
          <w:bCs/>
        </w:rPr>
        <w:t>2026Z01793</w:t>
      </w:r>
    </w:p>
    <w:p w:rsidR="00B919AD" w:rsidP="00C3576E" w:rsidRDefault="00B919AD" w14:paraId="703BD3BD" w14:textId="77777777">
      <w:pPr>
        <w:rPr>
          <w:rStyle w:val="Zwaar"/>
          <w:b w:val="0"/>
          <w:bCs w:val="0"/>
        </w:rPr>
      </w:pPr>
    </w:p>
    <w:p w:rsidR="00AB3FB7" w:rsidP="00C3576E" w:rsidRDefault="00AB3FB7" w14:paraId="18E681CF" w14:textId="77777777">
      <w:r w:rsidRPr="00A9108E">
        <w:t>1</w:t>
      </w:r>
      <w:r w:rsidRPr="00A9108E">
        <w:rPr>
          <w:b/>
        </w:rPr>
        <w:br/>
      </w:r>
      <w:r w:rsidRPr="00A9108E">
        <w:t>Bent u bekend met de berichtgeving waarin experts grote vraagtekens plaatsen bij de klimaatwinst van de twee miljard euro subsidie aan Tata Steel, en hoe beoordeelt u deze kritiek?</w:t>
      </w:r>
    </w:p>
    <w:p w:rsidRPr="00A9108E" w:rsidR="00AB3FB7" w:rsidP="00C3576E" w:rsidRDefault="00AB3FB7" w14:paraId="5E0E9500" w14:textId="77777777"/>
    <w:p w:rsidRPr="00A9108E" w:rsidR="00AB3FB7" w:rsidP="00C3576E" w:rsidRDefault="00AB3FB7" w14:paraId="707700AE" w14:textId="77777777">
      <w:r>
        <w:t>Antwoord</w:t>
      </w:r>
    </w:p>
    <w:p w:rsidR="00AB3FB7" w:rsidP="00C3576E" w:rsidRDefault="003500CE" w14:paraId="206211B1" w14:textId="4299C5C1">
      <w:r>
        <w:t xml:space="preserve">Ik ben bekend met de nieuwsberichten. </w:t>
      </w:r>
      <w:r w:rsidR="00AB3FB7">
        <w:t>De kritiek in de berichtgeving ziet niet op de verduurzaming en de vermindering van de CO</w:t>
      </w:r>
      <w:r w:rsidRPr="00B919AD" w:rsidR="00AB3FB7">
        <w:rPr>
          <w:vertAlign w:val="subscript"/>
        </w:rPr>
        <w:t>2</w:t>
      </w:r>
      <w:r w:rsidR="00AB3FB7">
        <w:t xml:space="preserve">-emissies die ontstaan door de staalproductie van Tata Steel Nederland (TSN) zelf (zogenaamde scope 1 emissies), maar op de indirecte emissies die als gevolg van het Groen Staal Plan elders zouden kunnen ontstaan bij de inkoop van energie (scope 2) of de indirecte emissies in de keten (scope 3). </w:t>
      </w:r>
    </w:p>
    <w:p w:rsidR="00AB3FB7" w:rsidP="00C3576E" w:rsidRDefault="00AB3FB7" w14:paraId="6D4D7E27" w14:textId="77777777"/>
    <w:p w:rsidR="00AB3FB7" w:rsidP="00C3576E" w:rsidRDefault="00AB3FB7" w14:paraId="50ED899D" w14:textId="5AA01580">
      <w:r>
        <w:t xml:space="preserve">De maatwerkaanpak van het kabinet </w:t>
      </w:r>
      <w:r w:rsidR="003500CE">
        <w:t>heeft als doel</w:t>
      </w:r>
      <w:r>
        <w:t xml:space="preserve"> om een forse uitstootvermindering te realiseren in het productieproces van een bedrijf zelf, zo ook bij TSN. De huidige plannen van TSN leiden </w:t>
      </w:r>
      <w:r w:rsidR="00F026DE">
        <w:t xml:space="preserve">naar verwachting </w:t>
      </w:r>
      <w:r>
        <w:t>tot een vermindering van de CO</w:t>
      </w:r>
      <w:r w:rsidRPr="00B919AD">
        <w:rPr>
          <w:vertAlign w:val="subscript"/>
        </w:rPr>
        <w:t>2</w:t>
      </w:r>
      <w:r>
        <w:t>-uitstoot met 5,4 tot 7,2 megaton per jaar. Dat is ongeveer 5 % van de totale Nederlandse uitstoot. Daarnaast zorgen de plannen voor een forse verbetering van de leefomgeving en gezondheid in de regio. Een maatwerkafspraak is de beste manier om zo snel mogelijk te komen tot vermindering van CO</w:t>
      </w:r>
      <w:r w:rsidRPr="00B919AD">
        <w:rPr>
          <w:vertAlign w:val="subscript"/>
        </w:rPr>
        <w:t>2</w:t>
      </w:r>
      <w:r>
        <w:t xml:space="preserve">-uitstoot, verbetering van de leefomgeving en gezondheid in de regio en de staalindustrie te behouden. </w:t>
      </w:r>
      <w:r w:rsidR="00812A3A">
        <w:t xml:space="preserve">Een belangrijke overweging hierbij is dat TSN zonder maatwerkafspraak deze investeringen in verduurzaming </w:t>
      </w:r>
      <w:r w:rsidR="0803A441">
        <w:t xml:space="preserve">en verbetering van de gezondheid en leefomgeving </w:t>
      </w:r>
      <w:r w:rsidR="00812A3A">
        <w:t xml:space="preserve">niet zal doen in de komende jaren </w:t>
      </w:r>
      <w:r w:rsidR="38654277">
        <w:t>en/</w:t>
      </w:r>
      <w:r w:rsidR="00812A3A">
        <w:t>of</w:t>
      </w:r>
      <w:r w:rsidR="001F25DA">
        <w:t xml:space="preserve"> </w:t>
      </w:r>
      <w:r w:rsidR="00812A3A">
        <w:t xml:space="preserve">de </w:t>
      </w:r>
      <w:r w:rsidR="194B23E5">
        <w:t>staal</w:t>
      </w:r>
      <w:r w:rsidR="00812A3A">
        <w:t xml:space="preserve">productie </w:t>
      </w:r>
      <w:r w:rsidR="44E4D99A">
        <w:t xml:space="preserve">op termijn </w:t>
      </w:r>
      <w:r w:rsidR="00812A3A">
        <w:t xml:space="preserve">verplaatst naar het buitenland. Het gevolg hiervan is dat </w:t>
      </w:r>
      <w:r w:rsidR="411EACA6">
        <w:t xml:space="preserve">de gezondheidsproblematiek blijft voortbestaan, </w:t>
      </w:r>
      <w:r w:rsidR="00812A3A">
        <w:t>het klimaat niet verbetert of juist verslechtert</w:t>
      </w:r>
      <w:r w:rsidR="1ED46437">
        <w:t xml:space="preserve"> vanwege de verplaatsing van de uitstoot</w:t>
      </w:r>
      <w:r w:rsidR="00812A3A">
        <w:t xml:space="preserve"> en een bedrijf verdwijnt dat belangrijk is voor de</w:t>
      </w:r>
      <w:r w:rsidR="3152076E">
        <w:t xml:space="preserve"> economie en</w:t>
      </w:r>
      <w:r w:rsidR="00812A3A">
        <w:t xml:space="preserve"> strategische autonomie</w:t>
      </w:r>
      <w:r w:rsidR="2BB8F553">
        <w:t xml:space="preserve"> van Nederland en Europa</w:t>
      </w:r>
      <w:r w:rsidR="00812A3A">
        <w:t xml:space="preserve">.    </w:t>
      </w:r>
      <w:r>
        <w:t xml:space="preserve"> </w:t>
      </w:r>
    </w:p>
    <w:p w:rsidR="00AB3FB7" w:rsidP="00C3576E" w:rsidRDefault="00AB3FB7" w14:paraId="43C53828" w14:textId="49C28E15">
      <w:r>
        <w:t>Het kabinet reageert in het vervolg van deze beantwoording op de specifieke kritiek over de impact op indirecte emissies</w:t>
      </w:r>
      <w:r w:rsidR="003500CE">
        <w:t xml:space="preserve"> en het beleid wat het kabinet daar separaat op voert.</w:t>
      </w:r>
    </w:p>
    <w:p w:rsidR="00AB3FB7" w:rsidP="00C3576E" w:rsidRDefault="00AB3FB7" w14:paraId="0008347F" w14:textId="77777777"/>
    <w:p w:rsidR="00AB3FB7" w:rsidP="00C3576E" w:rsidRDefault="00AB3FB7" w14:paraId="55D29712" w14:textId="77777777">
      <w:r>
        <w:t>2</w:t>
      </w:r>
    </w:p>
    <w:p w:rsidR="00AB3FB7" w:rsidP="00C3576E" w:rsidRDefault="00AB3FB7" w14:paraId="0AFA6A75" w14:textId="77777777">
      <w:r w:rsidRPr="00A9108E">
        <w:t>Deelt u de zorg van experts dat de deal weliswaar tot minder CO</w:t>
      </w:r>
      <w:r w:rsidRPr="00B919AD">
        <w:rPr>
          <w:vertAlign w:val="subscript"/>
        </w:rPr>
        <w:t>2</w:t>
      </w:r>
      <w:r w:rsidRPr="00A9108E">
        <w:t>-uitstoot binnen Nederland leidt, maar dat een deel van die uitstoot wordt verplaatst naar het buitenland? Kunt u dit toelichten?</w:t>
      </w:r>
    </w:p>
    <w:p w:rsidR="00AB3FB7" w:rsidP="00C3576E" w:rsidRDefault="00AB3FB7" w14:paraId="43D2AE3F" w14:textId="77777777"/>
    <w:p w:rsidR="00AB3FB7" w:rsidP="00C3576E" w:rsidRDefault="00AB3FB7" w14:paraId="04737305" w14:textId="77777777">
      <w:r>
        <w:t>Antwoord</w:t>
      </w:r>
    </w:p>
    <w:p w:rsidR="00AB3FB7" w:rsidP="00C3576E" w:rsidRDefault="00AB3FB7" w14:paraId="5C1028E8" w14:textId="5E5C4F6C">
      <w:pPr>
        <w:rPr>
          <w:rFonts w:eastAsia="Verdana" w:cs="Verdana"/>
        </w:rPr>
      </w:pPr>
      <w:r w:rsidRPr="43D8DBE5">
        <w:rPr>
          <w:rFonts w:eastAsia="Verdana" w:cs="Verdana"/>
        </w:rPr>
        <w:t>Zoals ook aangegeven in het antwoord op vraag 1 richt het kabinet zich met de maatwerkafspraak op het realiseren van maatregelen die bijdragen aan de directe vermindering van CO</w:t>
      </w:r>
      <w:r w:rsidRPr="00B919AD">
        <w:rPr>
          <w:rFonts w:eastAsia="Verdana" w:cs="Verdana"/>
          <w:vertAlign w:val="subscript"/>
        </w:rPr>
        <w:t>2</w:t>
      </w:r>
      <w:r w:rsidRPr="43D8DBE5">
        <w:rPr>
          <w:rFonts w:eastAsia="Verdana" w:cs="Verdana"/>
        </w:rPr>
        <w:t xml:space="preserve">-uitstoot van de industrie in Nederland. Als onderdeel van de vergroening van de Nederlandse productie kunnen elders extra activiteiten zoals de productie van LNG plaatsvinden die broeikasgassen uitstoten. Het gebruik van aardgas is echter een tussenstap in de verduurzamingsplannen van TSN: op termijn zal deze vervangen worden door groen gas of </w:t>
      </w:r>
      <w:r w:rsidR="00D30C24">
        <w:rPr>
          <w:rFonts w:eastAsia="Verdana" w:cs="Verdana"/>
        </w:rPr>
        <w:t xml:space="preserve">groene </w:t>
      </w:r>
      <w:r w:rsidRPr="43D8DBE5">
        <w:rPr>
          <w:rFonts w:eastAsia="Verdana" w:cs="Verdana"/>
        </w:rPr>
        <w:t xml:space="preserve">waterstof. </w:t>
      </w:r>
      <w:r w:rsidR="003500CE">
        <w:rPr>
          <w:rFonts w:eastAsia="Verdana" w:cs="Verdana"/>
        </w:rPr>
        <w:t xml:space="preserve">Dat laat onverlet dat het kabinet zich ook inzet om de emissies elders op de wereld te beperken als gevolg van de winning en het transport van gas. </w:t>
      </w:r>
      <w:r w:rsidR="00037049">
        <w:rPr>
          <w:rFonts w:eastAsia="Verdana" w:cs="Verdana"/>
        </w:rPr>
        <w:t xml:space="preserve">Hiervoor werken we in EU-verband onder andere </w:t>
      </w:r>
      <w:r w:rsidRPr="43D8DBE5">
        <w:rPr>
          <w:rFonts w:eastAsia="Verdana" w:cs="Verdana"/>
        </w:rPr>
        <w:t xml:space="preserve">aan een monitoringsysteem waardoor meer zicht komt en beleid kan worden gevoerd op gas dat uit het buitenland op de markt in de EU wordt gebracht. </w:t>
      </w:r>
    </w:p>
    <w:p w:rsidR="00AB3FB7" w:rsidP="00C3576E" w:rsidRDefault="00AB3FB7" w14:paraId="72FE3EEB" w14:textId="77777777">
      <w:pPr>
        <w:rPr>
          <w:rFonts w:eastAsia="Verdana" w:cs="Verdana"/>
        </w:rPr>
      </w:pPr>
      <w:r>
        <w:br/>
        <w:t>3</w:t>
      </w:r>
    </w:p>
    <w:p w:rsidR="00AB3FB7" w:rsidP="00C3576E" w:rsidRDefault="00AB3FB7" w14:paraId="1EC0BA21" w14:textId="77777777">
      <w:r w:rsidRPr="00A9108E">
        <w:t>Kunt u de berekeningen delen die aantonen hoeveel CO</w:t>
      </w:r>
      <w:r w:rsidRPr="00B919AD">
        <w:rPr>
          <w:vertAlign w:val="subscript"/>
        </w:rPr>
        <w:t>2</w:t>
      </w:r>
      <w:r w:rsidRPr="00A9108E">
        <w:t>-reductie de subsidiëring van Tata Steel daadwerkelijk wereldwijd oplevert, rekening houdend met uitstoot die buiten Nederland plaatsvindt?</w:t>
      </w:r>
    </w:p>
    <w:p w:rsidR="00AB3FB7" w:rsidP="00C3576E" w:rsidRDefault="00AB3FB7" w14:paraId="1EF24B6D" w14:textId="77777777"/>
    <w:p w:rsidR="00AB3FB7" w:rsidP="00C3576E" w:rsidRDefault="00AB3FB7" w14:paraId="4627C531" w14:textId="44918D9B">
      <w:r>
        <w:t>Antwoord</w:t>
      </w:r>
    </w:p>
    <w:p w:rsidR="00AB3FB7" w:rsidP="00C3576E" w:rsidRDefault="00AB3FB7" w14:paraId="7EC4C808" w14:textId="123C1771">
      <w:r>
        <w:t>Bij de Kamerbrief</w:t>
      </w:r>
      <w:r w:rsidRPr="3879FC52">
        <w:rPr>
          <w:rStyle w:val="Voetnootmarkering"/>
        </w:rPr>
        <w:footnoteReference w:id="1"/>
      </w:r>
      <w:r>
        <w:t xml:space="preserve"> over de ondertekening van de Joint Letter of Intent (JLoI) heeft het kabinet ook de berekeningen van de CO</w:t>
      </w:r>
      <w:r w:rsidRPr="00B919AD">
        <w:rPr>
          <w:vertAlign w:val="subscript"/>
        </w:rPr>
        <w:t>2</w:t>
      </w:r>
      <w:r>
        <w:t>-reductie gepubliceerd</w:t>
      </w:r>
      <w:r w:rsidRPr="3879FC52">
        <w:rPr>
          <w:rStyle w:val="Voetnootmarkering"/>
        </w:rPr>
        <w:footnoteReference w:id="2"/>
      </w:r>
      <w:r>
        <w:t>. Het gaat hier om de directe CO</w:t>
      </w:r>
      <w:r w:rsidRPr="00B919AD">
        <w:rPr>
          <w:vertAlign w:val="subscript"/>
        </w:rPr>
        <w:t>2</w:t>
      </w:r>
      <w:r>
        <w:t>-reductie van TSN zelf. De mogelijke gevolgen voor scope 2 en scope 3-emissies zijn geen doel op zich bij de JLoI en de uiteindelijke maatwerkafspraak, maar worden waar mogelijk meegenomen</w:t>
      </w:r>
      <w:r w:rsidR="005867EF">
        <w:t>.</w:t>
      </w:r>
    </w:p>
    <w:p w:rsidR="00AB3FB7" w:rsidP="00C3576E" w:rsidRDefault="00AB3FB7" w14:paraId="5E3AD5F0" w14:textId="77777777"/>
    <w:p w:rsidR="00AB3FB7" w:rsidP="00C3576E" w:rsidRDefault="00AB3FB7" w14:paraId="122E3BEC" w14:textId="77777777">
      <w:r>
        <w:t>4</w:t>
      </w:r>
    </w:p>
    <w:p w:rsidR="00AB3FB7" w:rsidP="00C3576E" w:rsidRDefault="00AB3FB7" w14:paraId="12BD7726" w14:textId="77777777">
      <w:r>
        <w:t>Herkent u de analyse dat de overstap van kolen naar aardgas problematisch is vanwege de verwachte toename van Amerikaans schaliegas op de Europese markt, waarbij veel methaan weglekt dat 25 keer zo sterk is als CO</w:t>
      </w:r>
      <w:r w:rsidRPr="00B919AD">
        <w:rPr>
          <w:vertAlign w:val="subscript"/>
        </w:rPr>
        <w:t>2</w:t>
      </w:r>
      <w:r>
        <w:t>? Hoe weegt u dit mee in uw beoordeling van de klimaatwinst?</w:t>
      </w:r>
    </w:p>
    <w:p w:rsidR="00AB3FB7" w:rsidP="00C3576E" w:rsidRDefault="00AB3FB7" w14:paraId="099098F1" w14:textId="77777777"/>
    <w:p w:rsidR="00AB3FB7" w:rsidP="00C3576E" w:rsidRDefault="00AB3FB7" w14:paraId="0B480881" w14:textId="77777777">
      <w:r>
        <w:t>Antwoord</w:t>
      </w:r>
    </w:p>
    <w:p w:rsidR="00AB3FB7" w:rsidP="00C3576E" w:rsidRDefault="00161B1F" w14:paraId="657B041E" w14:textId="529D36F6">
      <w:r>
        <w:t>De</w:t>
      </w:r>
      <w:r w:rsidR="00AB3FB7">
        <w:t xml:space="preserve"> impact van aardgas op de CO</w:t>
      </w:r>
      <w:r w:rsidRPr="00B919AD" w:rsidR="00AB3FB7">
        <w:rPr>
          <w:vertAlign w:val="subscript"/>
        </w:rPr>
        <w:t>2</w:t>
      </w:r>
      <w:r w:rsidR="00AB3FB7">
        <w:t>-uitstoot en leefomgeving</w:t>
      </w:r>
      <w:r w:rsidR="00525119">
        <w:t xml:space="preserve"> is</w:t>
      </w:r>
      <w:r w:rsidR="00AB3FB7">
        <w:t xml:space="preserve"> aanzienlijk beter dan </w:t>
      </w:r>
      <w:r w:rsidR="00D30C24">
        <w:t xml:space="preserve">van </w:t>
      </w:r>
      <w:r w:rsidR="00AB3FB7">
        <w:t xml:space="preserve">kolen. De emissies van het primaire staalproductieproces van TSN (scope 1 en 2) nemen </w:t>
      </w:r>
      <w:r w:rsidR="00037049">
        <w:t xml:space="preserve">daarom </w:t>
      </w:r>
      <w:r w:rsidR="00AB3FB7">
        <w:t xml:space="preserve">al zeer sterk af bij een overgang van het huidige kolen-gebaseerde proces naar de tussenfase van het DRP-EAF proces op aardgas. </w:t>
      </w:r>
      <w:r w:rsidR="00525119">
        <w:t xml:space="preserve">Daarnaast geldt </w:t>
      </w:r>
      <w:r w:rsidR="4AEAEA9E">
        <w:t xml:space="preserve">dat </w:t>
      </w:r>
      <w:r w:rsidR="00525119">
        <w:t xml:space="preserve">ook </w:t>
      </w:r>
      <w:r w:rsidRPr="57E8D91B" w:rsidR="00525119">
        <w:rPr>
          <w:rFonts w:eastAsia="Verdana" w:cs="Verdana"/>
        </w:rPr>
        <w:t xml:space="preserve">bij de winning van kolen voor staalproductie significante methaanemissies kunnen ontstaan. Deze emissies zijn afhankelijk per specifieke kolenmijn. </w:t>
      </w:r>
      <w:r w:rsidR="00525119">
        <w:t>De</w:t>
      </w:r>
      <w:r w:rsidR="00AB3FB7">
        <w:t xml:space="preserve"> tussenfase </w:t>
      </w:r>
      <w:r w:rsidR="00525119">
        <w:t xml:space="preserve">met aardgas leidt dus al tot een </w:t>
      </w:r>
      <w:r w:rsidR="00AB3FB7">
        <w:t>significante vermindering van de CO</w:t>
      </w:r>
      <w:r w:rsidRPr="00B919AD" w:rsidR="00AB3FB7">
        <w:rPr>
          <w:vertAlign w:val="subscript"/>
        </w:rPr>
        <w:t>2</w:t>
      </w:r>
      <w:r w:rsidR="00AB3FB7">
        <w:t>-uitstoot</w:t>
      </w:r>
      <w:r w:rsidR="00525119">
        <w:t xml:space="preserve"> ten opzichte van de bestaande situatie</w:t>
      </w:r>
      <w:r w:rsidR="00AB3FB7">
        <w:t xml:space="preserve">.  </w:t>
      </w:r>
    </w:p>
    <w:p w:rsidR="00E736E9" w:rsidP="00C3576E" w:rsidRDefault="00E736E9" w14:paraId="2A3569C0" w14:textId="77777777"/>
    <w:p w:rsidR="00AB3FB7" w:rsidP="00C3576E" w:rsidRDefault="0040712B" w14:paraId="3B59E923" w14:textId="494CFF98">
      <w:pPr>
        <w:rPr>
          <w:rFonts w:eastAsia="Verdana" w:cs="Verdana"/>
        </w:rPr>
      </w:pPr>
      <w:r>
        <w:t>Aardgas</w:t>
      </w:r>
      <w:r w:rsidR="00AB3FB7">
        <w:t xml:space="preserve"> wordt verhandeld op de groothandelsmarkt. Het aardgas dat hier wordt verhandeld is </w:t>
      </w:r>
      <w:r w:rsidRPr="01E1EC2F" w:rsidR="00AB3FB7">
        <w:t>afkomstig van verschillende bronnen: aard</w:t>
      </w:r>
      <w:r w:rsidRPr="09D8E9A2" w:rsidR="00AB3FB7">
        <w:rPr>
          <w:rFonts w:eastAsia="Verdana" w:cs="Verdana"/>
        </w:rPr>
        <w:t>gas dat in Nederland is geproduceerd, aardgas dat is geïmporteerd via pijpleidingen (uit Noorwegen, het Verenigd Koninkrijk of België) of aard</w:t>
      </w:r>
      <w:r w:rsidRPr="625C646C" w:rsidR="00AB3FB7">
        <w:rPr>
          <w:rFonts w:eastAsia="Verdana" w:cs="Verdana"/>
        </w:rPr>
        <w:t xml:space="preserve">gas dat is geïmporteerd in de vorm van LNG, bijvoorbeeld uit de Verenigde Staten. </w:t>
      </w:r>
      <w:r w:rsidRPr="09D8E9A2" w:rsidR="00AB3FB7">
        <w:rPr>
          <w:rFonts w:eastAsia="Verdana" w:cs="Verdana"/>
        </w:rPr>
        <w:t>Het valt dus niet op voorhand te zeggen of TSN aardgas</w:t>
      </w:r>
      <w:r w:rsidRPr="01E1EC2F" w:rsidR="00AB3FB7">
        <w:rPr>
          <w:rFonts w:eastAsia="Verdana" w:cs="Verdana"/>
        </w:rPr>
        <w:t xml:space="preserve"> zal verkrijgen uit het buitenland en zo ja, ook niet uit welk specifiek land. </w:t>
      </w:r>
    </w:p>
    <w:p w:rsidR="00AB3FB7" w:rsidP="00C3576E" w:rsidRDefault="00AB3FB7" w14:paraId="24A3A025" w14:textId="77777777">
      <w:pPr>
        <w:rPr>
          <w:rFonts w:eastAsia="Verdana" w:cs="Verdana"/>
        </w:rPr>
      </w:pPr>
    </w:p>
    <w:p w:rsidR="00AB3FB7" w:rsidP="00C3576E" w:rsidRDefault="00AB3FB7" w14:paraId="34436FDA" w14:textId="45406407">
      <w:r>
        <w:t>Het doel is om uiteindelijk over te stappen op groene waterstof of groen gas. Ondertussen werken alle EU-lidstaten aan de implementatie van de methaanverordening. Deze verordening heeft als doel om de methaanuitstoot in de fossiele sector beter te monitoren en uiteindelijk te reduceren. Dit geldt ook voor ruwe olie, aardgas (incl. LNG) en steenkool die in de EU op de markt worden gebracht. De Europese Commissie streeft ernaar om uiterlijk in juni 2030 maximale methaanintensiteitswaarden vast te stellen voor ruwe olie, aardgas en steenkool die in de EU in de handel worden gebracht. Aardgas dat door TSN ingekocht zal gaan worden, zal aan deze strengere eisen uit de verordening moeten voldoen.</w:t>
      </w:r>
    </w:p>
    <w:p w:rsidR="00AB3FB7" w:rsidP="00C3576E" w:rsidRDefault="00AB3FB7" w14:paraId="1A26D1D1" w14:textId="77777777"/>
    <w:p w:rsidR="00AB3FB7" w:rsidP="00C3576E" w:rsidRDefault="00AB3FB7" w14:paraId="5E4C0DAD" w14:textId="77777777">
      <w:r>
        <w:t>5</w:t>
      </w:r>
    </w:p>
    <w:p w:rsidR="00AB3FB7" w:rsidP="00C3576E" w:rsidRDefault="00AB3FB7" w14:paraId="26B57C04" w14:textId="77777777">
      <w:r w:rsidRPr="00AD62D0">
        <w:t>Waarom worden er geen eisen gesteld aan de herkomst van het gas dat Tata Steel zal gebruiken? Bent u bereid alsnog dergelijke eisen op te nemen in de definitieve afspraken om te voorkomen dat wordt overgestapt op zeer vervuilend schaliegas?</w:t>
      </w:r>
    </w:p>
    <w:p w:rsidR="00AB3FB7" w:rsidP="00C3576E" w:rsidRDefault="00AB3FB7" w14:paraId="1B637AF3" w14:textId="77777777"/>
    <w:p w:rsidR="00AB3FB7" w:rsidP="00C3576E" w:rsidRDefault="00AB3FB7" w14:paraId="5270796B" w14:textId="77777777">
      <w:r>
        <w:t>Antwoord</w:t>
      </w:r>
    </w:p>
    <w:p w:rsidR="00AB3FB7" w:rsidP="00C3576E" w:rsidRDefault="00AB3FB7" w14:paraId="3FEEE01A" w14:textId="6469E20A">
      <w:r>
        <w:t>Zoals aangegeven in het antwoord op vraag 4 kan het kabinet vanwege de aard van de gasmarkt geen eisen stellen aan de herkomst van het aardgas dat TSN inkoopt. Een eventueel besluit op het instellen van beperkingen met betrekking tot de herkomst van aardgas kan alleen in internationaal verband en generiek plaatsvinden. De aardgasmarkt betreft een internationale groothandelsmarkt.</w:t>
      </w:r>
      <w:r w:rsidR="0040712B">
        <w:t xml:space="preserve"> Zoals ook aangegeven in het antwoord op vraag </w:t>
      </w:r>
      <w:r w:rsidR="001C3A17">
        <w:t>4</w:t>
      </w:r>
      <w:r w:rsidR="0040712B">
        <w:t xml:space="preserve"> streeft de Europese Commissie naar de implementatie van </w:t>
      </w:r>
      <w:r w:rsidR="001C3A17">
        <w:t>maximale</w:t>
      </w:r>
      <w:r w:rsidR="0040712B">
        <w:t xml:space="preserve"> methaanintensiteitswaarden voor onder andere schaliegas. </w:t>
      </w:r>
    </w:p>
    <w:p w:rsidR="00AB3FB7" w:rsidP="00C3576E" w:rsidRDefault="00AB3FB7" w14:paraId="4A18244E" w14:textId="77777777"/>
    <w:p w:rsidR="00AB3FB7" w:rsidP="00C3576E" w:rsidRDefault="00AB3FB7" w14:paraId="1B359C87" w14:textId="77777777">
      <w:r>
        <w:t>6</w:t>
      </w:r>
    </w:p>
    <w:p w:rsidR="00AB3FB7" w:rsidP="00C3576E" w:rsidRDefault="00AB3FB7" w14:paraId="72C2B8DD" w14:textId="77777777">
      <w:r w:rsidRPr="00AD62D0">
        <w:t>Deelt u de mening van methaanexpert Thomas Röckmann dat het niet verstandig is om twee miljard belastinggeld te investeren zonder goed te monitoren hoe groot de methaanlekkages zijn bij het gas dat Tata gebruikt? Zo ja, hoe gaat u deze monitoring waarborgen?</w:t>
      </w:r>
    </w:p>
    <w:p w:rsidR="00AB3FB7" w:rsidP="00C3576E" w:rsidRDefault="00AB3FB7" w14:paraId="333ADD9D" w14:textId="77777777"/>
    <w:p w:rsidR="00AB3FB7" w:rsidP="00C3576E" w:rsidRDefault="00AB3FB7" w14:paraId="74549617" w14:textId="77777777">
      <w:r>
        <w:t>Antwoord</w:t>
      </w:r>
    </w:p>
    <w:p w:rsidR="00AB3FB7" w:rsidP="00525119" w:rsidRDefault="00AB3FB7" w14:paraId="6C0EEA30" w14:textId="38959DF1">
      <w:pPr>
        <w:rPr>
          <w:rFonts w:eastAsia="Verdana" w:cs="Verdana"/>
        </w:rPr>
      </w:pPr>
      <w:r>
        <w:t xml:space="preserve">Het kabinet acht de </w:t>
      </w:r>
      <w:r w:rsidR="00D30C24">
        <w:t>maatwerkafspraken met TSN</w:t>
      </w:r>
      <w:r>
        <w:t xml:space="preserve"> noodzakelijk om </w:t>
      </w:r>
      <w:r w:rsidRPr="57E8D91B">
        <w:rPr>
          <w:rFonts w:eastAsia="Verdana" w:cs="Verdana"/>
        </w:rPr>
        <w:t>de impact op de leefomgeving en de gezondheid van de omwonenden op kortst mogelijke termijn terug te dringen en om tot een grote(re) reductie van de Nederlandse CO2-uitstoot te komen. De Adviescommissie Maatwerkafspraken Verduurzaming Industrie (AMVI) en de Expertgroep Gezondheid IJmond (Expertgroep) geven in hun advies over de JLoI aan dat de steun zeer kosteneffectief is, ook en in vergelijking met steunmaatregelen voor andere Europese staalproducenten. Zoals toegelicht in de beantwoording van vraag 2 is de maatwerkaanpak primair gericht op het verminderen van scope 1-emissies. Zoals aangegeven in de antwoorden op vraag 2 en 4 is monitoring van scope 2 en scope 3-emissies complex</w:t>
      </w:r>
      <w:r w:rsidRPr="57E8D91B" w:rsidR="00525119">
        <w:rPr>
          <w:rFonts w:eastAsia="Verdana" w:cs="Verdana"/>
        </w:rPr>
        <w:t xml:space="preserve">. Deze emissies treden op bij (internationale) ketenpartners en </w:t>
      </w:r>
      <w:r w:rsidRPr="57E8D91B" w:rsidR="3C67086B">
        <w:rPr>
          <w:rFonts w:eastAsia="Verdana" w:cs="Verdana"/>
        </w:rPr>
        <w:t xml:space="preserve">zijn het resultaat van </w:t>
      </w:r>
      <w:r w:rsidRPr="57E8D91B" w:rsidR="00525119">
        <w:rPr>
          <w:rFonts w:eastAsia="Verdana" w:cs="Verdana"/>
        </w:rPr>
        <w:t xml:space="preserve">handel op de wereldmarkt. Het beperken van deze emissies dient via generiek beleid plaats te vinden. Het kabinet werkt in </w:t>
      </w:r>
      <w:r w:rsidRPr="57E8D91B" w:rsidR="006D6942">
        <w:rPr>
          <w:rFonts w:eastAsia="Verdana" w:cs="Verdana"/>
        </w:rPr>
        <w:t>Europees verband</w:t>
      </w:r>
      <w:r w:rsidRPr="57E8D91B" w:rsidR="00525119">
        <w:rPr>
          <w:rFonts w:eastAsia="Verdana" w:cs="Verdana"/>
        </w:rPr>
        <w:t xml:space="preserve"> samen</w:t>
      </w:r>
      <w:r w:rsidRPr="57E8D91B" w:rsidR="006D6942">
        <w:rPr>
          <w:rFonts w:eastAsia="Verdana" w:cs="Verdana"/>
        </w:rPr>
        <w:t xml:space="preserve"> om hier stappen in te zetten. </w:t>
      </w:r>
    </w:p>
    <w:p w:rsidR="00AB3FB7" w:rsidP="00C3576E" w:rsidRDefault="00AB3FB7" w14:paraId="133B1AC4" w14:textId="77777777"/>
    <w:p w:rsidR="00AB3FB7" w:rsidP="00C3576E" w:rsidRDefault="00AB3FB7" w14:paraId="5D7E9742" w14:textId="77777777">
      <w:r>
        <w:t>7</w:t>
      </w:r>
    </w:p>
    <w:p w:rsidR="00AB3FB7" w:rsidP="00C3576E" w:rsidRDefault="00AB3FB7" w14:paraId="2BA63283" w14:textId="5FE01E9F">
      <w:r w:rsidRPr="00AD62D0">
        <w:t>Hoe beoordeelt u de realistische haalbaarheid van de geplande overstap naar groen gas rond 2035, gezien de huidige markt voor groen gas lang niet groot genoeg is en Tata 1,5 keer zoveel nodig heeft als wat er nu in heel Nederland beschikbaar is?</w:t>
      </w:r>
    </w:p>
    <w:p w:rsidR="00AB3FB7" w:rsidP="00C3576E" w:rsidRDefault="00AB3FB7" w14:paraId="1CF3F43F" w14:textId="77777777"/>
    <w:p w:rsidR="00AB3FB7" w:rsidP="00C3576E" w:rsidRDefault="00AB3FB7" w14:paraId="36A57549" w14:textId="459FC276">
      <w:r>
        <w:t>Antwoord</w:t>
      </w:r>
    </w:p>
    <w:p w:rsidR="00AB3FB7" w:rsidP="00C3576E" w:rsidRDefault="00AB3FB7" w14:paraId="544162E3" w14:textId="3080D3CD">
      <w:pPr>
        <w:rPr>
          <w:rFonts w:eastAsia="Verdana" w:cs="Verdana"/>
          <w:vertAlign w:val="superscript"/>
        </w:rPr>
      </w:pPr>
      <w:r w:rsidRPr="3879FC52">
        <w:rPr>
          <w:rFonts w:eastAsia="Verdana" w:cs="Verdana"/>
        </w:rPr>
        <w:t xml:space="preserve">De Europese en wereldwijde </w:t>
      </w:r>
      <w:r w:rsidRPr="0DA93B42">
        <w:rPr>
          <w:rFonts w:eastAsia="Verdana" w:cs="Verdana"/>
        </w:rPr>
        <w:t xml:space="preserve">groen </w:t>
      </w:r>
      <w:r w:rsidRPr="3879FC52">
        <w:rPr>
          <w:rFonts w:eastAsia="Verdana" w:cs="Verdana"/>
        </w:rPr>
        <w:t xml:space="preserve">gas markt is volop in ontwikkeling. De Nederlandse overheid draagt actief bij aan deze ontwikkeling met beleid gericht op het stimuleren van de </w:t>
      </w:r>
      <w:r w:rsidRPr="0DA93B42">
        <w:rPr>
          <w:rFonts w:eastAsia="Verdana" w:cs="Verdana"/>
        </w:rPr>
        <w:t xml:space="preserve">groen </w:t>
      </w:r>
      <w:r w:rsidRPr="3879FC52">
        <w:rPr>
          <w:rFonts w:eastAsia="Verdana" w:cs="Verdana"/>
        </w:rPr>
        <w:t xml:space="preserve">gas markt, zowel aan de afname kant middels de bijmengverplichting voor ETS2 sectoren als aan de productiekant met de SDE++ en de DEI+. Ook grote industriële afnemers, zoals TSN, dragen bij aan de opschaling van de markt doordat zij lange-termijn afnamezekerheid kunnen bieden aan producenten van </w:t>
      </w:r>
      <w:r w:rsidRPr="0DA93B42">
        <w:rPr>
          <w:rFonts w:eastAsia="Verdana" w:cs="Verdana"/>
        </w:rPr>
        <w:t>groen gas</w:t>
      </w:r>
      <w:r w:rsidRPr="3879FC52">
        <w:rPr>
          <w:rFonts w:eastAsia="Verdana" w:cs="Verdana"/>
        </w:rPr>
        <w:t xml:space="preserve">. Ook de AMVI, samen met de Expertgroep, stelt in haar </w:t>
      </w:r>
      <w:r w:rsidRPr="09D8E9A2">
        <w:rPr>
          <w:rFonts w:eastAsia="Verdana" w:cs="Verdana"/>
        </w:rPr>
        <w:t>advies</w:t>
      </w:r>
      <w:r w:rsidRPr="09D8E9A2">
        <w:rPr>
          <w:rStyle w:val="Voetnootmarkering"/>
          <w:rFonts w:eastAsia="Verdana" w:cs="Verdana"/>
        </w:rPr>
        <w:footnoteReference w:id="3"/>
      </w:r>
      <w:r w:rsidRPr="3879FC52">
        <w:rPr>
          <w:rFonts w:eastAsia="Verdana" w:cs="Verdana"/>
        </w:rPr>
        <w:t xml:space="preserve"> dat de vraag vanuit TSN de ontwikkeling van groene markten, zoals voor </w:t>
      </w:r>
      <w:r w:rsidRPr="0DA93B42">
        <w:rPr>
          <w:rFonts w:eastAsia="Verdana" w:cs="Verdana"/>
        </w:rPr>
        <w:t>groen gas</w:t>
      </w:r>
      <w:r w:rsidRPr="3879FC52">
        <w:rPr>
          <w:rFonts w:eastAsia="Verdana" w:cs="Verdana"/>
        </w:rPr>
        <w:t xml:space="preserve">, een impuls kan geven. Externe adviseur Common Futures schat het potentieel voor </w:t>
      </w:r>
      <w:r w:rsidRPr="0DA93B42">
        <w:rPr>
          <w:rFonts w:eastAsia="Verdana" w:cs="Verdana"/>
        </w:rPr>
        <w:t>groen gasproductie</w:t>
      </w:r>
      <w:r w:rsidRPr="3879FC52">
        <w:rPr>
          <w:rFonts w:eastAsia="Verdana" w:cs="Verdana"/>
        </w:rPr>
        <w:t xml:space="preserve"> in de EU op 100 bcm, ruim voldoende om aan de vraag van TSN te voldoen. Het rapport van Common Futures is meegestuurd bij verzending van de JLoI</w:t>
      </w:r>
      <w:r w:rsidR="00E736E9">
        <w:rPr>
          <w:rFonts w:eastAsia="Verdana" w:cs="Verdana"/>
        </w:rPr>
        <w:t>.</w:t>
      </w:r>
      <w:r w:rsidRPr="3879FC52">
        <w:rPr>
          <w:rStyle w:val="Voetnootmarkering"/>
          <w:rFonts w:eastAsia="Verdana" w:cs="Verdana"/>
        </w:rPr>
        <w:footnoteReference w:id="4"/>
      </w:r>
    </w:p>
    <w:p w:rsidR="00AB3FB7" w:rsidP="00C3576E" w:rsidRDefault="00AB3FB7" w14:paraId="6B7B838A" w14:textId="77777777"/>
    <w:p w:rsidR="00AB3FB7" w:rsidP="00C3576E" w:rsidRDefault="00AB3FB7" w14:paraId="7C72469B" w14:textId="77777777">
      <w:r>
        <w:t>8</w:t>
      </w:r>
    </w:p>
    <w:p w:rsidR="00AB3FB7" w:rsidP="00C3576E" w:rsidRDefault="00AB3FB7" w14:paraId="470BA3B7" w14:textId="77777777">
      <w:r w:rsidRPr="00AD62D0">
        <w:t>Welke garanties zijn er dat Tata Steel bij tekorten en hoge prijzen op de groengas-markt niet langer afhankelijk blijft van aardgas dan gepland? Hoe worden deze garanties contractueel vastgelegd?</w:t>
      </w:r>
    </w:p>
    <w:p w:rsidR="00AB3FB7" w:rsidP="00C3576E" w:rsidRDefault="00AB3FB7" w14:paraId="2494839E" w14:textId="77777777"/>
    <w:p w:rsidR="00AB3FB7" w:rsidP="00C3576E" w:rsidRDefault="00AB3FB7" w14:paraId="7089F998" w14:textId="77777777">
      <w:r>
        <w:t>Antwoord</w:t>
      </w:r>
    </w:p>
    <w:p w:rsidR="00AB3FB7" w:rsidP="00C3576E" w:rsidRDefault="00AB3FB7" w14:paraId="78393B12" w14:textId="481906DE">
      <w:pPr>
        <w:rPr>
          <w:rFonts w:eastAsia="Verdana" w:cs="Verdana"/>
        </w:rPr>
      </w:pPr>
      <w:r w:rsidRPr="3838FB2A">
        <w:rPr>
          <w:rFonts w:eastAsia="Verdana" w:cs="Verdana"/>
        </w:rPr>
        <w:t xml:space="preserve">De grootste </w:t>
      </w:r>
      <w:r w:rsidRPr="23338C23">
        <w:rPr>
          <w:rFonts w:eastAsia="Verdana" w:cs="Verdana"/>
        </w:rPr>
        <w:t>CO2-reductie</w:t>
      </w:r>
      <w:r w:rsidRPr="3838FB2A" w:rsidDel="295EA3E6">
        <w:rPr>
          <w:rFonts w:eastAsia="Verdana" w:cs="Verdana"/>
        </w:rPr>
        <w:t xml:space="preserve"> wordt bereikt door over te stappen van kolen op aardgas. In de </w:t>
      </w:r>
      <w:r w:rsidRPr="3838FB2A">
        <w:rPr>
          <w:rFonts w:eastAsia="Verdana" w:cs="Verdana"/>
        </w:rPr>
        <w:t>JLoI</w:t>
      </w:r>
      <w:r w:rsidRPr="3838FB2A" w:rsidDel="295EA3E6">
        <w:rPr>
          <w:rFonts w:eastAsia="Verdana" w:cs="Verdana"/>
        </w:rPr>
        <w:t xml:space="preserve"> is overeengekomen dat TSN in de periode 2032-2037 het aardgas in de DRP zal vervangen door groene waterstof </w:t>
      </w:r>
      <w:r w:rsidRPr="3838FB2A">
        <w:rPr>
          <w:rFonts w:eastAsia="Verdana" w:cs="Verdana"/>
        </w:rPr>
        <w:t>of groen gas</w:t>
      </w:r>
      <w:r w:rsidRPr="3838FB2A" w:rsidDel="295EA3E6">
        <w:rPr>
          <w:rFonts w:eastAsia="Verdana" w:cs="Verdana"/>
        </w:rPr>
        <w:t xml:space="preserve">. Voor de aankoop van deze groene energiebronnen verstrekt de staat een lening van 200 miljoen euro. </w:t>
      </w:r>
      <w:r w:rsidRPr="3838FB2A">
        <w:rPr>
          <w:rFonts w:eastAsia="Verdana" w:cs="Verdana"/>
        </w:rPr>
        <w:t>Als</w:t>
      </w:r>
      <w:r w:rsidRPr="3838FB2A" w:rsidDel="295EA3E6">
        <w:rPr>
          <w:rFonts w:eastAsia="Verdana" w:cs="Verdana"/>
        </w:rPr>
        <w:t xml:space="preserve"> er in de gehele periode geen groene waterstof </w:t>
      </w:r>
      <w:r w:rsidRPr="3838FB2A">
        <w:rPr>
          <w:rFonts w:eastAsia="Verdana" w:cs="Verdana"/>
        </w:rPr>
        <w:t>of</w:t>
      </w:r>
      <w:r w:rsidRPr="3838FB2A" w:rsidDel="00A25AE6">
        <w:rPr>
          <w:rFonts w:eastAsia="Verdana" w:cs="Verdana"/>
        </w:rPr>
        <w:t xml:space="preserve"> </w:t>
      </w:r>
      <w:r w:rsidRPr="3838FB2A" w:rsidDel="295EA3E6">
        <w:rPr>
          <w:rFonts w:eastAsia="Verdana" w:cs="Verdana"/>
        </w:rPr>
        <w:t>groen gas</w:t>
      </w:r>
      <w:r w:rsidRPr="3838FB2A">
        <w:rPr>
          <w:rFonts w:eastAsia="Verdana" w:cs="Verdana"/>
        </w:rPr>
        <w:t xml:space="preserve"> wordt gekocht door TSN, moet de lening inclusief rente en een (eventuele) boete worden terugbetaald. Als </w:t>
      </w:r>
      <w:r w:rsidRPr="3838FB2A" w:rsidDel="295EA3E6">
        <w:rPr>
          <w:rFonts w:eastAsia="Verdana" w:cs="Verdana"/>
        </w:rPr>
        <w:t xml:space="preserve">waterstof </w:t>
      </w:r>
      <w:r w:rsidRPr="3838FB2A">
        <w:rPr>
          <w:rFonts w:eastAsia="Verdana" w:cs="Verdana"/>
        </w:rPr>
        <w:t>of</w:t>
      </w:r>
      <w:r w:rsidRPr="23338C23">
        <w:rPr>
          <w:rFonts w:eastAsia="Verdana" w:cs="Verdana"/>
        </w:rPr>
        <w:t xml:space="preserve"> groen gas wel wordt ingekocht, wordt de lening (proportioneel) omgezet in een subsidie. Zie hiervoor ook artikel 7.2.2 van de JLoI. Verdere juridische waarborgen worden de komende tijd uitgewerkt en opgenomen in de maatwerkafspraak. Daarbij is het voorkomen van een </w:t>
      </w:r>
      <w:r w:rsidRPr="0E101D1C">
        <w:rPr>
          <w:rFonts w:eastAsia="Verdana" w:cs="Verdana"/>
        </w:rPr>
        <w:t xml:space="preserve">lock-in op aardgas een van de eisen uit het relevante staatssteunkader van de EC, de </w:t>
      </w:r>
      <w:r w:rsidRPr="0E101D1C">
        <w:rPr>
          <w:rFonts w:eastAsia="Verdana" w:cs="Verdana"/>
          <w:i/>
          <w:iCs/>
        </w:rPr>
        <w:t>Guidelines on State aid for climate, environmental protection and energy</w:t>
      </w:r>
      <w:r w:rsidRPr="0E101D1C">
        <w:rPr>
          <w:rFonts w:eastAsia="Verdana" w:cs="Verdana"/>
        </w:rPr>
        <w:t xml:space="preserve"> (CEEAG). </w:t>
      </w:r>
    </w:p>
    <w:p w:rsidR="00AB3FB7" w:rsidP="00C3576E" w:rsidRDefault="00AB3FB7" w14:paraId="469C0F4F" w14:textId="77777777">
      <w:pPr>
        <w:rPr>
          <w:rFonts w:eastAsia="Verdana" w:cs="Verdana"/>
        </w:rPr>
      </w:pPr>
    </w:p>
    <w:p w:rsidR="00AB3FB7" w:rsidP="00C3576E" w:rsidRDefault="00AB3FB7" w14:paraId="6C042795" w14:textId="77777777">
      <w:r>
        <w:t>9</w:t>
      </w:r>
    </w:p>
    <w:p w:rsidR="00AB3FB7" w:rsidP="00C3576E" w:rsidRDefault="00AB3FB7" w14:paraId="766F6FD1" w14:textId="77777777">
      <w:r>
        <w:t>Deelt u de analyse van hoogleraar Vollebergh dat het gebruik van gas op lange termijn niet houdbaar is en het verstandiger zou zijn om direct te investeren in elektrificatie in plaats van eerst miljarden te investeren in een tussenfase met gas?</w:t>
      </w:r>
    </w:p>
    <w:p w:rsidR="00AB3FB7" w:rsidP="00C3576E" w:rsidRDefault="00AB3FB7" w14:paraId="2C21AC53" w14:textId="77777777"/>
    <w:p w:rsidR="00AB3FB7" w:rsidP="00C3576E" w:rsidRDefault="00AB3FB7" w14:paraId="22DCA852" w14:textId="11E70366">
      <w:r>
        <w:t>Antwoord</w:t>
      </w:r>
    </w:p>
    <w:p w:rsidR="00AB3FB7" w:rsidP="00C3576E" w:rsidRDefault="00AB3FB7" w14:paraId="0632262A" w14:textId="77777777">
      <w:pPr>
        <w:rPr>
          <w:rFonts w:eastAsia="Verdana" w:cs="Verdana"/>
        </w:rPr>
      </w:pPr>
      <w:r>
        <w:t xml:space="preserve">Het kabinet deelt deze analyse niet. </w:t>
      </w:r>
      <w:r w:rsidRPr="09D8E9A2">
        <w:rPr>
          <w:rFonts w:eastAsia="Verdana" w:cs="Verdana"/>
        </w:rPr>
        <w:t>Zoals ook aangegeven in eerdere beantwoording</w:t>
      </w:r>
      <w:r w:rsidRPr="09D8E9A2">
        <w:rPr>
          <w:rStyle w:val="Voetnootmarkering"/>
          <w:rFonts w:eastAsia="Verdana" w:cs="Verdana"/>
        </w:rPr>
        <w:footnoteReference w:id="5"/>
      </w:r>
      <w:r w:rsidRPr="09D8E9A2">
        <w:rPr>
          <w:rFonts w:eastAsia="Verdana" w:cs="Verdana"/>
        </w:rPr>
        <w:t xml:space="preserve"> van Kamervragen kent het project een tussenfase met aardgas en CCS op weg naar een groen productieproces op basis van groene waterstof of groen gas. Deze tussenfase is nodig omdat groene energiebronnen naar verwachting nog onvoldoende beschikbaar en betaalbaar zijn op korte termijn. Uit het advies van de AMVI volgt ook dat de inzet van CCS zeer kosteneffectief is.</w:t>
      </w:r>
      <w:r w:rsidRPr="01E1EC2F">
        <w:rPr>
          <w:rFonts w:eastAsia="Verdana" w:cs="Verdana"/>
        </w:rPr>
        <w:t xml:space="preserve"> </w:t>
      </w:r>
    </w:p>
    <w:p w:rsidR="00AB3FB7" w:rsidP="00C3576E" w:rsidRDefault="00AB3FB7" w14:paraId="4CEEBA9A" w14:textId="77777777">
      <w:pPr>
        <w:rPr>
          <w:rFonts w:eastAsia="Verdana" w:cs="Verdana"/>
        </w:rPr>
      </w:pPr>
    </w:p>
    <w:p w:rsidR="00AB3FB7" w:rsidP="00C3576E" w:rsidRDefault="00AB3FB7" w14:paraId="7D797943" w14:textId="77777777">
      <w:pPr>
        <w:rPr>
          <w:rFonts w:eastAsia="Verdana" w:cs="Verdana"/>
        </w:rPr>
      </w:pPr>
      <w:r w:rsidRPr="23338C23">
        <w:rPr>
          <w:rFonts w:eastAsia="Verdana" w:cs="Verdana"/>
        </w:rPr>
        <w:t xml:space="preserve">Daarbij moet worden opgemerkt dat in ook in de tussenfase op aardgas een belangrijk deel van het nieuwe productieproces al geëlektrificeerd is; het smelt- en staalmaak-proces gebeurt immers door middel van een Electric Arc Furnace (EAF, elektrische vlamboogoven). De Direct Reduction Plant (DRP) die TSN voornemens is te bouwen heeft een reducerend gas nodig om van ijzererts direct gereduceerd ijzer te maken. In de tussenfase gebruikt TSN hier aardgas voor. Zoals in het antwoord op vraag 4 aangegeven zal TSN op termijn waterstof of groen gas gebruiken via elektrolyse.  </w:t>
      </w:r>
    </w:p>
    <w:p w:rsidR="00AB3FB7" w:rsidP="00C3576E" w:rsidRDefault="00AB3FB7" w14:paraId="382DFEF2" w14:textId="77777777">
      <w:pPr>
        <w:rPr>
          <w:rFonts w:eastAsia="Verdana" w:cs="Verdana"/>
        </w:rPr>
      </w:pPr>
    </w:p>
    <w:p w:rsidR="00AB3FB7" w:rsidP="00C3576E" w:rsidRDefault="00AB3FB7" w14:paraId="579A4A47" w14:textId="534AB124">
      <w:pPr>
        <w:rPr>
          <w:rFonts w:eastAsia="Verdana" w:cs="Verdana"/>
        </w:rPr>
      </w:pPr>
      <w:r w:rsidRPr="01E1EC2F">
        <w:rPr>
          <w:rFonts w:eastAsia="Verdana" w:cs="Verdana"/>
        </w:rPr>
        <w:t>De nieuwe productieroute van TSN draagt ook bij aan de elektrificatie van de industrie. De Electric Arc Furnace (EAF) wordt elektrisch aangedreven en ook de groene waterstof die TSN op termijn zal gaan inzetten in de Direct Reduction Plant (DRP) kan op basis van groene elektriciteit worden geproduceerd.</w:t>
      </w:r>
      <w:r w:rsidR="00AA04DF">
        <w:rPr>
          <w:rFonts w:eastAsia="Verdana" w:cs="Verdana"/>
        </w:rPr>
        <w:t xml:space="preserve"> </w:t>
      </w:r>
      <w:r w:rsidRPr="01E1EC2F">
        <w:rPr>
          <w:rFonts w:eastAsia="Verdana" w:cs="Verdana"/>
        </w:rPr>
        <w:t xml:space="preserve">De technologie om staal direct volledig elektrisch te kunnen produceren vanuit ijzererts is op dit moment niet commercieel toepasbaar. Het is onduidelijk of en wanneer TSN deze technologie wel economisch kan toepassen op de door TSN gewenste schaalgrootte. Het kabinet kiest er niet voor om de onzekere ontwikkeling van deze technologieën af te wachten. Er is op dit moment immers geen concreet zicht op een termijn waarin deze technologie economisch volwassen is. Het kabinet wil met een maatwerkafspraak juist zorgen dat er zo snel mogelijk een verbetering van de gezondheid van omwonenden komt. </w:t>
      </w:r>
    </w:p>
    <w:p w:rsidR="00AB3FB7" w:rsidP="00C3576E" w:rsidRDefault="00AB3FB7" w14:paraId="552060C1" w14:textId="77777777">
      <w:pPr>
        <w:rPr>
          <w:rFonts w:eastAsia="Verdana" w:cs="Verdana"/>
        </w:rPr>
      </w:pPr>
    </w:p>
    <w:p w:rsidR="00AB3FB7" w:rsidP="00C3576E" w:rsidRDefault="00AB3FB7" w14:paraId="562CB995" w14:textId="77777777">
      <w:pPr>
        <w:rPr>
          <w:rFonts w:eastAsia="Verdana" w:cs="Verdana"/>
        </w:rPr>
      </w:pPr>
      <w:r>
        <w:t>10</w:t>
      </w:r>
    </w:p>
    <w:p w:rsidR="00AB3FB7" w:rsidP="00C3576E" w:rsidRDefault="00AB3FB7" w14:paraId="0CD8716F" w14:textId="77777777">
      <w:r>
        <w:t>Kunt u uiteenzetten waarom bij dit soort afspraken alleen wordt gekeken naar uitstoot op Nederlandse bodem en niet naar de wereldwijde klimaatimpact, terwijl CO2 niet bij landsgrenzen ophoudt?</w:t>
      </w:r>
    </w:p>
    <w:p w:rsidR="007E6D39" w:rsidP="00C3576E" w:rsidRDefault="007E6D39" w14:paraId="35BEE7E4" w14:textId="77777777"/>
    <w:p w:rsidR="00AB3FB7" w:rsidP="00C3576E" w:rsidRDefault="00AB3FB7" w14:paraId="7EE92E7D" w14:textId="77777777">
      <w:r>
        <w:t>Antwoord</w:t>
      </w:r>
    </w:p>
    <w:p w:rsidR="007E6D39" w:rsidP="00C3576E" w:rsidRDefault="00C6630B" w14:paraId="4B26C5CA" w14:textId="27798F40">
      <w:pPr>
        <w:rPr>
          <w:rFonts w:eastAsia="Verdana" w:cs="Verdana"/>
        </w:rPr>
      </w:pPr>
      <w:r w:rsidRPr="57E8D91B">
        <w:rPr>
          <w:rFonts w:eastAsia="Verdana" w:cs="Verdana"/>
        </w:rPr>
        <w:t xml:space="preserve">De internationale en Europese afspraken op klimaatbeleid en het </w:t>
      </w:r>
      <w:r w:rsidRPr="57E8D91B" w:rsidR="518A35E3">
        <w:rPr>
          <w:rFonts w:eastAsia="Verdana" w:cs="Verdana"/>
        </w:rPr>
        <w:t xml:space="preserve">verminderen </w:t>
      </w:r>
      <w:r w:rsidRPr="57E8D91B">
        <w:rPr>
          <w:rFonts w:eastAsia="Verdana" w:cs="Verdana"/>
        </w:rPr>
        <w:t>van de CO2-uitstoot zijn ingericht langs de lijnen van de verantwoordelijkheid voor de nationale uitstoot. Daarnaast heeft h</w:t>
      </w:r>
      <w:r w:rsidRPr="57E8D91B" w:rsidR="00AB3FB7">
        <w:rPr>
          <w:rFonts w:eastAsia="Verdana" w:cs="Verdana"/>
        </w:rPr>
        <w:t>et kabinet</w:t>
      </w:r>
      <w:r w:rsidRPr="57E8D91B">
        <w:rPr>
          <w:rFonts w:eastAsia="Verdana" w:cs="Verdana"/>
        </w:rPr>
        <w:t xml:space="preserve"> </w:t>
      </w:r>
      <w:r w:rsidRPr="57E8D91B" w:rsidR="00AB3FB7">
        <w:rPr>
          <w:rFonts w:eastAsia="Verdana" w:cs="Verdana"/>
        </w:rPr>
        <w:t>bij het vaststellen van klimaatbeleid oog voor de internationale klimaatimpact van maatregelen.</w:t>
      </w:r>
      <w:r w:rsidRPr="57E8D91B" w:rsidR="007E6D39">
        <w:rPr>
          <w:rFonts w:eastAsia="Verdana" w:cs="Verdana"/>
        </w:rPr>
        <w:t xml:space="preserve"> Zo werkt het kabinet in samenwerking met andere EU-lidstaten aan de implementatie van de methaanverordening en aan een monitoringssysteem voor het verkrijgen van inzicht op gas dat uit het buitenland op de markt in de EU wordt gebracht.</w:t>
      </w:r>
      <w:r w:rsidRPr="57E8D91B" w:rsidR="00AB3FB7">
        <w:rPr>
          <w:rFonts w:eastAsia="Verdana" w:cs="Verdana"/>
        </w:rPr>
        <w:t xml:space="preserve"> </w:t>
      </w:r>
    </w:p>
    <w:p w:rsidR="009F5983" w:rsidP="00C3576E" w:rsidRDefault="005602D8" w14:paraId="2DD97231" w14:textId="52A09798">
      <w:r>
        <w:t>De</w:t>
      </w:r>
      <w:r w:rsidRPr="01E1EC2F" w:rsidR="00AB3FB7">
        <w:rPr>
          <w:rFonts w:eastAsia="Verdana" w:cs="Verdana"/>
        </w:rPr>
        <w:t xml:space="preserve"> maatwerkafspraken </w:t>
      </w:r>
      <w:r>
        <w:rPr>
          <w:rFonts w:eastAsia="Verdana" w:cs="Verdana"/>
        </w:rPr>
        <w:t xml:space="preserve">zijn </w:t>
      </w:r>
      <w:r w:rsidRPr="01E1EC2F" w:rsidR="00AB3FB7">
        <w:rPr>
          <w:rFonts w:eastAsia="Verdana" w:cs="Verdana"/>
        </w:rPr>
        <w:t xml:space="preserve">gericht op het </w:t>
      </w:r>
      <w:r w:rsidR="00AB3FB7">
        <w:t xml:space="preserve">realiseren van </w:t>
      </w:r>
      <w:r w:rsidRPr="01E1EC2F" w:rsidR="00AB3FB7">
        <w:rPr>
          <w:rFonts w:eastAsia="Verdana" w:cs="Verdana"/>
        </w:rPr>
        <w:t>maatregelen die bijdragen aan directe v</w:t>
      </w:r>
      <w:r w:rsidR="00AB3FB7">
        <w:t xml:space="preserve">ermindering van CO2-uitstoot van de industrie in Nederland en waar relevant de impact op de leefomgeving te verminderen. </w:t>
      </w:r>
      <w:r>
        <w:t>Zoals ook aangegeven bij de antwoorden op vraag 1 tot en met 3 zijn de bedrijfsemissies stuurbaar via een maatwerkafspraak.</w:t>
      </w:r>
      <w:r w:rsidR="00812A3A">
        <w:t xml:space="preserve"> Deze aanpak is in lijn met internationale afspraken</w:t>
      </w:r>
      <w:r w:rsidR="00C632E2">
        <w:t xml:space="preserve"> die voor het eerst gesloten werden via het VN-Klimaatverdrag uit 1992 en het Kyotoprotocol en onder meer via latere verdragen verder zijn ingevuld. </w:t>
      </w:r>
      <w:r w:rsidR="009F5983">
        <w:t xml:space="preserve"> </w:t>
      </w:r>
    </w:p>
    <w:p w:rsidR="00AB3FB7" w:rsidP="00C3576E" w:rsidRDefault="009F5983" w14:paraId="52A96194" w14:textId="07CA2069">
      <w:pPr>
        <w:rPr>
          <w:rFonts w:eastAsia="Verdana" w:cs="Verdana"/>
        </w:rPr>
      </w:pPr>
      <w:r>
        <w:t xml:space="preserve">Het kabinet beoogt met de maatwerkaanpak om de industrie te verduurzamen en in Nederland te behouden. De vraag naar staal zal immers blijven bestaan. Als er geen maatwerkafspraak komt, en het bedrijf </w:t>
      </w:r>
      <w:r w:rsidR="58169390">
        <w:t>zou besluiten</w:t>
      </w:r>
      <w:r>
        <w:t xml:space="preserve"> om de productie naar het buitenland te verplaatsen, heeft dit tot gevolg dat staal vanuit het buitenland geïmporteerd zal worden</w:t>
      </w:r>
      <w:r w:rsidR="37041043">
        <w:t xml:space="preserve">. Daarmee vergroten we onze </w:t>
      </w:r>
      <w:r w:rsidR="52BBF778">
        <w:t>importafhankelijkheid</w:t>
      </w:r>
      <w:r>
        <w:t>. D</w:t>
      </w:r>
      <w:r w:rsidR="7AB982DF">
        <w:t>aarbij is d</w:t>
      </w:r>
      <w:r>
        <w:t>e staalproductie is in het buitenland niet schoner</w:t>
      </w:r>
      <w:r w:rsidR="3E9F8F64">
        <w:t xml:space="preserve"> of duurzamer</w:t>
      </w:r>
      <w:r w:rsidR="2C91048A">
        <w:t xml:space="preserve">, </w:t>
      </w:r>
      <w:r w:rsidR="2EE42688">
        <w:t>waarmee de verplaatsing van de productie</w:t>
      </w:r>
      <w:r>
        <w:t xml:space="preserve"> </w:t>
      </w:r>
      <w:r w:rsidR="2826AD8B">
        <w:t>een</w:t>
      </w:r>
      <w:r>
        <w:t xml:space="preserve"> negatief effect </w:t>
      </w:r>
      <w:r w:rsidR="3FD45D68">
        <w:t xml:space="preserve">zou hebben </w:t>
      </w:r>
      <w:r>
        <w:t xml:space="preserve">op het klimaat. </w:t>
      </w:r>
    </w:p>
    <w:p w:rsidR="00525119" w:rsidP="00C3576E" w:rsidRDefault="00525119" w14:paraId="45EF68A5" w14:textId="77777777"/>
    <w:p w:rsidR="00AB3FB7" w:rsidP="00C3576E" w:rsidRDefault="00AB3FB7" w14:paraId="7C090569" w14:textId="4278C3E2">
      <w:r>
        <w:t>11</w:t>
      </w:r>
    </w:p>
    <w:p w:rsidR="00AB3FB7" w:rsidP="00C3576E" w:rsidRDefault="00AB3FB7" w14:paraId="01217A2B" w14:textId="77777777">
      <w:r w:rsidRPr="00AD62D0">
        <w:t>Kunt u deze vragen afzonderlijk en binnen de geldende termijn beantwoorden?</w:t>
      </w:r>
    </w:p>
    <w:p w:rsidR="00AB3FB7" w:rsidP="00C3576E" w:rsidRDefault="00AB3FB7" w14:paraId="7C58822F" w14:textId="77777777"/>
    <w:p w:rsidR="00AB3FB7" w:rsidP="00C3576E" w:rsidRDefault="00AB3FB7" w14:paraId="6A87389D" w14:textId="77777777">
      <w:r>
        <w:t>Antwoord</w:t>
      </w:r>
    </w:p>
    <w:p w:rsidR="00AB3FB7" w:rsidP="00C3576E" w:rsidRDefault="0040712B" w14:paraId="6093C7DC" w14:textId="31CD7D70">
      <w:r>
        <w:t>Het versturen van de beantwoording is helaas niet gelukt binnen de geldende termijn van drie weken. De Kamer is hier eerder over geïnformeerd</w:t>
      </w:r>
      <w:r>
        <w:rPr>
          <w:rStyle w:val="Voetnootmarkering"/>
        </w:rPr>
        <w:footnoteReference w:id="6"/>
      </w:r>
      <w:r>
        <w:t xml:space="preserve">.  </w:t>
      </w:r>
    </w:p>
    <w:sectPr w:rsidR="00AB3FB7"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8301" w14:textId="77777777" w:rsidR="00704E42" w:rsidRDefault="00704E42">
      <w:r>
        <w:separator/>
      </w:r>
    </w:p>
    <w:p w14:paraId="28A47D94" w14:textId="77777777" w:rsidR="00704E42" w:rsidRDefault="00704E42"/>
  </w:endnote>
  <w:endnote w:type="continuationSeparator" w:id="0">
    <w:p w14:paraId="446B3218" w14:textId="77777777" w:rsidR="00704E42" w:rsidRDefault="00704E42">
      <w:r>
        <w:continuationSeparator/>
      </w:r>
    </w:p>
    <w:p w14:paraId="5F6DAA45" w14:textId="77777777" w:rsidR="00704E42" w:rsidRDefault="00704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2137" w14:textId="77777777" w:rsidR="007D5E8C" w:rsidRDefault="007D5E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6E1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97CDD" w14:paraId="476D9199" w14:textId="77777777" w:rsidTr="00CA6A25">
      <w:trPr>
        <w:trHeight w:hRule="exact" w:val="240"/>
      </w:trPr>
      <w:tc>
        <w:tcPr>
          <w:tcW w:w="7601" w:type="dxa"/>
        </w:tcPr>
        <w:p w14:paraId="55F7456B" w14:textId="77777777" w:rsidR="00527BD4" w:rsidRDefault="00527BD4" w:rsidP="003F1F6B">
          <w:pPr>
            <w:pStyle w:val="Huisstijl-Rubricering"/>
          </w:pPr>
        </w:p>
      </w:tc>
      <w:tc>
        <w:tcPr>
          <w:tcW w:w="2156" w:type="dxa"/>
        </w:tcPr>
        <w:p w14:paraId="0A2EFB5B" w14:textId="1284F5F7" w:rsidR="00527BD4" w:rsidRPr="00645414" w:rsidRDefault="00CB1B3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77622">
            <w:t>7</w:t>
          </w:r>
          <w:r w:rsidR="00721AE1">
            <w:fldChar w:fldCharType="end"/>
          </w:r>
        </w:p>
      </w:tc>
    </w:tr>
  </w:tbl>
  <w:p w14:paraId="5177759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97CDD" w14:paraId="78889BAE" w14:textId="77777777" w:rsidTr="00CA6A25">
      <w:trPr>
        <w:trHeight w:hRule="exact" w:val="240"/>
      </w:trPr>
      <w:tc>
        <w:tcPr>
          <w:tcW w:w="7601" w:type="dxa"/>
        </w:tcPr>
        <w:p w14:paraId="6D657901" w14:textId="77777777" w:rsidR="00527BD4" w:rsidRDefault="00527BD4" w:rsidP="008C356D">
          <w:pPr>
            <w:pStyle w:val="Huisstijl-Rubricering"/>
          </w:pPr>
        </w:p>
      </w:tc>
      <w:tc>
        <w:tcPr>
          <w:tcW w:w="2170" w:type="dxa"/>
        </w:tcPr>
        <w:p w14:paraId="68E01B6A" w14:textId="4054AD7F" w:rsidR="00527BD4" w:rsidRPr="00ED539E" w:rsidRDefault="00CB1B3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E77622">
            <w:t>7</w:t>
          </w:r>
          <w:r w:rsidR="00405C2A">
            <w:fldChar w:fldCharType="end"/>
          </w:r>
        </w:p>
      </w:tc>
    </w:tr>
  </w:tbl>
  <w:p w14:paraId="2BC94AD0" w14:textId="77777777" w:rsidR="00527BD4" w:rsidRPr="00BC3B53" w:rsidRDefault="00527BD4" w:rsidP="008C356D">
    <w:pPr>
      <w:pStyle w:val="Voettekst"/>
      <w:spacing w:line="240" w:lineRule="auto"/>
      <w:rPr>
        <w:sz w:val="2"/>
        <w:szCs w:val="2"/>
      </w:rPr>
    </w:pPr>
  </w:p>
  <w:p w14:paraId="6447D6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08E3" w14:textId="77777777" w:rsidR="00704E42" w:rsidRDefault="00704E42">
      <w:r>
        <w:separator/>
      </w:r>
    </w:p>
    <w:p w14:paraId="6848A33C" w14:textId="77777777" w:rsidR="00704E42" w:rsidRDefault="00704E42"/>
  </w:footnote>
  <w:footnote w:type="continuationSeparator" w:id="0">
    <w:p w14:paraId="52D84149" w14:textId="77777777" w:rsidR="00704E42" w:rsidRDefault="00704E42">
      <w:r>
        <w:continuationSeparator/>
      </w:r>
    </w:p>
    <w:p w14:paraId="4D4D6C3A" w14:textId="77777777" w:rsidR="00704E42" w:rsidRDefault="00704E42"/>
  </w:footnote>
  <w:footnote w:id="1">
    <w:p w14:paraId="2F70CEE2" w14:textId="77777777" w:rsidR="00AB3FB7" w:rsidRPr="009370AA" w:rsidRDefault="00AB3FB7" w:rsidP="00AB3FB7">
      <w:pPr>
        <w:pStyle w:val="Voetnoottekst"/>
      </w:pPr>
      <w:r w:rsidRPr="3879FC52">
        <w:rPr>
          <w:rStyle w:val="Voetnootmarkering"/>
        </w:rPr>
        <w:footnoteRef/>
      </w:r>
      <w:r w:rsidRPr="009370AA">
        <w:t xml:space="preserve"> Kamerstuk 29826, nr. 266</w:t>
      </w:r>
    </w:p>
  </w:footnote>
  <w:footnote w:id="2">
    <w:p w14:paraId="15BD8088" w14:textId="77777777" w:rsidR="00AB3FB7" w:rsidRPr="009370AA" w:rsidRDefault="00AB3FB7" w:rsidP="00AB3FB7">
      <w:pPr>
        <w:pStyle w:val="Voetnoottekst"/>
      </w:pPr>
      <w:r w:rsidRPr="3879FC52">
        <w:rPr>
          <w:rStyle w:val="Voetnootmarkering"/>
        </w:rPr>
        <w:footnoteRef/>
      </w:r>
      <w:r w:rsidRPr="009370AA">
        <w:t xml:space="preserve"> </w:t>
      </w:r>
      <w:hyperlink r:id="rId1">
        <w:r w:rsidRPr="009370AA">
          <w:rPr>
            <w:rStyle w:val="Hyperlink"/>
          </w:rPr>
          <w:t>Technical Advisory Report Joint Letter of Intent Tata Steel Netherlands | Rapport | Rijksoverheid.nl</w:t>
        </w:r>
      </w:hyperlink>
    </w:p>
  </w:footnote>
  <w:footnote w:id="3">
    <w:p w14:paraId="5A06E1AB" w14:textId="77777777" w:rsidR="00AB3FB7" w:rsidRDefault="00AB3FB7" w:rsidP="00AB3FB7">
      <w:pPr>
        <w:pStyle w:val="Voetnoottekst"/>
      </w:pPr>
      <w:r w:rsidRPr="09D8E9A2">
        <w:rPr>
          <w:rStyle w:val="Voetnootmarkering"/>
        </w:rPr>
        <w:footnoteRef/>
      </w:r>
      <w:r>
        <w:t xml:space="preserve"> </w:t>
      </w:r>
      <w:hyperlink r:id="rId2">
        <w:r w:rsidRPr="0E101D1C">
          <w:rPr>
            <w:rStyle w:val="Hyperlink"/>
          </w:rPr>
          <w:t>Advies AMVI over concept-Joint Letter of Intent met Tata Steel | Brief | Rijksoverheid.nl</w:t>
        </w:r>
      </w:hyperlink>
    </w:p>
  </w:footnote>
  <w:footnote w:id="4">
    <w:p w14:paraId="550C3503" w14:textId="75206F34" w:rsidR="00AB3FB7" w:rsidRPr="00B91205" w:rsidRDefault="00AB3FB7" w:rsidP="00AB3FB7">
      <w:pPr>
        <w:pStyle w:val="Voetnoottekst"/>
      </w:pPr>
      <w:r w:rsidRPr="02541C9B">
        <w:rPr>
          <w:rStyle w:val="Voetnootmarkering"/>
        </w:rPr>
        <w:footnoteRef/>
      </w:r>
      <w:r w:rsidRPr="00B91205">
        <w:t xml:space="preserve"> </w:t>
      </w:r>
      <w:r w:rsidR="00486576">
        <w:fldChar w:fldCharType="begin"/>
      </w:r>
      <w:r w:rsidR="00486576" w:rsidRPr="00B91205">
        <w:instrText>https://www.rijksoverheid.nl/documenten/rapporten/2025/09/29/memorandum-common-futures-evaluation-of-barriers-to-biomethane-sourcing-from-new-production-countries"</w:instrText>
      </w:r>
      <w:r w:rsidR="00486576">
        <w:fldChar w:fldCharType="separate"/>
      </w:r>
      <w:r w:rsidR="00486576" w:rsidRPr="00B91205">
        <w:rPr>
          <w:rStyle w:val="Hyperlink"/>
        </w:rPr>
        <w:t>Evaluation of barriers to biomethane sourcing from new production countries | Rapport | Rijksoverheid.nl</w:t>
      </w:r>
      <w:r w:rsidR="00486576">
        <w:fldChar w:fldCharType="end"/>
      </w:r>
    </w:p>
  </w:footnote>
  <w:footnote w:id="5">
    <w:p w14:paraId="3D6290DE" w14:textId="77777777" w:rsidR="00AB3FB7" w:rsidRDefault="00AB3FB7" w:rsidP="00AB3FB7">
      <w:pPr>
        <w:pStyle w:val="Voetnoottekst"/>
      </w:pPr>
      <w:r w:rsidRPr="09D8E9A2">
        <w:rPr>
          <w:rStyle w:val="Voetnootmarkering"/>
        </w:rPr>
        <w:footnoteRef/>
      </w:r>
      <w:r>
        <w:t xml:space="preserve"> </w:t>
      </w:r>
      <w:r w:rsidRPr="0E101D1C">
        <w:rPr>
          <w:rFonts w:eastAsia="Verdana" w:cs="Verdana"/>
          <w:sz w:val="18"/>
          <w:szCs w:val="18"/>
        </w:rPr>
        <w:t>Aanhangsel Handelingen 2025/2026, nr. 357</w:t>
      </w:r>
    </w:p>
  </w:footnote>
  <w:footnote w:id="6">
    <w:p w14:paraId="3F443151" w14:textId="66E6FB7B" w:rsidR="0040712B" w:rsidRDefault="0040712B">
      <w:pPr>
        <w:pStyle w:val="Voetnoottekst"/>
      </w:pPr>
      <w:r>
        <w:rPr>
          <w:rStyle w:val="Voetnootmarkering"/>
        </w:rPr>
        <w:footnoteRef/>
      </w:r>
      <w:r>
        <w:t xml:space="preserve"> </w:t>
      </w:r>
      <w:r w:rsidR="00E736E9" w:rsidRPr="00B31605">
        <w:rPr>
          <w:sz w:val="16"/>
          <w:szCs w:val="16"/>
        </w:rPr>
        <w:t>Kamerstukken II, 2025-2026, nr. 1048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D33F" w14:textId="77777777" w:rsidR="007D5E8C" w:rsidRDefault="007D5E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97CDD" w14:paraId="0A7ABAC0" w14:textId="77777777" w:rsidTr="00A50CF6">
      <w:tc>
        <w:tcPr>
          <w:tcW w:w="2156" w:type="dxa"/>
        </w:tcPr>
        <w:p w14:paraId="38BB74C0" w14:textId="77777777" w:rsidR="00527BD4" w:rsidRPr="005819CE" w:rsidRDefault="00CB1B3A" w:rsidP="00A50CF6">
          <w:pPr>
            <w:pStyle w:val="Huisstijl-Adres"/>
            <w:rPr>
              <w:b/>
            </w:rPr>
          </w:pPr>
          <w:r>
            <w:rPr>
              <w:b/>
            </w:rPr>
            <w:t>Directoraat-generaal Realisatie Groene Groei</w:t>
          </w:r>
          <w:r w:rsidRPr="005819CE">
            <w:rPr>
              <w:b/>
            </w:rPr>
            <w:br/>
          </w:r>
        </w:p>
      </w:tc>
    </w:tr>
    <w:tr w:rsidR="00297CDD" w14:paraId="3ED2CA56" w14:textId="77777777" w:rsidTr="00A50CF6">
      <w:trPr>
        <w:trHeight w:hRule="exact" w:val="200"/>
      </w:trPr>
      <w:tc>
        <w:tcPr>
          <w:tcW w:w="2156" w:type="dxa"/>
        </w:tcPr>
        <w:p w14:paraId="215B18CA" w14:textId="77777777" w:rsidR="00527BD4" w:rsidRPr="005819CE" w:rsidRDefault="00527BD4" w:rsidP="00A50CF6"/>
      </w:tc>
    </w:tr>
    <w:tr w:rsidR="00297CDD" w14:paraId="269D3FC5" w14:textId="77777777" w:rsidTr="00502512">
      <w:trPr>
        <w:trHeight w:hRule="exact" w:val="774"/>
      </w:trPr>
      <w:tc>
        <w:tcPr>
          <w:tcW w:w="2156" w:type="dxa"/>
        </w:tcPr>
        <w:p w14:paraId="37A90DA0" w14:textId="77777777" w:rsidR="00527BD4" w:rsidRDefault="00CB1B3A" w:rsidP="003A5290">
          <w:pPr>
            <w:pStyle w:val="Huisstijl-Kopje"/>
          </w:pPr>
          <w:r>
            <w:t>Ons kenmerk</w:t>
          </w:r>
        </w:p>
        <w:p w14:paraId="212514D7" w14:textId="514639B8" w:rsidR="00527BD4" w:rsidRPr="005819CE" w:rsidRDefault="00CB1B3A" w:rsidP="007D5E8C">
          <w:pPr>
            <w:pStyle w:val="Huisstijl-Kopje"/>
          </w:pPr>
          <w:r>
            <w:rPr>
              <w:b w:val="0"/>
            </w:rPr>
            <w:t>KGG_DGRGG</w:t>
          </w:r>
          <w:r w:rsidRPr="00502512">
            <w:rPr>
              <w:b w:val="0"/>
            </w:rPr>
            <w:t xml:space="preserve"> / </w:t>
          </w:r>
          <w:r w:rsidR="007D5E8C" w:rsidRPr="007D5E8C">
            <w:rPr>
              <w:rFonts w:cs="Helvetica"/>
              <w:b w:val="0"/>
              <w:bCs/>
              <w:color w:val="000000"/>
              <w:szCs w:val="13"/>
              <w:bdr w:val="none" w:sz="0" w:space="0" w:color="auto" w:frame="1"/>
            </w:rPr>
            <w:t>105411145</w:t>
          </w:r>
        </w:p>
      </w:tc>
    </w:tr>
  </w:tbl>
  <w:p w14:paraId="79A41CDD" w14:textId="77777777" w:rsidR="00527BD4" w:rsidRDefault="00527BD4" w:rsidP="008C356D">
    <w:pPr>
      <w:pStyle w:val="Koptekst"/>
      <w:rPr>
        <w:rFonts w:cs="Verdana-Bold"/>
        <w:b/>
        <w:bCs/>
        <w:smallCaps/>
        <w:szCs w:val="18"/>
      </w:rPr>
    </w:pPr>
  </w:p>
  <w:p w14:paraId="27F4423F" w14:textId="77777777" w:rsidR="00527BD4" w:rsidRDefault="00527BD4" w:rsidP="008C356D"/>
  <w:p w14:paraId="609E3D62" w14:textId="77777777" w:rsidR="00527BD4" w:rsidRPr="00740712" w:rsidRDefault="00527BD4" w:rsidP="008C356D"/>
  <w:p w14:paraId="31A5B1EB" w14:textId="77777777" w:rsidR="00527BD4" w:rsidRPr="00217880" w:rsidRDefault="00527BD4" w:rsidP="008C356D">
    <w:pPr>
      <w:spacing w:line="0" w:lineRule="atLeast"/>
      <w:rPr>
        <w:sz w:val="2"/>
        <w:szCs w:val="2"/>
      </w:rPr>
    </w:pPr>
  </w:p>
  <w:p w14:paraId="3CA74BA1" w14:textId="77777777" w:rsidR="00527BD4" w:rsidRDefault="00527BD4" w:rsidP="004F44C2">
    <w:pPr>
      <w:pStyle w:val="Koptekst"/>
      <w:rPr>
        <w:rFonts w:cs="Verdana-Bold"/>
        <w:b/>
        <w:bCs/>
        <w:smallCaps/>
        <w:szCs w:val="18"/>
      </w:rPr>
    </w:pPr>
  </w:p>
  <w:p w14:paraId="790D2F5C" w14:textId="77777777" w:rsidR="00527BD4" w:rsidRDefault="00527BD4" w:rsidP="004F44C2"/>
  <w:p w14:paraId="09DECE64" w14:textId="77777777" w:rsidR="00527BD4" w:rsidRPr="00740712" w:rsidRDefault="00527BD4" w:rsidP="004F44C2"/>
  <w:p w14:paraId="43A0907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7CDD" w14:paraId="0484A563" w14:textId="77777777" w:rsidTr="00751A6A">
      <w:trPr>
        <w:trHeight w:val="2636"/>
      </w:trPr>
      <w:tc>
        <w:tcPr>
          <w:tcW w:w="737" w:type="dxa"/>
        </w:tcPr>
        <w:p w14:paraId="5A8D4FEC" w14:textId="77777777" w:rsidR="00527BD4" w:rsidRDefault="00527BD4" w:rsidP="00D0609E">
          <w:pPr>
            <w:framePr w:w="6340" w:h="2750" w:hRule="exact" w:hSpace="180" w:wrap="around" w:vAnchor="page" w:hAnchor="text" w:x="3873" w:y="-140"/>
            <w:spacing w:line="240" w:lineRule="auto"/>
          </w:pPr>
        </w:p>
      </w:tc>
      <w:tc>
        <w:tcPr>
          <w:tcW w:w="5156" w:type="dxa"/>
        </w:tcPr>
        <w:p w14:paraId="7A3FE507" w14:textId="77777777" w:rsidR="00527BD4" w:rsidRDefault="00CB1B3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0AD4C01" wp14:editId="0349959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04224A6" w14:textId="77777777" w:rsidR="00F4553F" w:rsidRDefault="00F4553F" w:rsidP="00651CEE">
          <w:pPr>
            <w:framePr w:w="6340" w:h="2750" w:hRule="exact" w:hSpace="180" w:wrap="around" w:vAnchor="page" w:hAnchor="text" w:x="3873" w:y="-140"/>
            <w:spacing w:line="240" w:lineRule="auto"/>
          </w:pPr>
        </w:p>
      </w:tc>
    </w:tr>
  </w:tbl>
  <w:p w14:paraId="6FC97977" w14:textId="77777777" w:rsidR="00527BD4" w:rsidRDefault="00527BD4" w:rsidP="00D0609E">
    <w:pPr>
      <w:framePr w:w="6340" w:h="2750" w:hRule="exact" w:hSpace="180" w:wrap="around" w:vAnchor="page" w:hAnchor="text" w:x="3873" w:y="-140"/>
    </w:pPr>
  </w:p>
  <w:p w14:paraId="1F45C2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97CDD" w:rsidRPr="00202CE1" w14:paraId="4C959D6C" w14:textId="77777777" w:rsidTr="00A50CF6">
      <w:tc>
        <w:tcPr>
          <w:tcW w:w="2160" w:type="dxa"/>
        </w:tcPr>
        <w:p w14:paraId="524E193E" w14:textId="77777777" w:rsidR="00527BD4" w:rsidRPr="005819CE" w:rsidRDefault="00CB1B3A" w:rsidP="00A50CF6">
          <w:pPr>
            <w:pStyle w:val="Huisstijl-Adres"/>
            <w:rPr>
              <w:b/>
            </w:rPr>
          </w:pPr>
          <w:r>
            <w:rPr>
              <w:b/>
            </w:rPr>
            <w:t>Directoraat-generaal Realisatie Groene Groei</w:t>
          </w:r>
          <w:r w:rsidRPr="005819CE">
            <w:rPr>
              <w:b/>
            </w:rPr>
            <w:br/>
          </w:r>
        </w:p>
        <w:p w14:paraId="192B4E45" w14:textId="77777777" w:rsidR="00527BD4" w:rsidRPr="00BE5ED9" w:rsidRDefault="00CB1B3A" w:rsidP="00A50CF6">
          <w:pPr>
            <w:pStyle w:val="Huisstijl-Adres"/>
          </w:pPr>
          <w:r>
            <w:rPr>
              <w:b/>
            </w:rPr>
            <w:t>Bezoekadres</w:t>
          </w:r>
          <w:r>
            <w:rPr>
              <w:b/>
            </w:rPr>
            <w:br/>
          </w:r>
          <w:r>
            <w:t>Bezuidenhoutseweg 73</w:t>
          </w:r>
          <w:r w:rsidRPr="005819CE">
            <w:br/>
          </w:r>
          <w:r>
            <w:t>2594 AC Den Haag</w:t>
          </w:r>
        </w:p>
        <w:p w14:paraId="2D667260" w14:textId="77777777" w:rsidR="00EF495B" w:rsidRDefault="00CB1B3A" w:rsidP="0098788A">
          <w:pPr>
            <w:pStyle w:val="Huisstijl-Adres"/>
          </w:pPr>
          <w:r>
            <w:rPr>
              <w:b/>
            </w:rPr>
            <w:t>Postadres</w:t>
          </w:r>
          <w:r>
            <w:rPr>
              <w:b/>
            </w:rPr>
            <w:br/>
          </w:r>
          <w:r>
            <w:t>Postbus 20401</w:t>
          </w:r>
          <w:r w:rsidRPr="005819CE">
            <w:br/>
            <w:t>2500 E</w:t>
          </w:r>
          <w:r>
            <w:t>K</w:t>
          </w:r>
          <w:r w:rsidRPr="005819CE">
            <w:t xml:space="preserve"> Den Haag</w:t>
          </w:r>
        </w:p>
        <w:p w14:paraId="4E3EA763" w14:textId="77777777" w:rsidR="00EF495B" w:rsidRPr="005B3814" w:rsidRDefault="00CB1B3A" w:rsidP="0098788A">
          <w:pPr>
            <w:pStyle w:val="Huisstijl-Adres"/>
          </w:pPr>
          <w:r>
            <w:rPr>
              <w:b/>
            </w:rPr>
            <w:t>Overheidsidentificatienr</w:t>
          </w:r>
          <w:r>
            <w:rPr>
              <w:b/>
            </w:rPr>
            <w:br/>
          </w:r>
          <w:r w:rsidRPr="005B3814">
            <w:t>00000001003214369000</w:t>
          </w:r>
        </w:p>
        <w:p w14:paraId="6A2946FF" w14:textId="25442B2F" w:rsidR="00527BD4" w:rsidRPr="00C3576E" w:rsidRDefault="00CB1B3A"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97CDD" w:rsidRPr="00202CE1" w14:paraId="7C33C181" w14:textId="77777777" w:rsidTr="00A50CF6">
      <w:trPr>
        <w:trHeight w:hRule="exact" w:val="200"/>
      </w:trPr>
      <w:tc>
        <w:tcPr>
          <w:tcW w:w="2160" w:type="dxa"/>
        </w:tcPr>
        <w:p w14:paraId="22C50A95" w14:textId="77777777" w:rsidR="00527BD4" w:rsidRPr="00C3576E" w:rsidRDefault="00527BD4" w:rsidP="00A50CF6"/>
      </w:tc>
    </w:tr>
    <w:tr w:rsidR="00297CDD" w14:paraId="6CF2A97F" w14:textId="77777777" w:rsidTr="00A50CF6">
      <w:tc>
        <w:tcPr>
          <w:tcW w:w="2160" w:type="dxa"/>
        </w:tcPr>
        <w:p w14:paraId="689367B9" w14:textId="77777777" w:rsidR="000C0163" w:rsidRPr="005819CE" w:rsidRDefault="00CB1B3A" w:rsidP="000C0163">
          <w:pPr>
            <w:pStyle w:val="Huisstijl-Kopje"/>
          </w:pPr>
          <w:r>
            <w:t>Ons kenmerk</w:t>
          </w:r>
          <w:r w:rsidRPr="005819CE">
            <w:t xml:space="preserve"> </w:t>
          </w:r>
        </w:p>
        <w:p w14:paraId="58C1D9C5" w14:textId="7A5A20A2" w:rsidR="007D5E8C" w:rsidRPr="007D5E8C" w:rsidRDefault="00CB1B3A" w:rsidP="007D5E8C">
          <w:pPr>
            <w:shd w:val="clear" w:color="auto" w:fill="FFFFFF"/>
            <w:spacing w:line="240" w:lineRule="auto"/>
            <w:textAlignment w:val="baseline"/>
            <w:rPr>
              <w:rFonts w:cs="Helvetica"/>
              <w:color w:val="000000"/>
              <w:sz w:val="13"/>
              <w:szCs w:val="13"/>
            </w:rPr>
          </w:pPr>
          <w:r w:rsidRPr="007D5E8C">
            <w:rPr>
              <w:sz w:val="13"/>
              <w:szCs w:val="13"/>
            </w:rPr>
            <w:t>KGG_DGRGG</w:t>
          </w:r>
          <w:r w:rsidR="00926AE2" w:rsidRPr="007D5E8C">
            <w:rPr>
              <w:sz w:val="13"/>
              <w:szCs w:val="13"/>
            </w:rPr>
            <w:t xml:space="preserve"> / </w:t>
          </w:r>
          <w:r w:rsidR="007D5E8C" w:rsidRPr="007D5E8C">
            <w:rPr>
              <w:rFonts w:cs="Helvetica"/>
              <w:color w:val="000000"/>
              <w:sz w:val="13"/>
              <w:szCs w:val="13"/>
              <w:bdr w:val="none" w:sz="0" w:space="0" w:color="auto" w:frame="1"/>
            </w:rPr>
            <w:t>105411145</w:t>
          </w:r>
        </w:p>
        <w:p w14:paraId="79FF19C4" w14:textId="1FCC3B00" w:rsidR="000C0163" w:rsidRPr="005819CE" w:rsidRDefault="000C0163" w:rsidP="000C0163">
          <w:pPr>
            <w:pStyle w:val="Huisstijl-Gegeven"/>
          </w:pPr>
        </w:p>
        <w:p w14:paraId="4A8C742E" w14:textId="77777777" w:rsidR="00527BD4" w:rsidRPr="005819CE" w:rsidRDefault="00CB1B3A" w:rsidP="00A50CF6">
          <w:pPr>
            <w:pStyle w:val="Huisstijl-Kopje"/>
          </w:pPr>
          <w:r>
            <w:t>Uw kenmerk</w:t>
          </w:r>
        </w:p>
        <w:p w14:paraId="4DAFD106" w14:textId="64D01582" w:rsidR="00527BD4" w:rsidRPr="005819CE" w:rsidRDefault="00CB1B3A" w:rsidP="00C3576E">
          <w:pPr>
            <w:pStyle w:val="Huisstijl-Gegeven"/>
          </w:pPr>
          <w:r>
            <w:t>2026Z01793</w:t>
          </w:r>
        </w:p>
      </w:tc>
    </w:tr>
  </w:tbl>
  <w:p w14:paraId="345D509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97CDD" w14:paraId="4A35AB0A" w14:textId="77777777" w:rsidTr="007610AA">
      <w:trPr>
        <w:trHeight w:val="400"/>
      </w:trPr>
      <w:tc>
        <w:tcPr>
          <w:tcW w:w="7520" w:type="dxa"/>
          <w:gridSpan w:val="2"/>
        </w:tcPr>
        <w:p w14:paraId="7AE8A603" w14:textId="77777777" w:rsidR="00527BD4" w:rsidRPr="00BC3B53" w:rsidRDefault="00CB1B3A" w:rsidP="00A50CF6">
          <w:pPr>
            <w:pStyle w:val="Huisstijl-Retouradres"/>
          </w:pPr>
          <w:r>
            <w:t>&gt; Retouradres Postbus 20401 2500 EK Den Haag</w:t>
          </w:r>
        </w:p>
      </w:tc>
    </w:tr>
    <w:tr w:rsidR="00297CDD" w14:paraId="080795FB" w14:textId="77777777" w:rsidTr="007610AA">
      <w:tc>
        <w:tcPr>
          <w:tcW w:w="7520" w:type="dxa"/>
          <w:gridSpan w:val="2"/>
        </w:tcPr>
        <w:p w14:paraId="07EF727B" w14:textId="77777777" w:rsidR="00527BD4" w:rsidRPr="00983E8F" w:rsidRDefault="00527BD4" w:rsidP="00A50CF6">
          <w:pPr>
            <w:pStyle w:val="Huisstijl-Rubricering"/>
          </w:pPr>
        </w:p>
      </w:tc>
    </w:tr>
    <w:tr w:rsidR="00297CDD" w14:paraId="10790FB5" w14:textId="77777777" w:rsidTr="007610AA">
      <w:trPr>
        <w:trHeight w:hRule="exact" w:val="2440"/>
      </w:trPr>
      <w:tc>
        <w:tcPr>
          <w:tcW w:w="7520" w:type="dxa"/>
          <w:gridSpan w:val="2"/>
        </w:tcPr>
        <w:p w14:paraId="261161A0" w14:textId="77777777" w:rsidR="00527BD4" w:rsidRDefault="00CB1B3A" w:rsidP="00A50CF6">
          <w:pPr>
            <w:pStyle w:val="Huisstijl-NAW"/>
          </w:pPr>
          <w:r>
            <w:t xml:space="preserve">De Voorzitter van de Tweede Kamer </w:t>
          </w:r>
        </w:p>
        <w:p w14:paraId="03DB0DBF" w14:textId="77777777" w:rsidR="00D87195" w:rsidRDefault="00CB1B3A" w:rsidP="00D87195">
          <w:pPr>
            <w:pStyle w:val="Huisstijl-NAW"/>
          </w:pPr>
          <w:r>
            <w:t>der Staten-Generaal</w:t>
          </w:r>
        </w:p>
        <w:p w14:paraId="05AB0AF8" w14:textId="77777777" w:rsidR="00EA0F13" w:rsidRDefault="00CB1B3A" w:rsidP="00EA0F13">
          <w:pPr>
            <w:rPr>
              <w:szCs w:val="18"/>
            </w:rPr>
          </w:pPr>
          <w:r>
            <w:rPr>
              <w:szCs w:val="18"/>
            </w:rPr>
            <w:t>Prinses Irenestraat 6</w:t>
          </w:r>
        </w:p>
        <w:p w14:paraId="2764AE15" w14:textId="77777777" w:rsidR="00985E56" w:rsidRDefault="00CB1B3A" w:rsidP="00EA0F13">
          <w:pPr>
            <w:rPr>
              <w:szCs w:val="18"/>
            </w:rPr>
          </w:pPr>
          <w:r>
            <w:rPr>
              <w:szCs w:val="18"/>
            </w:rPr>
            <w:t>2595 BD  DEN HAAG</w:t>
          </w:r>
        </w:p>
        <w:p w14:paraId="61B8CBE1" w14:textId="77777777" w:rsidR="00C3576E" w:rsidRPr="00C3576E" w:rsidRDefault="00C3576E" w:rsidP="00C3576E"/>
        <w:p w14:paraId="4E84D30E" w14:textId="77777777" w:rsidR="00C3576E" w:rsidRDefault="00C3576E" w:rsidP="00C3576E">
          <w:pPr>
            <w:rPr>
              <w:szCs w:val="18"/>
            </w:rPr>
          </w:pPr>
        </w:p>
        <w:p w14:paraId="0DD07083" w14:textId="1B2BE9A8" w:rsidR="00C3576E" w:rsidRPr="00C3576E" w:rsidRDefault="00C3576E" w:rsidP="00C3576E">
          <w:pPr>
            <w:tabs>
              <w:tab w:val="left" w:pos="3194"/>
            </w:tabs>
          </w:pPr>
          <w:r>
            <w:tab/>
          </w:r>
        </w:p>
      </w:tc>
    </w:tr>
    <w:tr w:rsidR="00297CDD" w14:paraId="6554D0B2" w14:textId="77777777" w:rsidTr="007610AA">
      <w:trPr>
        <w:trHeight w:hRule="exact" w:val="400"/>
      </w:trPr>
      <w:tc>
        <w:tcPr>
          <w:tcW w:w="7520" w:type="dxa"/>
          <w:gridSpan w:val="2"/>
        </w:tcPr>
        <w:p w14:paraId="0F5C5C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97CDD" w14:paraId="68653E75" w14:textId="77777777" w:rsidTr="007610AA">
      <w:trPr>
        <w:trHeight w:val="240"/>
      </w:trPr>
      <w:tc>
        <w:tcPr>
          <w:tcW w:w="900" w:type="dxa"/>
        </w:tcPr>
        <w:p w14:paraId="01D719BB" w14:textId="77777777" w:rsidR="00527BD4" w:rsidRPr="007709EF" w:rsidRDefault="00CB1B3A" w:rsidP="00A50CF6">
          <w:pPr>
            <w:rPr>
              <w:szCs w:val="18"/>
            </w:rPr>
          </w:pPr>
          <w:r>
            <w:rPr>
              <w:szCs w:val="18"/>
            </w:rPr>
            <w:t>Datum</w:t>
          </w:r>
        </w:p>
      </w:tc>
      <w:tc>
        <w:tcPr>
          <w:tcW w:w="6620" w:type="dxa"/>
        </w:tcPr>
        <w:p w14:paraId="3402BEFA" w14:textId="6C0FC7CB" w:rsidR="00527BD4" w:rsidRPr="007709EF" w:rsidRDefault="00AA1441" w:rsidP="00A50CF6">
          <w:r>
            <w:t>26 maart 2026</w:t>
          </w:r>
        </w:p>
      </w:tc>
    </w:tr>
    <w:tr w:rsidR="00297CDD" w14:paraId="7A4EBFD6" w14:textId="77777777" w:rsidTr="007610AA">
      <w:trPr>
        <w:trHeight w:val="240"/>
      </w:trPr>
      <w:tc>
        <w:tcPr>
          <w:tcW w:w="900" w:type="dxa"/>
        </w:tcPr>
        <w:p w14:paraId="0F1A03D8" w14:textId="77777777" w:rsidR="00527BD4" w:rsidRPr="007709EF" w:rsidRDefault="00CB1B3A" w:rsidP="00A50CF6">
          <w:pPr>
            <w:rPr>
              <w:szCs w:val="18"/>
            </w:rPr>
          </w:pPr>
          <w:r>
            <w:rPr>
              <w:szCs w:val="18"/>
            </w:rPr>
            <w:t>Betreft</w:t>
          </w:r>
        </w:p>
      </w:tc>
      <w:tc>
        <w:tcPr>
          <w:tcW w:w="6620" w:type="dxa"/>
        </w:tcPr>
        <w:p w14:paraId="74123A2D" w14:textId="77777777" w:rsidR="00527BD4" w:rsidRPr="007709EF" w:rsidRDefault="00CB1B3A" w:rsidP="00A50CF6">
          <w:r>
            <w:t xml:space="preserve">Beantwoording Kamervragen over het conceptakkoord met Tata Steel en de vraagtekens bij de daadwerkelijke klimaatwinst van de miljarden staatssubsidie </w:t>
          </w:r>
        </w:p>
      </w:tc>
    </w:tr>
  </w:tbl>
  <w:p w14:paraId="3A227FB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722AB8">
      <w:start w:val="1"/>
      <w:numFmt w:val="bullet"/>
      <w:pStyle w:val="Lijstopsomteken"/>
      <w:lvlText w:val="•"/>
      <w:lvlJc w:val="left"/>
      <w:pPr>
        <w:tabs>
          <w:tab w:val="num" w:pos="227"/>
        </w:tabs>
        <w:ind w:left="227" w:hanging="227"/>
      </w:pPr>
      <w:rPr>
        <w:rFonts w:ascii="Verdana" w:hAnsi="Verdana" w:hint="default"/>
        <w:sz w:val="18"/>
        <w:szCs w:val="18"/>
      </w:rPr>
    </w:lvl>
    <w:lvl w:ilvl="1" w:tplc="596615DC" w:tentative="1">
      <w:start w:val="1"/>
      <w:numFmt w:val="bullet"/>
      <w:lvlText w:val="o"/>
      <w:lvlJc w:val="left"/>
      <w:pPr>
        <w:tabs>
          <w:tab w:val="num" w:pos="1440"/>
        </w:tabs>
        <w:ind w:left="1440" w:hanging="360"/>
      </w:pPr>
      <w:rPr>
        <w:rFonts w:ascii="Courier New" w:hAnsi="Courier New" w:cs="Courier New" w:hint="default"/>
      </w:rPr>
    </w:lvl>
    <w:lvl w:ilvl="2" w:tplc="03F2B1C0" w:tentative="1">
      <w:start w:val="1"/>
      <w:numFmt w:val="bullet"/>
      <w:lvlText w:val=""/>
      <w:lvlJc w:val="left"/>
      <w:pPr>
        <w:tabs>
          <w:tab w:val="num" w:pos="2160"/>
        </w:tabs>
        <w:ind w:left="2160" w:hanging="360"/>
      </w:pPr>
      <w:rPr>
        <w:rFonts w:ascii="Wingdings" w:hAnsi="Wingdings" w:hint="default"/>
      </w:rPr>
    </w:lvl>
    <w:lvl w:ilvl="3" w:tplc="812CE87E" w:tentative="1">
      <w:start w:val="1"/>
      <w:numFmt w:val="bullet"/>
      <w:lvlText w:val=""/>
      <w:lvlJc w:val="left"/>
      <w:pPr>
        <w:tabs>
          <w:tab w:val="num" w:pos="2880"/>
        </w:tabs>
        <w:ind w:left="2880" w:hanging="360"/>
      </w:pPr>
      <w:rPr>
        <w:rFonts w:ascii="Symbol" w:hAnsi="Symbol" w:hint="default"/>
      </w:rPr>
    </w:lvl>
    <w:lvl w:ilvl="4" w:tplc="B5E0DD3E" w:tentative="1">
      <w:start w:val="1"/>
      <w:numFmt w:val="bullet"/>
      <w:lvlText w:val="o"/>
      <w:lvlJc w:val="left"/>
      <w:pPr>
        <w:tabs>
          <w:tab w:val="num" w:pos="3600"/>
        </w:tabs>
        <w:ind w:left="3600" w:hanging="360"/>
      </w:pPr>
      <w:rPr>
        <w:rFonts w:ascii="Courier New" w:hAnsi="Courier New" w:cs="Courier New" w:hint="default"/>
      </w:rPr>
    </w:lvl>
    <w:lvl w:ilvl="5" w:tplc="2F3C8292" w:tentative="1">
      <w:start w:val="1"/>
      <w:numFmt w:val="bullet"/>
      <w:lvlText w:val=""/>
      <w:lvlJc w:val="left"/>
      <w:pPr>
        <w:tabs>
          <w:tab w:val="num" w:pos="4320"/>
        </w:tabs>
        <w:ind w:left="4320" w:hanging="360"/>
      </w:pPr>
      <w:rPr>
        <w:rFonts w:ascii="Wingdings" w:hAnsi="Wingdings" w:hint="default"/>
      </w:rPr>
    </w:lvl>
    <w:lvl w:ilvl="6" w:tplc="A598660E" w:tentative="1">
      <w:start w:val="1"/>
      <w:numFmt w:val="bullet"/>
      <w:lvlText w:val=""/>
      <w:lvlJc w:val="left"/>
      <w:pPr>
        <w:tabs>
          <w:tab w:val="num" w:pos="5040"/>
        </w:tabs>
        <w:ind w:left="5040" w:hanging="360"/>
      </w:pPr>
      <w:rPr>
        <w:rFonts w:ascii="Symbol" w:hAnsi="Symbol" w:hint="default"/>
      </w:rPr>
    </w:lvl>
    <w:lvl w:ilvl="7" w:tplc="863AD542" w:tentative="1">
      <w:start w:val="1"/>
      <w:numFmt w:val="bullet"/>
      <w:lvlText w:val="o"/>
      <w:lvlJc w:val="left"/>
      <w:pPr>
        <w:tabs>
          <w:tab w:val="num" w:pos="5760"/>
        </w:tabs>
        <w:ind w:left="5760" w:hanging="360"/>
      </w:pPr>
      <w:rPr>
        <w:rFonts w:ascii="Courier New" w:hAnsi="Courier New" w:cs="Courier New" w:hint="default"/>
      </w:rPr>
    </w:lvl>
    <w:lvl w:ilvl="8" w:tplc="BF908B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9E4112E">
      <w:start w:val="1"/>
      <w:numFmt w:val="bullet"/>
      <w:pStyle w:val="Lijstopsomteken2"/>
      <w:lvlText w:val="–"/>
      <w:lvlJc w:val="left"/>
      <w:pPr>
        <w:tabs>
          <w:tab w:val="num" w:pos="227"/>
        </w:tabs>
        <w:ind w:left="227" w:firstLine="0"/>
      </w:pPr>
      <w:rPr>
        <w:rFonts w:ascii="Verdana" w:hAnsi="Verdana" w:hint="default"/>
      </w:rPr>
    </w:lvl>
    <w:lvl w:ilvl="1" w:tplc="952EA512" w:tentative="1">
      <w:start w:val="1"/>
      <w:numFmt w:val="bullet"/>
      <w:lvlText w:val="o"/>
      <w:lvlJc w:val="left"/>
      <w:pPr>
        <w:tabs>
          <w:tab w:val="num" w:pos="1440"/>
        </w:tabs>
        <w:ind w:left="1440" w:hanging="360"/>
      </w:pPr>
      <w:rPr>
        <w:rFonts w:ascii="Courier New" w:hAnsi="Courier New" w:cs="Courier New" w:hint="default"/>
      </w:rPr>
    </w:lvl>
    <w:lvl w:ilvl="2" w:tplc="238C0D94" w:tentative="1">
      <w:start w:val="1"/>
      <w:numFmt w:val="bullet"/>
      <w:lvlText w:val=""/>
      <w:lvlJc w:val="left"/>
      <w:pPr>
        <w:tabs>
          <w:tab w:val="num" w:pos="2160"/>
        </w:tabs>
        <w:ind w:left="2160" w:hanging="360"/>
      </w:pPr>
      <w:rPr>
        <w:rFonts w:ascii="Wingdings" w:hAnsi="Wingdings" w:hint="default"/>
      </w:rPr>
    </w:lvl>
    <w:lvl w:ilvl="3" w:tplc="5E2415B8" w:tentative="1">
      <w:start w:val="1"/>
      <w:numFmt w:val="bullet"/>
      <w:lvlText w:val=""/>
      <w:lvlJc w:val="left"/>
      <w:pPr>
        <w:tabs>
          <w:tab w:val="num" w:pos="2880"/>
        </w:tabs>
        <w:ind w:left="2880" w:hanging="360"/>
      </w:pPr>
      <w:rPr>
        <w:rFonts w:ascii="Symbol" w:hAnsi="Symbol" w:hint="default"/>
      </w:rPr>
    </w:lvl>
    <w:lvl w:ilvl="4" w:tplc="A5088CE4" w:tentative="1">
      <w:start w:val="1"/>
      <w:numFmt w:val="bullet"/>
      <w:lvlText w:val="o"/>
      <w:lvlJc w:val="left"/>
      <w:pPr>
        <w:tabs>
          <w:tab w:val="num" w:pos="3600"/>
        </w:tabs>
        <w:ind w:left="3600" w:hanging="360"/>
      </w:pPr>
      <w:rPr>
        <w:rFonts w:ascii="Courier New" w:hAnsi="Courier New" w:cs="Courier New" w:hint="default"/>
      </w:rPr>
    </w:lvl>
    <w:lvl w:ilvl="5" w:tplc="9E048D7E" w:tentative="1">
      <w:start w:val="1"/>
      <w:numFmt w:val="bullet"/>
      <w:lvlText w:val=""/>
      <w:lvlJc w:val="left"/>
      <w:pPr>
        <w:tabs>
          <w:tab w:val="num" w:pos="4320"/>
        </w:tabs>
        <w:ind w:left="4320" w:hanging="360"/>
      </w:pPr>
      <w:rPr>
        <w:rFonts w:ascii="Wingdings" w:hAnsi="Wingdings" w:hint="default"/>
      </w:rPr>
    </w:lvl>
    <w:lvl w:ilvl="6" w:tplc="990CE8DA" w:tentative="1">
      <w:start w:val="1"/>
      <w:numFmt w:val="bullet"/>
      <w:lvlText w:val=""/>
      <w:lvlJc w:val="left"/>
      <w:pPr>
        <w:tabs>
          <w:tab w:val="num" w:pos="5040"/>
        </w:tabs>
        <w:ind w:left="5040" w:hanging="360"/>
      </w:pPr>
      <w:rPr>
        <w:rFonts w:ascii="Symbol" w:hAnsi="Symbol" w:hint="default"/>
      </w:rPr>
    </w:lvl>
    <w:lvl w:ilvl="7" w:tplc="78DC14F2" w:tentative="1">
      <w:start w:val="1"/>
      <w:numFmt w:val="bullet"/>
      <w:lvlText w:val="o"/>
      <w:lvlJc w:val="left"/>
      <w:pPr>
        <w:tabs>
          <w:tab w:val="num" w:pos="5760"/>
        </w:tabs>
        <w:ind w:left="5760" w:hanging="360"/>
      </w:pPr>
      <w:rPr>
        <w:rFonts w:ascii="Courier New" w:hAnsi="Courier New" w:cs="Courier New" w:hint="default"/>
      </w:rPr>
    </w:lvl>
    <w:lvl w:ilvl="8" w:tplc="0EAC62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141257">
    <w:abstractNumId w:val="10"/>
  </w:num>
  <w:num w:numId="2" w16cid:durableId="846137242">
    <w:abstractNumId w:val="7"/>
  </w:num>
  <w:num w:numId="3" w16cid:durableId="917012318">
    <w:abstractNumId w:val="6"/>
  </w:num>
  <w:num w:numId="4" w16cid:durableId="1577787796">
    <w:abstractNumId w:val="5"/>
  </w:num>
  <w:num w:numId="5" w16cid:durableId="1472097812">
    <w:abstractNumId w:val="4"/>
  </w:num>
  <w:num w:numId="6" w16cid:durableId="184369241">
    <w:abstractNumId w:val="8"/>
  </w:num>
  <w:num w:numId="7" w16cid:durableId="2109888353">
    <w:abstractNumId w:val="3"/>
  </w:num>
  <w:num w:numId="8" w16cid:durableId="288516779">
    <w:abstractNumId w:val="2"/>
  </w:num>
  <w:num w:numId="9" w16cid:durableId="1085030271">
    <w:abstractNumId w:val="1"/>
  </w:num>
  <w:num w:numId="10" w16cid:durableId="889340145">
    <w:abstractNumId w:val="0"/>
  </w:num>
  <w:num w:numId="11" w16cid:durableId="519248449">
    <w:abstractNumId w:val="9"/>
  </w:num>
  <w:num w:numId="12" w16cid:durableId="1962494776">
    <w:abstractNumId w:val="11"/>
  </w:num>
  <w:num w:numId="13" w16cid:durableId="407120413">
    <w:abstractNumId w:val="13"/>
  </w:num>
  <w:num w:numId="14" w16cid:durableId="10059847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7049"/>
    <w:rsid w:val="00042A5B"/>
    <w:rsid w:val="00056704"/>
    <w:rsid w:val="0006024D"/>
    <w:rsid w:val="00071F28"/>
    <w:rsid w:val="00074079"/>
    <w:rsid w:val="00081610"/>
    <w:rsid w:val="00084922"/>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5703B"/>
    <w:rsid w:val="00161B1F"/>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3A17"/>
    <w:rsid w:val="001C4D5A"/>
    <w:rsid w:val="001D5ABC"/>
    <w:rsid w:val="001E34C6"/>
    <w:rsid w:val="001E5581"/>
    <w:rsid w:val="001F25DA"/>
    <w:rsid w:val="001F3C70"/>
    <w:rsid w:val="00200D88"/>
    <w:rsid w:val="002012D4"/>
    <w:rsid w:val="00201F68"/>
    <w:rsid w:val="00202CE1"/>
    <w:rsid w:val="00212F2A"/>
    <w:rsid w:val="00214F2B"/>
    <w:rsid w:val="00217880"/>
    <w:rsid w:val="00222D66"/>
    <w:rsid w:val="00224A8A"/>
    <w:rsid w:val="00225675"/>
    <w:rsid w:val="002271C6"/>
    <w:rsid w:val="002309A8"/>
    <w:rsid w:val="00236CFE"/>
    <w:rsid w:val="002428E3"/>
    <w:rsid w:val="00243031"/>
    <w:rsid w:val="0025042A"/>
    <w:rsid w:val="00251DC8"/>
    <w:rsid w:val="00260BAF"/>
    <w:rsid w:val="00263155"/>
    <w:rsid w:val="002650F7"/>
    <w:rsid w:val="00273F3B"/>
    <w:rsid w:val="00274DB7"/>
    <w:rsid w:val="00275984"/>
    <w:rsid w:val="00280F74"/>
    <w:rsid w:val="002822CA"/>
    <w:rsid w:val="00286998"/>
    <w:rsid w:val="0029019C"/>
    <w:rsid w:val="002916AE"/>
    <w:rsid w:val="00291AB7"/>
    <w:rsid w:val="00292EB2"/>
    <w:rsid w:val="0029422B"/>
    <w:rsid w:val="00297CDD"/>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00CE"/>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C4BBA"/>
    <w:rsid w:val="003D39EC"/>
    <w:rsid w:val="003D5DED"/>
    <w:rsid w:val="003E3DD5"/>
    <w:rsid w:val="003F07C6"/>
    <w:rsid w:val="003F1F6B"/>
    <w:rsid w:val="003F3757"/>
    <w:rsid w:val="003F38BD"/>
    <w:rsid w:val="003F44B7"/>
    <w:rsid w:val="004008E9"/>
    <w:rsid w:val="00405C2A"/>
    <w:rsid w:val="0040712B"/>
    <w:rsid w:val="00413D48"/>
    <w:rsid w:val="00423A19"/>
    <w:rsid w:val="00434D7D"/>
    <w:rsid w:val="00441AC2"/>
    <w:rsid w:val="0044249B"/>
    <w:rsid w:val="0045023C"/>
    <w:rsid w:val="00451A5B"/>
    <w:rsid w:val="00452BCD"/>
    <w:rsid w:val="00452CEA"/>
    <w:rsid w:val="00465B52"/>
    <w:rsid w:val="0046708E"/>
    <w:rsid w:val="00472A65"/>
    <w:rsid w:val="00474463"/>
    <w:rsid w:val="00474B75"/>
    <w:rsid w:val="00483F0B"/>
    <w:rsid w:val="00486576"/>
    <w:rsid w:val="00496319"/>
    <w:rsid w:val="00497279"/>
    <w:rsid w:val="004A163B"/>
    <w:rsid w:val="004A670A"/>
    <w:rsid w:val="004B2F0C"/>
    <w:rsid w:val="004B5465"/>
    <w:rsid w:val="004B70F0"/>
    <w:rsid w:val="004C21A8"/>
    <w:rsid w:val="004D505E"/>
    <w:rsid w:val="004D72CA"/>
    <w:rsid w:val="004E1ECA"/>
    <w:rsid w:val="004E2242"/>
    <w:rsid w:val="004E505E"/>
    <w:rsid w:val="004F42FF"/>
    <w:rsid w:val="004F44C2"/>
    <w:rsid w:val="00502512"/>
    <w:rsid w:val="00503FD2"/>
    <w:rsid w:val="00505262"/>
    <w:rsid w:val="00516022"/>
    <w:rsid w:val="00521CEE"/>
    <w:rsid w:val="00524FB4"/>
    <w:rsid w:val="00525119"/>
    <w:rsid w:val="00527BD4"/>
    <w:rsid w:val="00537095"/>
    <w:rsid w:val="005403C8"/>
    <w:rsid w:val="005429DC"/>
    <w:rsid w:val="005461DA"/>
    <w:rsid w:val="005565F9"/>
    <w:rsid w:val="005602D8"/>
    <w:rsid w:val="005624F2"/>
    <w:rsid w:val="00573041"/>
    <w:rsid w:val="0057388D"/>
    <w:rsid w:val="00575B80"/>
    <w:rsid w:val="0057620F"/>
    <w:rsid w:val="005819CE"/>
    <w:rsid w:val="0058298D"/>
    <w:rsid w:val="00584C1A"/>
    <w:rsid w:val="005867EF"/>
    <w:rsid w:val="00593C2B"/>
    <w:rsid w:val="00595231"/>
    <w:rsid w:val="00596166"/>
    <w:rsid w:val="00596490"/>
    <w:rsid w:val="00597F64"/>
    <w:rsid w:val="005A207F"/>
    <w:rsid w:val="005A2F35"/>
    <w:rsid w:val="005B3814"/>
    <w:rsid w:val="005B463E"/>
    <w:rsid w:val="005C34E1"/>
    <w:rsid w:val="005C3FE0"/>
    <w:rsid w:val="005C675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5FA7"/>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6942"/>
    <w:rsid w:val="006A72E0"/>
    <w:rsid w:val="006B0BF3"/>
    <w:rsid w:val="006B775E"/>
    <w:rsid w:val="006B7A36"/>
    <w:rsid w:val="006B7BC7"/>
    <w:rsid w:val="006C2535"/>
    <w:rsid w:val="006C441E"/>
    <w:rsid w:val="006C4B90"/>
    <w:rsid w:val="006D1016"/>
    <w:rsid w:val="006D17F2"/>
    <w:rsid w:val="006D6942"/>
    <w:rsid w:val="006E3546"/>
    <w:rsid w:val="006E3FA9"/>
    <w:rsid w:val="006E7D82"/>
    <w:rsid w:val="006F038F"/>
    <w:rsid w:val="006F0F93"/>
    <w:rsid w:val="006F31F2"/>
    <w:rsid w:val="006F7494"/>
    <w:rsid w:val="006F751F"/>
    <w:rsid w:val="00704E42"/>
    <w:rsid w:val="0070686C"/>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A6637"/>
    <w:rsid w:val="007B4503"/>
    <w:rsid w:val="007C406E"/>
    <w:rsid w:val="007C5183"/>
    <w:rsid w:val="007C7573"/>
    <w:rsid w:val="007D5E8C"/>
    <w:rsid w:val="007E2B20"/>
    <w:rsid w:val="007E6D39"/>
    <w:rsid w:val="007F3645"/>
    <w:rsid w:val="007F439C"/>
    <w:rsid w:val="007F5331"/>
    <w:rsid w:val="00800CCA"/>
    <w:rsid w:val="00806120"/>
    <w:rsid w:val="0080649B"/>
    <w:rsid w:val="00806F63"/>
    <w:rsid w:val="00810C93"/>
    <w:rsid w:val="00812028"/>
    <w:rsid w:val="00812A3A"/>
    <w:rsid w:val="00812DD8"/>
    <w:rsid w:val="00813082"/>
    <w:rsid w:val="00814D03"/>
    <w:rsid w:val="00815D8C"/>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28"/>
    <w:rsid w:val="009A61BC"/>
    <w:rsid w:val="009B0138"/>
    <w:rsid w:val="009B0FE9"/>
    <w:rsid w:val="009B173A"/>
    <w:rsid w:val="009C3F20"/>
    <w:rsid w:val="009C7CA1"/>
    <w:rsid w:val="009D043D"/>
    <w:rsid w:val="009E4A2D"/>
    <w:rsid w:val="009F3259"/>
    <w:rsid w:val="009F5983"/>
    <w:rsid w:val="00A037D5"/>
    <w:rsid w:val="00A056DE"/>
    <w:rsid w:val="00A1247D"/>
    <w:rsid w:val="00A128AD"/>
    <w:rsid w:val="00A164D0"/>
    <w:rsid w:val="00A219AF"/>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4DF"/>
    <w:rsid w:val="00AA0C1B"/>
    <w:rsid w:val="00AA1441"/>
    <w:rsid w:val="00AA7FC9"/>
    <w:rsid w:val="00AB0EED"/>
    <w:rsid w:val="00AB237D"/>
    <w:rsid w:val="00AB3FB7"/>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53"/>
    <w:rsid w:val="00B331A2"/>
    <w:rsid w:val="00B425F0"/>
    <w:rsid w:val="00B42DFA"/>
    <w:rsid w:val="00B531DD"/>
    <w:rsid w:val="00B55014"/>
    <w:rsid w:val="00B55136"/>
    <w:rsid w:val="00B62232"/>
    <w:rsid w:val="00B70BF3"/>
    <w:rsid w:val="00B71DC2"/>
    <w:rsid w:val="00B849F5"/>
    <w:rsid w:val="00B91205"/>
    <w:rsid w:val="00B919AD"/>
    <w:rsid w:val="00B91CFC"/>
    <w:rsid w:val="00B93893"/>
    <w:rsid w:val="00B93AE2"/>
    <w:rsid w:val="00BA1397"/>
    <w:rsid w:val="00BA51E1"/>
    <w:rsid w:val="00BA7E0A"/>
    <w:rsid w:val="00BC2C00"/>
    <w:rsid w:val="00BC3B53"/>
    <w:rsid w:val="00BC3B96"/>
    <w:rsid w:val="00BC4AE3"/>
    <w:rsid w:val="00BC5B28"/>
    <w:rsid w:val="00BD2370"/>
    <w:rsid w:val="00BE3F88"/>
    <w:rsid w:val="00BE4756"/>
    <w:rsid w:val="00BE5ED9"/>
    <w:rsid w:val="00BE7B41"/>
    <w:rsid w:val="00C13BB5"/>
    <w:rsid w:val="00C15A91"/>
    <w:rsid w:val="00C206F1"/>
    <w:rsid w:val="00C217E1"/>
    <w:rsid w:val="00C219B1"/>
    <w:rsid w:val="00C3576E"/>
    <w:rsid w:val="00C4015B"/>
    <w:rsid w:val="00C40C60"/>
    <w:rsid w:val="00C435ED"/>
    <w:rsid w:val="00C5258E"/>
    <w:rsid w:val="00C530C9"/>
    <w:rsid w:val="00C619A7"/>
    <w:rsid w:val="00C632E2"/>
    <w:rsid w:val="00C6630B"/>
    <w:rsid w:val="00C73D5F"/>
    <w:rsid w:val="00C80A99"/>
    <w:rsid w:val="00C82AFE"/>
    <w:rsid w:val="00C83DBC"/>
    <w:rsid w:val="00C97C80"/>
    <w:rsid w:val="00CA47D3"/>
    <w:rsid w:val="00CA6533"/>
    <w:rsid w:val="00CA6A25"/>
    <w:rsid w:val="00CA6A3F"/>
    <w:rsid w:val="00CA7C99"/>
    <w:rsid w:val="00CB1B3A"/>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26A51"/>
    <w:rsid w:val="00D30C24"/>
    <w:rsid w:val="00D33BF0"/>
    <w:rsid w:val="00D33DE0"/>
    <w:rsid w:val="00D36447"/>
    <w:rsid w:val="00D516BE"/>
    <w:rsid w:val="00D5423B"/>
    <w:rsid w:val="00D54CE4"/>
    <w:rsid w:val="00D54E6A"/>
    <w:rsid w:val="00D54F4E"/>
    <w:rsid w:val="00D57A56"/>
    <w:rsid w:val="00D604B3"/>
    <w:rsid w:val="00D60BA4"/>
    <w:rsid w:val="00D62419"/>
    <w:rsid w:val="00D73308"/>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2340"/>
    <w:rsid w:val="00E15881"/>
    <w:rsid w:val="00E16A8F"/>
    <w:rsid w:val="00E21DE3"/>
    <w:rsid w:val="00E273C5"/>
    <w:rsid w:val="00E307D1"/>
    <w:rsid w:val="00E3731D"/>
    <w:rsid w:val="00E51469"/>
    <w:rsid w:val="00E634E3"/>
    <w:rsid w:val="00E717C4"/>
    <w:rsid w:val="00E736E9"/>
    <w:rsid w:val="00E77622"/>
    <w:rsid w:val="00E77E18"/>
    <w:rsid w:val="00E77F89"/>
    <w:rsid w:val="00E80330"/>
    <w:rsid w:val="00E806C5"/>
    <w:rsid w:val="00E80E71"/>
    <w:rsid w:val="00E850D3"/>
    <w:rsid w:val="00E853D6"/>
    <w:rsid w:val="00E876B9"/>
    <w:rsid w:val="00EA0F13"/>
    <w:rsid w:val="00EC0DFF"/>
    <w:rsid w:val="00EC237D"/>
    <w:rsid w:val="00EC28B3"/>
    <w:rsid w:val="00EC2918"/>
    <w:rsid w:val="00EC4D0E"/>
    <w:rsid w:val="00EC4E2B"/>
    <w:rsid w:val="00EC5499"/>
    <w:rsid w:val="00ED072A"/>
    <w:rsid w:val="00ED539E"/>
    <w:rsid w:val="00ED7804"/>
    <w:rsid w:val="00EE4A1F"/>
    <w:rsid w:val="00EE4C2D"/>
    <w:rsid w:val="00EF1B5A"/>
    <w:rsid w:val="00EF24FB"/>
    <w:rsid w:val="00EF2CCA"/>
    <w:rsid w:val="00EF495B"/>
    <w:rsid w:val="00EF60DC"/>
    <w:rsid w:val="00EF6D37"/>
    <w:rsid w:val="00F00F54"/>
    <w:rsid w:val="00F026DE"/>
    <w:rsid w:val="00F03963"/>
    <w:rsid w:val="00F06BEC"/>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66F1C"/>
    <w:rsid w:val="00F74073"/>
    <w:rsid w:val="00F74566"/>
    <w:rsid w:val="00F75603"/>
    <w:rsid w:val="00F845B4"/>
    <w:rsid w:val="00F8713B"/>
    <w:rsid w:val="00F93F9E"/>
    <w:rsid w:val="00F942BA"/>
    <w:rsid w:val="00FA2CD7"/>
    <w:rsid w:val="00FB06ED"/>
    <w:rsid w:val="00FC2311"/>
    <w:rsid w:val="00FC3165"/>
    <w:rsid w:val="00FC36AB"/>
    <w:rsid w:val="00FC4300"/>
    <w:rsid w:val="00FC7F66"/>
    <w:rsid w:val="00FD5776"/>
    <w:rsid w:val="00FE1CB6"/>
    <w:rsid w:val="00FE486B"/>
    <w:rsid w:val="00FE4F08"/>
    <w:rsid w:val="00FF192E"/>
    <w:rsid w:val="046CE0B6"/>
    <w:rsid w:val="0803A441"/>
    <w:rsid w:val="0871A29E"/>
    <w:rsid w:val="0ECDACB5"/>
    <w:rsid w:val="11C1A345"/>
    <w:rsid w:val="14DDFF99"/>
    <w:rsid w:val="194B23E5"/>
    <w:rsid w:val="1B151C1A"/>
    <w:rsid w:val="1EA7D813"/>
    <w:rsid w:val="1ED46437"/>
    <w:rsid w:val="25519FDE"/>
    <w:rsid w:val="2826AD8B"/>
    <w:rsid w:val="2BB8F553"/>
    <w:rsid w:val="2C91048A"/>
    <w:rsid w:val="2EE42688"/>
    <w:rsid w:val="3081AF74"/>
    <w:rsid w:val="3152076E"/>
    <w:rsid w:val="33DD76D0"/>
    <w:rsid w:val="37041043"/>
    <w:rsid w:val="38654277"/>
    <w:rsid w:val="38CFC4AA"/>
    <w:rsid w:val="3C67086B"/>
    <w:rsid w:val="3E9F8F64"/>
    <w:rsid w:val="3FD45D68"/>
    <w:rsid w:val="411EACA6"/>
    <w:rsid w:val="44E4D99A"/>
    <w:rsid w:val="463A0341"/>
    <w:rsid w:val="4AEAEA9E"/>
    <w:rsid w:val="4D722AE7"/>
    <w:rsid w:val="4DE19CCC"/>
    <w:rsid w:val="518A35E3"/>
    <w:rsid w:val="5203D91A"/>
    <w:rsid w:val="52B74B67"/>
    <w:rsid w:val="52BBF778"/>
    <w:rsid w:val="57E8D91B"/>
    <w:rsid w:val="58169390"/>
    <w:rsid w:val="5B2F22BD"/>
    <w:rsid w:val="654515AE"/>
    <w:rsid w:val="699058A1"/>
    <w:rsid w:val="708FED5A"/>
    <w:rsid w:val="7AB98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A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AB3FB7"/>
    <w:rPr>
      <w:vertAlign w:val="superscript"/>
    </w:rPr>
  </w:style>
  <w:style w:type="character" w:styleId="Verwijzingopmerking">
    <w:name w:val="annotation reference"/>
    <w:basedOn w:val="Standaardalinea-lettertype"/>
    <w:semiHidden/>
    <w:unhideWhenUsed/>
    <w:rsid w:val="003500CE"/>
    <w:rPr>
      <w:sz w:val="16"/>
      <w:szCs w:val="16"/>
    </w:rPr>
  </w:style>
  <w:style w:type="paragraph" w:styleId="Tekstopmerking">
    <w:name w:val="annotation text"/>
    <w:basedOn w:val="Standaard"/>
    <w:link w:val="TekstopmerkingChar"/>
    <w:unhideWhenUsed/>
    <w:rsid w:val="003500CE"/>
    <w:pPr>
      <w:spacing w:line="240" w:lineRule="auto"/>
    </w:pPr>
    <w:rPr>
      <w:sz w:val="20"/>
      <w:szCs w:val="20"/>
    </w:rPr>
  </w:style>
  <w:style w:type="character" w:customStyle="1" w:styleId="TekstopmerkingChar">
    <w:name w:val="Tekst opmerking Char"/>
    <w:basedOn w:val="Standaardalinea-lettertype"/>
    <w:link w:val="Tekstopmerking"/>
    <w:rsid w:val="003500C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00CE"/>
    <w:rPr>
      <w:b/>
      <w:bCs/>
    </w:rPr>
  </w:style>
  <w:style w:type="character" w:customStyle="1" w:styleId="OnderwerpvanopmerkingChar">
    <w:name w:val="Onderwerp van opmerking Char"/>
    <w:basedOn w:val="TekstopmerkingChar"/>
    <w:link w:val="Onderwerpvanopmerking"/>
    <w:semiHidden/>
    <w:rsid w:val="003500CE"/>
    <w:rPr>
      <w:rFonts w:ascii="Verdana" w:hAnsi="Verdana"/>
      <w:b/>
      <w:bCs/>
      <w:lang w:val="nl-NL" w:eastAsia="nl-NL"/>
    </w:rPr>
  </w:style>
  <w:style w:type="paragraph" w:styleId="Revisie">
    <w:name w:val="Revision"/>
    <w:hidden/>
    <w:uiPriority w:val="99"/>
    <w:semiHidden/>
    <w:rsid w:val="003500C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8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brieven/2025/09/29/amvi-advies-tsn" TargetMode="External"/><Relationship Id="rId1" Type="http://schemas.openxmlformats.org/officeDocument/2006/relationships/hyperlink" Target="https://www.rijksoverheid.nl/documenten/rapporten/2025/09/29/technical-advisory-report-joint-letter-of-intent-tata-steel-netherlands"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2278</ap:Words>
  <ap:Characters>12530</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2026-03-26T16:17:00.0000000Z</dcterms:created>
  <dcterms:modified xsi:type="dcterms:W3CDTF">2026-03-26T16:21:00.0000000Z</dcterms:modified>
  <dc:description>------------------------</dc:description>
  <dc:subject/>
  <keywords/>
  <version/>
  <category/>
</coreProperties>
</file>