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5379" w:rsidP="00065425" w:rsidRDefault="00255379" w14:paraId="74639FAA" w14:textId="77777777">
      <w:pPr>
        <w:spacing w:line="276" w:lineRule="auto"/>
      </w:pPr>
      <w:r>
        <w:t>Geachte voorzitter,</w:t>
      </w:r>
    </w:p>
    <w:p w:rsidR="00255379" w:rsidP="00065425" w:rsidRDefault="00255379" w14:paraId="2CF13099" w14:textId="77777777">
      <w:pPr>
        <w:spacing w:line="276" w:lineRule="auto"/>
      </w:pPr>
    </w:p>
    <w:p w:rsidRPr="00016FD1" w:rsidR="00255379" w:rsidP="00065425" w:rsidRDefault="00255379" w14:paraId="3BE23087" w14:textId="50BBA352">
      <w:pPr>
        <w:spacing w:line="276" w:lineRule="auto"/>
      </w:pPr>
      <w:r>
        <w:t xml:space="preserve">Op 17 februari 2026 heeft de Europese Commissie een voorstel </w:t>
      </w:r>
      <w:r w:rsidR="007B61C9">
        <w:t xml:space="preserve">gedeeld </w:t>
      </w:r>
      <w:r>
        <w:t>voor de ondertekening en voorlopige toepassing van een handels- en samenwerkingsakkoord tussen de Eu</w:t>
      </w:r>
      <w:r w:rsidRPr="45D29E34">
        <w:t xml:space="preserve">ropese Unie </w:t>
      </w:r>
      <w:r w:rsidR="00901E41">
        <w:t xml:space="preserve">en Euratom </w:t>
      </w:r>
      <w:r w:rsidRPr="45D29E34">
        <w:t>en het Verenigd Koninkrijk inzake Gibraltar</w:t>
      </w:r>
      <w:r>
        <w:t xml:space="preserve"> en een voorstel voor de sluiting van dit akkoord</w:t>
      </w:r>
      <w:r w:rsidRPr="45D29E34">
        <w:t xml:space="preserve">. Naar verwachting zal het besluit </w:t>
      </w:r>
      <w:r>
        <w:t>tot ondertekening en voorlopige toep</w:t>
      </w:r>
      <w:r w:rsidRPr="00FF390F">
        <w:t xml:space="preserve">assing </w:t>
      </w:r>
      <w:r w:rsidR="00FF390F">
        <w:t>in de eerste of tweede week van april</w:t>
      </w:r>
      <w:r w:rsidRPr="00FF390F" w:rsidR="00504D68">
        <w:t xml:space="preserve"> </w:t>
      </w:r>
      <w:r w:rsidRPr="45D29E34">
        <w:t xml:space="preserve">in de Raad ter besluitvorming voorliggen. </w:t>
      </w:r>
      <w:r>
        <w:t>De Commissie stelt dat het wenselijk is dat de overeenkomst voorlopig wordt toegepast</w:t>
      </w:r>
      <w:r w:rsidR="008A512B">
        <w:t>,</w:t>
      </w:r>
      <w:r>
        <w:t xml:space="preserve"> voordat het entry-exit systeem </w:t>
      </w:r>
      <w:r w:rsidR="00B7245B">
        <w:t xml:space="preserve">volledig </w:t>
      </w:r>
      <w:r>
        <w:t>in werking treedt op 10 april 2026</w:t>
      </w:r>
      <w:r w:rsidR="00253375">
        <w:t>.</w:t>
      </w:r>
      <w:r w:rsidR="0053357E">
        <w:rPr>
          <w:rStyle w:val="FootnoteReference"/>
        </w:rPr>
        <w:footnoteReference w:id="1"/>
      </w:r>
      <w:r>
        <w:t xml:space="preserve"> </w:t>
      </w:r>
      <w:r w:rsidRPr="45D29E34">
        <w:t>Met deze brief informeer ik u over de inhoud van het akkoord, de kabinetsappreciatie en de voorziene besluitvorming hierover.</w:t>
      </w:r>
    </w:p>
    <w:p w:rsidR="3E75812D" w:rsidP="00065425" w:rsidRDefault="3E75812D" w14:paraId="0979B9EC" w14:textId="0BFDAC3C">
      <w:pPr>
        <w:spacing w:line="276" w:lineRule="auto"/>
      </w:pPr>
    </w:p>
    <w:p w:rsidR="00255379" w:rsidP="00065425" w:rsidRDefault="00255379" w14:paraId="6F6C87CD" w14:textId="77777777">
      <w:pPr>
        <w:spacing w:line="276" w:lineRule="auto"/>
      </w:pPr>
      <w:r>
        <w:t>Gibraltar is uitgesloten van de geografische reikwijdte van de handels- en samenwerkingsovereenkomst (HSO) tussen de EU en het VK die in 2021 in werking trad. Het voorliggende akkoord is een aanvulling op de EU-VK HSO en heeft onder andere als doel om vrij verkeer van personen en goederen tussen de EU, specifiek Spanje, en het VK, specifiek Gibraltar, mogelijk te maken. Het akkoord is opgesteld met inachtneming van de integriteit van de interne markt en de financiële belangen van de EU, alsmede de soevereiniteit en jurisdictie van Spanje en het VK.</w:t>
      </w:r>
    </w:p>
    <w:p w:rsidR="00EE3317" w:rsidP="00065425" w:rsidRDefault="00EE3317" w14:paraId="6A24526B" w14:textId="77777777">
      <w:pPr>
        <w:spacing w:line="276" w:lineRule="auto"/>
      </w:pPr>
    </w:p>
    <w:p w:rsidR="00255379" w:rsidP="00065425" w:rsidRDefault="00255379" w14:paraId="31A2BEBB" w14:textId="77777777">
      <w:pPr>
        <w:spacing w:line="276" w:lineRule="auto"/>
      </w:pPr>
      <w:r w:rsidRPr="73D122A7">
        <w:rPr>
          <w:b/>
          <w:bCs/>
        </w:rPr>
        <w:t>Afronding van de onderhandelingen en vervolgstappen</w:t>
      </w:r>
    </w:p>
    <w:p w:rsidR="00255379" w:rsidP="00065425" w:rsidRDefault="00585104" w14:paraId="4B7BDE21" w14:textId="32240CCF">
      <w:pPr>
        <w:spacing w:line="276" w:lineRule="auto"/>
      </w:pPr>
      <w:r>
        <w:t xml:space="preserve">De </w:t>
      </w:r>
      <w:r w:rsidR="00255379">
        <w:t xml:space="preserve">Commissie </w:t>
      </w:r>
      <w:r>
        <w:t xml:space="preserve">en het VK </w:t>
      </w:r>
      <w:r w:rsidR="00C6171E">
        <w:t>kondigden</w:t>
      </w:r>
      <w:r w:rsidR="00D1657C">
        <w:t xml:space="preserve"> </w:t>
      </w:r>
      <w:r>
        <w:t>in</w:t>
      </w:r>
      <w:r w:rsidR="00255379">
        <w:t xml:space="preserve"> juli 2025</w:t>
      </w:r>
      <w:r w:rsidRPr="2FCF65AD" w:rsidR="00255379">
        <w:t xml:space="preserve"> </w:t>
      </w:r>
      <w:r w:rsidR="00873B67">
        <w:t xml:space="preserve">aan </w:t>
      </w:r>
      <w:r>
        <w:t>een</w:t>
      </w:r>
      <w:r w:rsidR="00255379">
        <w:t xml:space="preserve"> </w:t>
      </w:r>
      <w:r w:rsidR="00C6171E">
        <w:t>akkoord te bereiken</w:t>
      </w:r>
      <w:r w:rsidR="00255379">
        <w:t xml:space="preserve"> inzake Gibraltar</w:t>
      </w:r>
      <w:r w:rsidR="00AB3453">
        <w:t xml:space="preserve">, </w:t>
      </w:r>
      <w:r w:rsidR="005A500E">
        <w:t>nadat de onderhandelingen hierover meer dan vier jaar duurden</w:t>
      </w:r>
      <w:r w:rsidR="003D58C4">
        <w:rPr>
          <w:rStyle w:val="FootnoteReference"/>
        </w:rPr>
        <w:footnoteReference w:id="2"/>
      </w:r>
      <w:r w:rsidR="00AB3453">
        <w:t xml:space="preserve">. </w:t>
      </w:r>
      <w:r w:rsidR="00255379">
        <w:t xml:space="preserve">Gedurende de </w:t>
      </w:r>
      <w:r w:rsidR="006254DD">
        <w:t>daarop volgende</w:t>
      </w:r>
      <w:r w:rsidR="00255379">
        <w:t xml:space="preserve"> maanden </w:t>
      </w:r>
      <w:r w:rsidR="5324E04B">
        <w:t>is het akkoord</w:t>
      </w:r>
      <w:r w:rsidRPr="2FCF65AD" w:rsidR="631D4831">
        <w:t xml:space="preserve"> </w:t>
      </w:r>
      <w:r w:rsidR="00255379">
        <w:t>in detail uitgewerkt</w:t>
      </w:r>
      <w:r w:rsidR="00C6171E">
        <w:t xml:space="preserve"> en op 12 december 2025 zijn de onderhandelingen afgerond. </w:t>
      </w:r>
    </w:p>
    <w:p w:rsidR="00EE3317" w:rsidP="00065425" w:rsidRDefault="00EE3317" w14:paraId="17CF9F49" w14:textId="77777777">
      <w:pPr>
        <w:spacing w:line="276" w:lineRule="auto"/>
      </w:pPr>
    </w:p>
    <w:p w:rsidR="00255379" w:rsidP="00065425" w:rsidRDefault="7A23AB99" w14:paraId="6F6AF27C" w14:textId="50D2E651">
      <w:pPr>
        <w:spacing w:line="276" w:lineRule="auto"/>
        <w:rPr>
          <w:rFonts w:eastAsia="Verdana" w:cs="Verdana"/>
        </w:rPr>
      </w:pPr>
      <w:r>
        <w:t xml:space="preserve">Zoals </w:t>
      </w:r>
      <w:r w:rsidR="5075CBA6">
        <w:t>eerder</w:t>
      </w:r>
      <w:r>
        <w:t xml:space="preserve"> </w:t>
      </w:r>
      <w:r w:rsidR="5075CBA6">
        <w:t xml:space="preserve">het geval </w:t>
      </w:r>
      <w:r w:rsidR="00387685">
        <w:t xml:space="preserve">was </w:t>
      </w:r>
      <w:r w:rsidR="5075CBA6">
        <w:t xml:space="preserve">bij </w:t>
      </w:r>
      <w:r>
        <w:t>de EU – VK HSO is h</w:t>
      </w:r>
      <w:r w:rsidR="00255379">
        <w:t xml:space="preserve">et associatieakkoord </w:t>
      </w:r>
      <w:r w:rsidR="00387685">
        <w:t xml:space="preserve">door de Commissie </w:t>
      </w:r>
      <w:r w:rsidR="00255379">
        <w:t>voorgesteld als een EU-only</w:t>
      </w:r>
      <w:r w:rsidRPr="5075CBA6" w:rsidR="00255379">
        <w:t xml:space="preserve"> </w:t>
      </w:r>
      <w:r w:rsidR="00255379">
        <w:t xml:space="preserve">akkoord, wat betekent dat de overeenkomst </w:t>
      </w:r>
      <w:r w:rsidR="00D1657C">
        <w:t>alleen door de EU en het VK moet worden ondertekend en gesloten</w:t>
      </w:r>
      <w:r w:rsidR="00255379">
        <w:t xml:space="preserve">. </w:t>
      </w:r>
      <w:r w:rsidR="00255379">
        <w:lastRenderedPageBreak/>
        <w:t xml:space="preserve">De nationale parlementen van EU-lidstaten keuren het akkoord in dat geval niet afzonderlijk goed en de EU-lidstaten zullen het dan ook niet ratificeren. </w:t>
      </w:r>
      <w:r w:rsidRPr="114D0DCA" w:rsidR="00255379">
        <w:rPr>
          <w:rFonts w:eastAsia="Verdana" w:cs="Verdana"/>
        </w:rPr>
        <w:t>Na goedkeuring van het Europees Parlement, besluit de Raad vervolgens op basis van unanimiteit over het voorstel van de Commissie over de sluiting van het associatieakkoord namens de EU.</w:t>
      </w:r>
      <w:r w:rsidR="00255379">
        <w:rPr>
          <w:rFonts w:eastAsia="Verdana" w:cs="Verdana"/>
        </w:rPr>
        <w:t xml:space="preserve"> </w:t>
      </w:r>
      <w:r w:rsidRPr="114D0DCA" w:rsidR="00D1657C">
        <w:rPr>
          <w:rFonts w:eastAsia="Verdana" w:cs="Verdana"/>
        </w:rPr>
        <w:t xml:space="preserve">De Commissie baseert </w:t>
      </w:r>
      <w:r w:rsidR="00D1657C">
        <w:rPr>
          <w:rFonts w:eastAsia="Verdana" w:cs="Verdana"/>
        </w:rPr>
        <w:t>de</w:t>
      </w:r>
      <w:r w:rsidRPr="114D0DCA" w:rsidR="00D1657C">
        <w:rPr>
          <w:rFonts w:eastAsia="Verdana" w:cs="Verdana"/>
        </w:rPr>
        <w:t xml:space="preserve"> voorgestelde Raadsbesluit</w:t>
      </w:r>
      <w:r w:rsidR="00D1657C">
        <w:rPr>
          <w:rFonts w:eastAsia="Verdana" w:cs="Verdana"/>
        </w:rPr>
        <w:t>en</w:t>
      </w:r>
      <w:r w:rsidRPr="114D0DCA" w:rsidR="00D1657C">
        <w:rPr>
          <w:rFonts w:eastAsia="Verdana" w:cs="Verdana"/>
        </w:rPr>
        <w:t xml:space="preserve"> op artikel 217 VWEU (materiële rechtsgrondslag)</w:t>
      </w:r>
      <w:r w:rsidR="00D1657C">
        <w:rPr>
          <w:rFonts w:eastAsia="Verdana" w:cs="Verdana"/>
        </w:rPr>
        <w:t xml:space="preserve"> en respectievelijk</w:t>
      </w:r>
      <w:r w:rsidRPr="5075CBA6" w:rsidR="00D1657C">
        <w:t xml:space="preserve"> </w:t>
      </w:r>
      <w:r w:rsidR="00D1657C">
        <w:t xml:space="preserve">artikel 218(5)(7)(8) VWEU (waar het gaat om het besluit over ondertekening en voorlopige toepassing) en </w:t>
      </w:r>
      <w:r w:rsidRPr="114D0DCA" w:rsidR="00D1657C">
        <w:rPr>
          <w:rFonts w:eastAsia="Verdana" w:cs="Verdana"/>
        </w:rPr>
        <w:t xml:space="preserve">artikel 218(6)(7)(8) VWEU </w:t>
      </w:r>
      <w:r w:rsidR="00D1657C">
        <w:rPr>
          <w:rFonts w:eastAsia="Verdana" w:cs="Verdana"/>
        </w:rPr>
        <w:t xml:space="preserve">(waar het gaat om het besluit </w:t>
      </w:r>
      <w:r w:rsidRPr="114D0DCA" w:rsidR="00D1657C">
        <w:rPr>
          <w:rFonts w:eastAsia="Verdana" w:cs="Verdana"/>
        </w:rPr>
        <w:t>betreffende de sluiting</w:t>
      </w:r>
      <w:r w:rsidR="00D1657C">
        <w:rPr>
          <w:rFonts w:eastAsia="Verdana" w:cs="Verdana"/>
        </w:rPr>
        <w:t>)</w:t>
      </w:r>
      <w:r w:rsidRPr="114D0DCA" w:rsidR="00D1657C">
        <w:rPr>
          <w:rFonts w:eastAsia="Verdana" w:cs="Verdana"/>
        </w:rPr>
        <w:t xml:space="preserve"> (procedurele rechtsgrondslag</w:t>
      </w:r>
      <w:r w:rsidR="00D1657C">
        <w:rPr>
          <w:rFonts w:eastAsia="Verdana" w:cs="Verdana"/>
        </w:rPr>
        <w:t>en</w:t>
      </w:r>
      <w:r w:rsidRPr="114D0DCA" w:rsidR="00D1657C">
        <w:rPr>
          <w:rFonts w:eastAsia="Verdana" w:cs="Verdana"/>
        </w:rPr>
        <w:t>)</w:t>
      </w:r>
      <w:r w:rsidR="00D1657C">
        <w:rPr>
          <w:rFonts w:eastAsia="Verdana" w:cs="Verdana"/>
        </w:rPr>
        <w:t>.</w:t>
      </w:r>
      <w:r w:rsidRPr="114D0DCA" w:rsidR="00D1657C">
        <w:rPr>
          <w:rFonts w:eastAsia="Verdana" w:cs="Verdana"/>
        </w:rPr>
        <w:t xml:space="preserve"> </w:t>
      </w:r>
    </w:p>
    <w:p w:rsidR="00D1657C" w:rsidP="00065425" w:rsidRDefault="00D1657C" w14:paraId="6C00C2AA" w14:textId="77777777">
      <w:pPr>
        <w:spacing w:line="276" w:lineRule="auto"/>
      </w:pPr>
    </w:p>
    <w:p w:rsidRPr="007B0A68" w:rsidR="009C09B9" w:rsidP="00065425" w:rsidRDefault="00255379" w14:paraId="6D168511" w14:textId="3B2E0A56">
      <w:pPr>
        <w:spacing w:line="276" w:lineRule="auto"/>
        <w:rPr>
          <w:b/>
          <w:bCs/>
        </w:rPr>
      </w:pPr>
      <w:r w:rsidRPr="35685DA1">
        <w:rPr>
          <w:b/>
          <w:bCs/>
        </w:rPr>
        <w:t>Inhoud van het akkoord</w:t>
      </w:r>
    </w:p>
    <w:p w:rsidRPr="007517F1" w:rsidR="009C09B9" w:rsidP="00065425" w:rsidRDefault="009C09B9" w14:paraId="36F62D1B" w14:textId="77777777">
      <w:pPr>
        <w:spacing w:line="276" w:lineRule="auto"/>
        <w:rPr>
          <w:i/>
          <w:iCs/>
        </w:rPr>
      </w:pPr>
      <w:r>
        <w:rPr>
          <w:i/>
          <w:iCs/>
        </w:rPr>
        <w:t>Institutionele bepalingen</w:t>
      </w:r>
    </w:p>
    <w:p w:rsidR="00B46AD8" w:rsidP="00065425" w:rsidRDefault="007B0A68" w14:paraId="5796B303" w14:textId="61E24E05">
      <w:pPr>
        <w:spacing w:line="276" w:lineRule="auto"/>
      </w:pPr>
      <w:r>
        <w:t xml:space="preserve">Het eerste deel van de overeenkomst </w:t>
      </w:r>
      <w:r w:rsidR="002C66F1">
        <w:t>definieert de</w:t>
      </w:r>
      <w:r>
        <w:t xml:space="preserve"> horizontale principes van het akkoord, namelijk het wegnemen van barrières voor verkeer van goederen en personen. </w:t>
      </w:r>
      <w:r w:rsidR="009C09B9">
        <w:t>Het akkoord voorziet</w:t>
      </w:r>
      <w:r>
        <w:t xml:space="preserve"> </w:t>
      </w:r>
      <w:r w:rsidR="009C09B9">
        <w:t xml:space="preserve">in een samenwerkingsraad waarin vertegenwoordigers van de Unie en het VK zitting hebben. Deze raad </w:t>
      </w:r>
      <w:r w:rsidR="002C66F1">
        <w:t>ziet</w:t>
      </w:r>
      <w:r w:rsidR="009C09B9">
        <w:t xml:space="preserve"> met hulp van een aantal gespecialiseerde comités toe op de implementatie van de overeenkomst. Ook</w:t>
      </w:r>
      <w:r w:rsidRPr="3657BDC3" w:rsidR="009C09B9">
        <w:t xml:space="preserve"> </w:t>
      </w:r>
      <w:r w:rsidR="002C66F1">
        <w:t xml:space="preserve">kunnen verdragspartijen </w:t>
      </w:r>
      <w:r w:rsidR="009C09B9">
        <w:t>gebrui</w:t>
      </w:r>
      <w:r w:rsidR="002C66F1">
        <w:t>k</w:t>
      </w:r>
      <w:r w:rsidR="009C09B9">
        <w:t xml:space="preserve">maken van </w:t>
      </w:r>
      <w:r w:rsidRPr="3657BDC3" w:rsidR="009C09B9">
        <w:t>geschillenbeslechting</w:t>
      </w:r>
      <w:r w:rsidR="009C09B9">
        <w:t>, met als laatste redmiddel autonome maatregelen, waaronder de (gedeeltelijke) opzegging van het akkoord.</w:t>
      </w:r>
      <w:r w:rsidR="00B46AD8">
        <w:t xml:space="preserve"> Waar het gaat om de interpretatie van Unierecht dat in de context van deze overeenkomst wordt toegepast, heeft het EU Hof van Justitie een rol. </w:t>
      </w:r>
    </w:p>
    <w:p w:rsidR="00B46AD8" w:rsidP="00065425" w:rsidRDefault="00B46AD8" w14:paraId="7E72EFDC" w14:textId="77777777">
      <w:pPr>
        <w:spacing w:line="276" w:lineRule="auto"/>
      </w:pPr>
    </w:p>
    <w:p w:rsidRPr="007517F1" w:rsidR="00255379" w:rsidP="00065425" w:rsidRDefault="00255379" w14:paraId="2197BFDC" w14:textId="4B5E5F18">
      <w:pPr>
        <w:spacing w:line="276" w:lineRule="auto"/>
        <w:rPr>
          <w:i/>
          <w:iCs/>
        </w:rPr>
      </w:pPr>
      <w:r w:rsidRPr="51B25DD7">
        <w:rPr>
          <w:i/>
          <w:iCs/>
        </w:rPr>
        <w:t>Verkeer van personen</w:t>
      </w:r>
      <w:r w:rsidR="007B0A68">
        <w:rPr>
          <w:i/>
          <w:iCs/>
        </w:rPr>
        <w:t xml:space="preserve"> </w:t>
      </w:r>
    </w:p>
    <w:p w:rsidR="00EE3317" w:rsidP="00065425" w:rsidRDefault="00255379" w14:paraId="1289FD7B" w14:textId="0FAF6536">
      <w:pPr>
        <w:spacing w:line="276" w:lineRule="auto"/>
      </w:pPr>
      <w:r>
        <w:t>Het akkoord leidt tot het verdwijnen van de huidige grenscontroles voor personen tussen Spanje en Gibraltar. De externe grenscontroles van Gibraltar zullen worden verplaatst naar haar luchthaven en haven (inclusief Gibraltarese wateren), onder toezicht van Spanje, dat relevante EU-regelgeving zal toepassen. Er is sprake van een beperkte uitzondering voor de toepassing van dwangmaatregelen op basis van het Schengen Information System. Hiervoor zal in sommige gevallen instemming van het VK nodig zijn.</w:t>
      </w:r>
    </w:p>
    <w:p w:rsidR="00281B5A" w:rsidP="00065425" w:rsidRDefault="00255379" w14:paraId="002F9ECA" w14:textId="13611CDD">
      <w:pPr>
        <w:spacing w:line="276" w:lineRule="auto"/>
      </w:pPr>
      <w:r w:rsidRPr="73D122A7">
        <w:t>Ondanks de toepassing van Schengen-regelgeving wordt Gibraltar formeel geen onderdeel van het Schengengebied. Verschillende maatregelen zullen worden genomen om de integriteit en veiligheid van het Schengengebied te waarborgen. Zo zal de toepassing van Schengen-regelgeving in Gibraltar regelmatig worden geverifieerd in de vorm van Schengen-evaluaties. Beide partijen hebben bovendien ingestemd met het bestendigen van hun inzet tegen witwaspraktijken en terrorisme. Het VK beloof</w:t>
      </w:r>
      <w:r w:rsidR="00E228F7">
        <w:t>t</w:t>
      </w:r>
      <w:r w:rsidRPr="73D122A7" w:rsidR="71748E74">
        <w:t xml:space="preserve"> op het gebied</w:t>
      </w:r>
      <w:r w:rsidRPr="73D122A7" w:rsidR="2D64DC36">
        <w:t xml:space="preserve"> van zowel witwassen als terrorisme geen standaarden toe te passen die zwakker zijn dan hetgeen wordt toegepast in de EU.</w:t>
      </w:r>
      <w:r w:rsidR="00281B5A">
        <w:t xml:space="preserve"> </w:t>
      </w:r>
    </w:p>
    <w:p w:rsidR="00255379" w:rsidP="00065425" w:rsidRDefault="00281B5A" w14:paraId="2FC67C7B" w14:textId="005B7875">
      <w:pPr>
        <w:spacing w:line="276" w:lineRule="auto"/>
      </w:pPr>
      <w:r>
        <w:t>De EU en het VK zijn overeengekomen het thans geldende stelsel van uitlevering, gebaseerd op het Europees Verdrag betreffende uitlevering, te vervangen door een stelsel van overlevering dat grote gelijkenis vertoont met het stelsel van overlevering, geregeld</w:t>
      </w:r>
      <w:r w:rsidRPr="796ACF15">
        <w:t xml:space="preserve"> </w:t>
      </w:r>
      <w:r>
        <w:t xml:space="preserve">in de EU – VK HSO. </w:t>
      </w:r>
      <w:r w:rsidRPr="003F2054" w:rsidR="003F2054">
        <w:t>Voor Nederland en een aantal andere lidstaten zal dit evenwel niet in werking treden voordat de daartoe vereiste nationale wetgeving is aangepast. Een voorstel daartoe is inmiddels in voorbereiding</w:t>
      </w:r>
      <w:r w:rsidR="00E63465">
        <w:t>.</w:t>
      </w:r>
      <w:r w:rsidR="001409AD">
        <w:t xml:space="preserve"> </w:t>
      </w:r>
      <w:r w:rsidRPr="001409AD" w:rsidR="001409AD">
        <w:t>Tot dat is aangenomen kan nog op basis van het bestaande verdragsrechtelijke kader worden samengewerkt met Gibraltar.</w:t>
      </w:r>
    </w:p>
    <w:p w:rsidR="00065425" w:rsidP="00065425" w:rsidRDefault="00065425" w14:paraId="5FEF4673" w14:textId="77777777">
      <w:pPr>
        <w:spacing w:line="276" w:lineRule="auto"/>
      </w:pPr>
    </w:p>
    <w:p w:rsidRPr="007517F1" w:rsidR="00EE3317" w:rsidP="00065425" w:rsidRDefault="00EE3317" w14:paraId="5F851179" w14:textId="13A7C513">
      <w:pPr>
        <w:spacing w:line="276" w:lineRule="auto"/>
        <w:rPr>
          <w:i/>
          <w:iCs/>
        </w:rPr>
      </w:pPr>
    </w:p>
    <w:p w:rsidR="00EE3317" w:rsidP="00065425" w:rsidRDefault="24730DD5" w14:paraId="00551679" w14:textId="46672854">
      <w:pPr>
        <w:spacing w:line="276" w:lineRule="auto"/>
      </w:pPr>
      <w:r w:rsidRPr="007517F1">
        <w:rPr>
          <w:i/>
          <w:iCs/>
        </w:rPr>
        <w:lastRenderedPageBreak/>
        <w:t>Grenswerkers</w:t>
      </w:r>
    </w:p>
    <w:p w:rsidR="00EE3317" w:rsidP="00065425" w:rsidRDefault="24730DD5" w14:paraId="7D28EAA4" w14:textId="4E56A1EB">
      <w:pPr>
        <w:spacing w:line="276" w:lineRule="auto"/>
      </w:pPr>
      <w:r w:rsidRPr="6DF8AEFE">
        <w:t>Het akkoord bevat specifieke bepalingen gericht op grenswerkers. Het gaat</w:t>
      </w:r>
      <w:r w:rsidRPr="6DF8AEFE" w:rsidR="35AC60AB">
        <w:t xml:space="preserve"> hierbij om EU-burgers die werkzaam zijn in Gibraltar en Britten die werkzaam zijn in Spanje, en minstens eenmaal per week de Spaans-Gibraltarese grens passeren. Zij maken aanspraak op werknemersr</w:t>
      </w:r>
      <w:r w:rsidRPr="6DF8AEFE" w:rsidR="085BF5F6">
        <w:t>echten volgens de daarvoor geldende Spaanse en Britse regelgeving.</w:t>
      </w:r>
    </w:p>
    <w:p w:rsidR="00EE3317" w:rsidP="00065425" w:rsidRDefault="00EE3317" w14:paraId="7128C11D" w14:textId="77777777">
      <w:pPr>
        <w:spacing w:line="276" w:lineRule="auto"/>
      </w:pPr>
    </w:p>
    <w:p w:rsidR="00255379" w:rsidP="00065425" w:rsidRDefault="00255379" w14:paraId="14AC8E9C" w14:textId="77777777">
      <w:pPr>
        <w:spacing w:line="276" w:lineRule="auto"/>
      </w:pPr>
      <w:r w:rsidRPr="3E75812D">
        <w:rPr>
          <w:i/>
          <w:iCs/>
        </w:rPr>
        <w:t>Verkeer van goederen</w:t>
      </w:r>
    </w:p>
    <w:p w:rsidR="00255379" w:rsidP="00065425" w:rsidRDefault="00255379" w14:paraId="3AE7BAB5" w14:textId="5F15A503">
      <w:pPr>
        <w:spacing w:line="276" w:lineRule="auto"/>
      </w:pPr>
      <w:r>
        <w:t xml:space="preserve">Het akkoord leidt tot het verdwijnen van de huidige grenscontroles voor goederen tussen Spanje en Gibraltar. Ook hiervoor geldt dat de externe grenscontroles van Gibraltar zullen worden verplaatst naar haar luchthaven en haven (inclusief Gibraltarese wateren), onder toezicht van Spanje. </w:t>
      </w:r>
      <w:r w:rsidR="3A0D45E5">
        <w:t>Het</w:t>
      </w:r>
      <w:r w:rsidRPr="5E987A75" w:rsidR="190E8317">
        <w:t xml:space="preserve"> </w:t>
      </w:r>
      <w:r w:rsidR="3A0D45E5">
        <w:t xml:space="preserve">akkoord leidt zodoende tot het ontstaan van een douane-unie tussen de EU en het VK met betrekking tot Gibraltar. </w:t>
      </w:r>
      <w:r>
        <w:t>Ter garantie van het gelijke speelveld worden bestaande EU-standaarden en binnen de EU-geldende internationale standaarden gebruikt. Ten aanzien van staatssteun is een mechanisme overeen gekomen opdat relevant EU recht van toepassing is in en op Gibraltar inclusief eventuele ontwikkelingen van dat recht. Voor belastingen volgt het akkoord de afspraken in de EU-VK HSO. De beschermingsniveaus ten tijde van ondertekening van de overeenkomst</w:t>
      </w:r>
      <w:r w:rsidR="5E987A75">
        <w:t>,</w:t>
      </w:r>
      <w:r>
        <w:t xml:space="preserve"> dienen te worden behouden. Tevens is een gezamenlijke verklaring overeengekomen over schadelijke belastingpraktijken. Ook op het gebied van arbeidsstandaarden en handel en duurzame ontwikkeling volgt deze overeenkomst de EU – VK HSO. De beschermingsniveaus die ten tijde van de transitieperiode in de EU golden, dienen te worden behouden. </w:t>
      </w:r>
    </w:p>
    <w:p w:rsidRPr="007517F1" w:rsidR="00EE3317" w:rsidP="00065425" w:rsidRDefault="00EE3317" w14:paraId="0BF3B61D" w14:textId="77777777">
      <w:pPr>
        <w:spacing w:line="276" w:lineRule="auto"/>
        <w:rPr>
          <w:i/>
          <w:iCs/>
        </w:rPr>
      </w:pPr>
    </w:p>
    <w:p w:rsidRPr="007517F1" w:rsidR="00255379" w:rsidP="00065425" w:rsidRDefault="00255379" w14:paraId="017A9C8D" w14:textId="77777777">
      <w:pPr>
        <w:spacing w:line="276" w:lineRule="auto"/>
        <w:rPr>
          <w:i/>
          <w:iCs/>
        </w:rPr>
      </w:pPr>
      <w:r w:rsidRPr="3E75812D">
        <w:rPr>
          <w:i/>
          <w:iCs/>
        </w:rPr>
        <w:t xml:space="preserve">Financiële bepalingen </w:t>
      </w:r>
    </w:p>
    <w:p w:rsidR="00255379" w:rsidP="00065425" w:rsidRDefault="00F94ECA" w14:paraId="57D47B27" w14:textId="3E8F4C32">
      <w:pPr>
        <w:spacing w:line="276" w:lineRule="auto"/>
      </w:pPr>
      <w:r>
        <w:t>Een</w:t>
      </w:r>
      <w:r w:rsidRPr="3657BDC3" w:rsidR="00255379">
        <w:t xml:space="preserve"> financieel mechanisme </w:t>
      </w:r>
      <w:r>
        <w:t>dient</w:t>
      </w:r>
      <w:r w:rsidRPr="3657BDC3" w:rsidR="00255379">
        <w:t xml:space="preserve"> de cohesie tussen Gibraltar en aangrenzende gemeentes in Spanje te </w:t>
      </w:r>
      <w:r>
        <w:t xml:space="preserve">bevorderen. </w:t>
      </w:r>
      <w:r w:rsidR="003C5813">
        <w:t>Dit</w:t>
      </w:r>
      <w:r>
        <w:t xml:space="preserve"> mechanisme dient </w:t>
      </w:r>
      <w:r w:rsidRPr="3657BDC3" w:rsidR="00255379">
        <w:t>fraude en andere illegale activiteiten</w:t>
      </w:r>
      <w:r>
        <w:t xml:space="preserve"> te voorkomen. </w:t>
      </w:r>
      <w:r w:rsidR="1B1FA1E8">
        <w:t xml:space="preserve">Het </w:t>
      </w:r>
      <w:r w:rsidR="00255379">
        <w:t xml:space="preserve">mechanisme </w:t>
      </w:r>
      <w:r w:rsidR="1B1FA1E8">
        <w:t xml:space="preserve">hiervoor </w:t>
      </w:r>
      <w:r w:rsidR="00255379">
        <w:t>zal op een later moment worden opgezet</w:t>
      </w:r>
      <w:r>
        <w:t xml:space="preserve"> en wordt </w:t>
      </w:r>
      <w:r w:rsidRPr="3657BDC3">
        <w:t>gefinancierd door beide partijen</w:t>
      </w:r>
      <w:r w:rsidR="00441506">
        <w:t xml:space="preserve">. </w:t>
      </w:r>
    </w:p>
    <w:p w:rsidR="00EE3317" w:rsidP="00065425" w:rsidRDefault="00EE3317" w14:paraId="1ACC43C9" w14:textId="77777777">
      <w:pPr>
        <w:spacing w:line="276" w:lineRule="auto"/>
        <w:rPr>
          <w:i/>
          <w:iCs/>
        </w:rPr>
      </w:pPr>
    </w:p>
    <w:p w:rsidRPr="007517F1" w:rsidR="00255379" w:rsidP="00065425" w:rsidRDefault="00255379" w14:paraId="1711344F" w14:textId="77777777">
      <w:pPr>
        <w:spacing w:line="276" w:lineRule="auto"/>
        <w:rPr>
          <w:b/>
          <w:bCs/>
          <w:i/>
          <w:iCs/>
        </w:rPr>
      </w:pPr>
      <w:r w:rsidRPr="3E75812D">
        <w:rPr>
          <w:i/>
          <w:iCs/>
        </w:rPr>
        <w:t>Civiele nucleaire samenwerking</w:t>
      </w:r>
    </w:p>
    <w:p w:rsidR="00255379" w:rsidP="00065425" w:rsidRDefault="00255379" w14:paraId="0A106DCE" w14:textId="18A1E2F5">
      <w:pPr>
        <w:spacing w:line="276" w:lineRule="auto"/>
        <w:rPr>
          <w:b/>
          <w:bCs/>
        </w:rPr>
      </w:pPr>
      <w:r>
        <w:t xml:space="preserve">Het akkoord bevat tevens </w:t>
      </w:r>
      <w:r w:rsidR="0055438D">
        <w:t>afspraken</w:t>
      </w:r>
      <w:r>
        <w:t xml:space="preserve"> omtrent civiele nucleaire samenwerking, wat onder de bevoegdheid van Euratom valt en waar Euratom daarom als partij bij betrokken is. Hierdoor is sprake van een </w:t>
      </w:r>
      <w:r w:rsidR="005E0FCD">
        <w:t>aparte</w:t>
      </w:r>
      <w:r>
        <w:t xml:space="preserve"> besluitvormingsprocedure. De betreffende bepaling maakt wel onderdeel uit van het bredere akkoord. Zo stemmen de EU en het VK in samen te werken ter verbetering van nucleaire veiligheidsstandaarden en conventies en beloven zij zich te houden aan bestaande standaarden voor bescherming. </w:t>
      </w:r>
      <w:r w:rsidRPr="001E63A9">
        <w:t xml:space="preserve">Voor het Euratom-gedeelte van het </w:t>
      </w:r>
      <w:r>
        <w:t xml:space="preserve">akkoord </w:t>
      </w:r>
      <w:r w:rsidRPr="001E63A9">
        <w:t>vindt besluitvorming plaats op grond van artikel 101 Euratom-Verdrag, met sluiting door de Commissie na goedkeuring van de Raad met gekwalificeerde meerderheid.</w:t>
      </w:r>
      <w:r>
        <w:t xml:space="preserve"> De Commissie stelt daarbij tevens voor om tot voorlopige toepassing over te gaan.</w:t>
      </w:r>
    </w:p>
    <w:p w:rsidR="00EE3317" w:rsidP="00065425" w:rsidRDefault="00EE3317" w14:paraId="2C74DEFF" w14:textId="77777777">
      <w:pPr>
        <w:spacing w:line="276" w:lineRule="auto"/>
        <w:rPr>
          <w:b/>
          <w:bCs/>
        </w:rPr>
      </w:pPr>
    </w:p>
    <w:p w:rsidRPr="007517F1" w:rsidR="00255379" w:rsidP="00065425" w:rsidRDefault="00255379" w14:paraId="335126AB" w14:textId="29513BEE">
      <w:pPr>
        <w:spacing w:line="276" w:lineRule="auto"/>
        <w:rPr>
          <w:i/>
          <w:iCs/>
        </w:rPr>
      </w:pPr>
      <w:r w:rsidRPr="73D122A7">
        <w:rPr>
          <w:b/>
          <w:bCs/>
        </w:rPr>
        <w:t>Kabinetsinzet</w:t>
      </w:r>
    </w:p>
    <w:p w:rsidR="00255379" w:rsidP="00065425" w:rsidRDefault="00255379" w14:paraId="67B8EEDC" w14:textId="3A42CF22">
      <w:pPr>
        <w:spacing w:line="276" w:lineRule="auto"/>
      </w:pPr>
      <w:r w:rsidRPr="3657BDC3">
        <w:t>In het BNC-fiche van 24 september 2021</w:t>
      </w:r>
      <w:r w:rsidRPr="00244959">
        <w:rPr>
          <w:rStyle w:val="FootnoteReference"/>
        </w:rPr>
        <w:footnoteReference w:id="3"/>
      </w:r>
      <w:r w:rsidRPr="5324E04B">
        <w:t xml:space="preserve"> </w:t>
      </w:r>
      <w:r w:rsidRPr="3657BDC3">
        <w:t xml:space="preserve">oordeelde het kabinet positief over het openen van onderhandelingen over een handels- en samenwerkingsakkoord </w:t>
      </w:r>
      <w:r w:rsidRPr="3657BDC3">
        <w:lastRenderedPageBreak/>
        <w:t xml:space="preserve">tussen de EU en het VK met betrekking tot Gibraltar. Het kabinet onderschreef de noodzaak </w:t>
      </w:r>
      <w:r w:rsidR="00BE13B4">
        <w:t xml:space="preserve">om te onderhandelen over een </w:t>
      </w:r>
      <w:r>
        <w:t>overeenkomst</w:t>
      </w:r>
      <w:r w:rsidRPr="3657BDC3">
        <w:t xml:space="preserve"> </w:t>
      </w:r>
      <w:r w:rsidR="004037DB">
        <w:t>tussen de</w:t>
      </w:r>
      <w:r w:rsidRPr="3657BDC3">
        <w:t xml:space="preserve"> EU en het VK in deze</w:t>
      </w:r>
      <w:r w:rsidR="00C66032">
        <w:t xml:space="preserve">. </w:t>
      </w:r>
      <w:r w:rsidR="00C405E1">
        <w:t>Als reden werd</w:t>
      </w:r>
      <w:r w:rsidR="00C66032">
        <w:t xml:space="preserve"> </w:t>
      </w:r>
      <w:r>
        <w:t>de specifieke geografische en economische relatie tussen Gibraltar en de Unie</w:t>
      </w:r>
      <w:r w:rsidR="008F6067">
        <w:t xml:space="preserve"> aangedragen</w:t>
      </w:r>
      <w:r>
        <w:t>.</w:t>
      </w:r>
      <w:r w:rsidRPr="5324E04B">
        <w:t xml:space="preserve"> </w:t>
      </w:r>
      <w:r>
        <w:t xml:space="preserve">Spanje </w:t>
      </w:r>
      <w:r w:rsidR="003F741E">
        <w:t xml:space="preserve">heeft </w:t>
      </w:r>
      <w:r>
        <w:t xml:space="preserve">als aangrenzende lidstaat aan </w:t>
      </w:r>
      <w:r w:rsidRPr="21A8C649">
        <w:t xml:space="preserve">Gibraltar </w:t>
      </w:r>
      <w:r>
        <w:t>om een separate overeenkomst</w:t>
      </w:r>
      <w:r w:rsidRPr="5324E04B">
        <w:t xml:space="preserve"> </w:t>
      </w:r>
      <w:r>
        <w:t>verzocht.</w:t>
      </w:r>
      <w:r w:rsidRPr="5324E04B">
        <w:t xml:space="preserve"> </w:t>
      </w:r>
    </w:p>
    <w:p w:rsidR="00255379" w:rsidP="00065425" w:rsidRDefault="00255379" w14:paraId="6CB78D96" w14:textId="4D1D8AAF">
      <w:pPr>
        <w:spacing w:line="276" w:lineRule="auto"/>
      </w:pPr>
    </w:p>
    <w:p w:rsidR="00255379" w:rsidP="00065425" w:rsidRDefault="00255379" w14:paraId="392BF977" w14:textId="77777777">
      <w:pPr>
        <w:spacing w:line="276" w:lineRule="auto"/>
      </w:pPr>
      <w:r w:rsidRPr="3657BDC3">
        <w:t>Het kabinet zette in op een strenge, doch rechtvaardige lijn ten aanzien van de uitbreiding van het Schengengebied</w:t>
      </w:r>
      <w:r>
        <w:t xml:space="preserve"> indien aan alle eisen wordt voldaan</w:t>
      </w:r>
      <w:r w:rsidRPr="3657BDC3">
        <w:t>. Daarnaast onderschreef het kabinet het plan van de Commissie om grenscontroles aan de buitengrenzen van Gibraltar conform EU-regelgeving te laten</w:t>
      </w:r>
      <w:r w:rsidRPr="5324E04B">
        <w:t xml:space="preserve"> </w:t>
      </w:r>
      <w:r w:rsidRPr="3657BDC3">
        <w:t>uitvoeren door Spanje</w:t>
      </w:r>
      <w:r>
        <w:t xml:space="preserve"> en om effectieve bescherming van het Schengengebied te waarborgen</w:t>
      </w:r>
      <w:r w:rsidRPr="5324E04B">
        <w:t xml:space="preserve">. </w:t>
      </w:r>
    </w:p>
    <w:p w:rsidR="00EE3317" w:rsidP="00065425" w:rsidRDefault="00EE3317" w14:paraId="603054F6" w14:textId="77777777">
      <w:pPr>
        <w:spacing w:line="276" w:lineRule="auto"/>
      </w:pPr>
    </w:p>
    <w:p w:rsidR="00255379" w:rsidP="00065425" w:rsidRDefault="00255379" w14:paraId="670E2797" w14:textId="77777777">
      <w:pPr>
        <w:spacing w:line="276" w:lineRule="auto"/>
      </w:pPr>
      <w:r>
        <w:t xml:space="preserve">Op het gebied van handel in goederen steunde het kabinet de inzet van de Commissie die voornamelijk gericht was op het garanderen van een gelijk speelveld en het bewaken van de integriteit van de interne markt. In het bijzonder had het kabinet aandacht voor eerlijke concurrentie tussen de haven van Gibraltar en Europese havens. </w:t>
      </w:r>
    </w:p>
    <w:p w:rsidR="00EE3317" w:rsidP="00065425" w:rsidRDefault="00EE3317" w14:paraId="3D8EEE90" w14:textId="77777777">
      <w:pPr>
        <w:spacing w:line="276" w:lineRule="auto"/>
        <w:rPr>
          <w:b/>
          <w:bCs/>
        </w:rPr>
      </w:pPr>
    </w:p>
    <w:p w:rsidR="00255379" w:rsidP="00065425" w:rsidRDefault="00255379" w14:paraId="2511B222" w14:textId="77777777">
      <w:pPr>
        <w:spacing w:line="276" w:lineRule="auto"/>
        <w:rPr>
          <w:b/>
          <w:bCs/>
        </w:rPr>
      </w:pPr>
      <w:r w:rsidRPr="73D122A7">
        <w:rPr>
          <w:b/>
          <w:bCs/>
        </w:rPr>
        <w:t>Kabinetsappreciatie</w:t>
      </w:r>
    </w:p>
    <w:p w:rsidR="00D22F6E" w:rsidP="00065425" w:rsidRDefault="00255379" w14:paraId="5E33FD80" w14:textId="5F0836FD">
      <w:pPr>
        <w:spacing w:line="276" w:lineRule="auto"/>
      </w:pPr>
      <w:r>
        <w:t xml:space="preserve">Het kabinet oordeelt positief over het bereikte akkoord tussen de Commissie en het VK. Het kabinet </w:t>
      </w:r>
      <w:r w:rsidR="00006378">
        <w:t>verwelkomt dat er een akkoord is bereik</w:t>
      </w:r>
      <w:r w:rsidR="004F0AB8">
        <w:t>t.</w:t>
      </w:r>
      <w:r w:rsidR="00D22F6E">
        <w:t xml:space="preserve"> Dit akkoord kan een positieve bijdrage lever</w:t>
      </w:r>
      <w:r w:rsidR="00877F3E">
        <w:t>en</w:t>
      </w:r>
      <w:r w:rsidR="00D22F6E">
        <w:t xml:space="preserve"> aan de betrekkingen tussen het EU</w:t>
      </w:r>
      <w:r w:rsidR="006D5355">
        <w:t>, het VK en Spanje</w:t>
      </w:r>
      <w:r w:rsidR="00D22F6E">
        <w:t xml:space="preserve"> en de welvaart helpen bevorderen. </w:t>
      </w:r>
      <w:r w:rsidR="00044981">
        <w:t xml:space="preserve">Voor het kabinet </w:t>
      </w:r>
      <w:r w:rsidR="00DC5E9A">
        <w:t xml:space="preserve">is </w:t>
      </w:r>
      <w:r w:rsidR="00044981">
        <w:t>een belangrijke graadmeter hoe Spanje naar de uitkomst van de onderhandelingen kijkt, gezien de belangen inclusief economische vervlechting tussen de regio’s.</w:t>
      </w:r>
      <w:r w:rsidR="003D4895">
        <w:t xml:space="preserve"> Naar verwachting kan Spanje </w:t>
      </w:r>
      <w:r w:rsidR="00A83A7F">
        <w:t>de overeenkomst steunen zoals deze is voorgelegd.</w:t>
      </w:r>
    </w:p>
    <w:p w:rsidRPr="00D22F6E" w:rsidR="009A0978" w:rsidP="00065425" w:rsidRDefault="003D4895" w14:paraId="286611FC" w14:textId="09737BA8">
      <w:pPr>
        <w:spacing w:line="276" w:lineRule="auto"/>
      </w:pPr>
      <w:r>
        <w:t xml:space="preserve"> </w:t>
      </w:r>
    </w:p>
    <w:p w:rsidR="00EA3A91" w:rsidP="00065425" w:rsidRDefault="00EA3A91" w14:paraId="0DD2DEBC" w14:textId="77777777">
      <w:pPr>
        <w:spacing w:line="276" w:lineRule="auto"/>
      </w:pPr>
      <w:r>
        <w:t xml:space="preserve">De uitkomst sluit aan bij de inzet van het kabinet en de EU. Bij de onderhandelingen heeft het kabinet vooral nadruk gelegd op de bescherming van integriteit van het Schengengebied en de interne markt. Het is positief dat hier, en op andere onderdelen, de afspraken in de HSO grotendeels worden gevolgd. De overeenkomst creëert een gelijk speelveld tussen de EU en het VK voor goederenhandel. </w:t>
      </w:r>
    </w:p>
    <w:p w:rsidR="00EA3A91" w:rsidP="00065425" w:rsidRDefault="00EA3A91" w14:paraId="6DB78612" w14:textId="77777777">
      <w:pPr>
        <w:spacing w:line="276" w:lineRule="auto"/>
      </w:pPr>
    </w:p>
    <w:p w:rsidRPr="004128F4" w:rsidR="00B77A5E" w:rsidP="00065425" w:rsidRDefault="00B77A5E" w14:paraId="2CF61070" w14:textId="611CE508">
      <w:pPr>
        <w:spacing w:line="276" w:lineRule="auto"/>
      </w:pPr>
      <w:bookmarkStart w:name="_Hlk224652199" w:id="0"/>
      <w:r w:rsidRPr="004128F4">
        <w:t xml:space="preserve">Het kabinet kan zich bij uitzondering vinden in de beslissing om het beoogde akkoord als een EU-only akkoord te sluiten. </w:t>
      </w:r>
      <w:r>
        <w:t>Het akkoord was bij aanvang voorzien als een facultatief gemengd akkoord met betrokkenheid van de EU en haar lidstaten</w:t>
      </w:r>
      <w:r w:rsidRPr="004128F4">
        <w:t>. Het kabinet ziet bij uitzondering reden voor een EU-only akkoord</w:t>
      </w:r>
      <w:r w:rsidR="00DC5E9A">
        <w:t>,</w:t>
      </w:r>
      <w:r w:rsidRPr="004128F4">
        <w:t xml:space="preserve"> omdat Spanje hier als primair betrokken lidstaat de voorkeur aan geeft en de overeenkomst weinig tot geen consequenties heeft voor andere lidstaten dan Spanje en het VK</w:t>
      </w:r>
      <w:r w:rsidR="004250DB">
        <w:t xml:space="preserve">, </w:t>
      </w:r>
      <w:r w:rsidRPr="004250DB" w:rsidR="004250DB">
        <w:t>voor zover de overleveringsregeling niet in werking treedt voordat waar nodig de nationale wetgeving is aangepast</w:t>
      </w:r>
      <w:r w:rsidRPr="004128F4">
        <w:t>. Nederland wenst daarom solidair te zijn met Spanje vanwege de complexe situatie tussen het Gibraltar en Spanje.</w:t>
      </w:r>
      <w:r w:rsidR="00122076">
        <w:t xml:space="preserve"> </w:t>
      </w:r>
      <w:r w:rsidRPr="004128F4">
        <w:t xml:space="preserve">De </w:t>
      </w:r>
      <w:r w:rsidR="00873B67">
        <w:t>andere</w:t>
      </w:r>
      <w:r w:rsidRPr="004128F4">
        <w:t xml:space="preserve"> EU lidstaten zullen zich naar verwachting ook zo opstellen. </w:t>
      </w:r>
      <w:r w:rsidR="00122076">
        <w:t>Dit betekent dat er naar verwachting brede steun zal zijn voor de overeenkomst</w:t>
      </w:r>
      <w:r w:rsidR="00AA54E5">
        <w:t xml:space="preserve"> zoals deze is voorgelegd</w:t>
      </w:r>
      <w:r w:rsidR="00122076">
        <w:t xml:space="preserve">, mede vanwege de Spaanse positieve appreciatie. </w:t>
      </w:r>
    </w:p>
    <w:p w:rsidR="00B77A5E" w:rsidP="00065425" w:rsidRDefault="00B77A5E" w14:paraId="76E167CF" w14:textId="77777777">
      <w:pPr>
        <w:spacing w:line="276" w:lineRule="auto"/>
      </w:pPr>
      <w:r>
        <w:t xml:space="preserve">Het is noodzakelijk dat de overeenkomst zo spoedig mogelijk voorlopig inwerking treedt, om </w:t>
      </w:r>
      <w:r w:rsidRPr="00C7679C">
        <w:t>fysieke barrières tussen Spanje en Gibraltar te voorkomen</w:t>
      </w:r>
      <w:r>
        <w:t xml:space="preserve"> wanneer </w:t>
      </w:r>
      <w:r w:rsidRPr="00C7679C">
        <w:t>het Entry Exit Systeem in werking treedt.</w:t>
      </w:r>
      <w:r>
        <w:t xml:space="preserve"> </w:t>
      </w:r>
      <w:bookmarkStart w:name="_Hlk224661203" w:id="1"/>
      <w:r>
        <w:t xml:space="preserve">Anders zullen voor grenswerkers vanuit </w:t>
      </w:r>
      <w:r>
        <w:lastRenderedPageBreak/>
        <w:t xml:space="preserve">Spanje naar Gibraltar (en omgekeerd) fysieke checks geïntroduceerd worden, omdat het gaat om een grensovergang met een derde land. Met de overeenkomst is dit niet noodzakelijk is, vanwege de toepassing van Schengen-regelgeving in Gibraltar.  </w:t>
      </w:r>
    </w:p>
    <w:bookmarkEnd w:id="1"/>
    <w:p w:rsidRPr="002A319B" w:rsidR="00B77A5E" w:rsidP="00065425" w:rsidRDefault="00B77A5E" w14:paraId="40586935" w14:textId="77777777">
      <w:pPr>
        <w:spacing w:line="276" w:lineRule="auto"/>
      </w:pPr>
      <w:r>
        <w:t>De overeenkomst vult de HSO aan voor wat betreft Gibraltar, waarover tot dusver afspraken ontbraken. De HSO</w:t>
      </w:r>
      <w:r w:rsidRPr="00C7679C">
        <w:t xml:space="preserve"> </w:t>
      </w:r>
      <w:r>
        <w:t xml:space="preserve">is eveneens als EU-only akkoord voorgelegd aan de Raad. EU-only besluitvorming over Gibraltar past bij dit akkoord als missend puzzelstuk in de EU-VK relatie. </w:t>
      </w:r>
      <w:r w:rsidRPr="00C7679C">
        <w:t xml:space="preserve">Het kabinet kan zich daarnaast vinden in de voorgestelde </w:t>
      </w:r>
      <w:r w:rsidRPr="114D0DCA">
        <w:rPr>
          <w:rFonts w:eastAsia="Verdana" w:cs="Verdana"/>
        </w:rPr>
        <w:t>materiële</w:t>
      </w:r>
      <w:r w:rsidRPr="00C7679C">
        <w:t xml:space="preserve"> rechtsgrondslag van artikel 217 VWEU, aangezien dit akkoord het tot stand brengen van een associatie betreft.</w:t>
      </w:r>
      <w:r>
        <w:t xml:space="preserve"> </w:t>
      </w:r>
    </w:p>
    <w:bookmarkEnd w:id="0"/>
    <w:p w:rsidR="6DF8AEFE" w:rsidP="00065425" w:rsidRDefault="6DF8AEFE" w14:paraId="0E9B911F" w14:textId="0897622B">
      <w:pPr>
        <w:spacing w:line="276" w:lineRule="auto"/>
      </w:pPr>
    </w:p>
    <w:p w:rsidR="3CC78051" w:rsidP="00065425" w:rsidRDefault="00255379" w14:paraId="79BF46DB" w14:textId="3CD32D0D">
      <w:pPr>
        <w:spacing w:line="276" w:lineRule="auto"/>
      </w:pPr>
      <w:r>
        <w:t xml:space="preserve">Samenvattend acht het kabinet dit akkoord van belang </w:t>
      </w:r>
      <w:r w:rsidR="00673A5B">
        <w:t xml:space="preserve">omdat dit het ontbreken van afspraken tussen de EU en het VK aangaande Gibraltar oplost. Het akkoord draagt bij aan </w:t>
      </w:r>
      <w:r>
        <w:t xml:space="preserve">versterking van de relaties met een belangrijke, nabije partner met gemeenschappelijke waarden, de ontwikkeling van de interne markt en het waarborgen van het gelijke speelveld. Het kabinet is daarom voornemens om </w:t>
      </w:r>
      <w:r w:rsidR="001E02F8">
        <w:t xml:space="preserve">in te stemmen </w:t>
      </w:r>
      <w:r>
        <w:t xml:space="preserve">met het </w:t>
      </w:r>
      <w:r w:rsidR="008A5430">
        <w:t>Raadsbesluit tot ondertekening en voorlopige toepassing</w:t>
      </w:r>
      <w:r w:rsidR="003D4895">
        <w:t>, mede in het licht van de positieve Spaanse appreciatie</w:t>
      </w:r>
      <w:r>
        <w:t>.</w:t>
      </w:r>
    </w:p>
    <w:p w:rsidR="00745938" w:rsidP="00065425" w:rsidRDefault="00745938" w14:paraId="36AC6A85" w14:textId="77777777">
      <w:pPr>
        <w:spacing w:line="276" w:lineRule="auto"/>
      </w:pPr>
    </w:p>
    <w:p w:rsidR="00745938" w:rsidP="00065425" w:rsidRDefault="00745938" w14:paraId="0A58645E" w14:textId="00446B31">
      <w:pPr>
        <w:spacing w:line="276" w:lineRule="auto"/>
      </w:pPr>
      <w:r>
        <w:t>De minister van Buitenlandse Zaken,</w:t>
      </w:r>
    </w:p>
    <w:p w:rsidR="00745938" w:rsidP="00065425" w:rsidRDefault="00745938" w14:paraId="6991A493" w14:textId="77777777">
      <w:pPr>
        <w:spacing w:line="276" w:lineRule="auto"/>
      </w:pPr>
    </w:p>
    <w:p w:rsidR="00745938" w:rsidP="00065425" w:rsidRDefault="00745938" w14:paraId="6A1F96FC" w14:textId="77777777">
      <w:pPr>
        <w:spacing w:line="276" w:lineRule="auto"/>
      </w:pPr>
    </w:p>
    <w:p w:rsidR="00745938" w:rsidP="00065425" w:rsidRDefault="00745938" w14:paraId="131FFF8C" w14:textId="77777777">
      <w:pPr>
        <w:spacing w:line="276" w:lineRule="auto"/>
      </w:pPr>
    </w:p>
    <w:p w:rsidR="00745938" w:rsidP="00065425" w:rsidRDefault="00745938" w14:paraId="5BD992E9" w14:textId="77777777">
      <w:pPr>
        <w:spacing w:line="276" w:lineRule="auto"/>
      </w:pPr>
    </w:p>
    <w:p w:rsidR="00745938" w:rsidP="00065425" w:rsidRDefault="00745938" w14:paraId="423759CD" w14:textId="77777777">
      <w:pPr>
        <w:spacing w:line="276" w:lineRule="auto"/>
      </w:pPr>
    </w:p>
    <w:p w:rsidR="00745938" w:rsidP="00065425" w:rsidRDefault="00745938" w14:paraId="56E34D7D" w14:textId="0F7F5253">
      <w:pPr>
        <w:spacing w:line="276" w:lineRule="auto"/>
      </w:pPr>
      <w:r>
        <w:t>T.B.W. Berendsen</w:t>
      </w:r>
    </w:p>
    <w:p w:rsidRPr="007517F1" w:rsidR="00745938" w:rsidP="00065425" w:rsidRDefault="00745938" w14:paraId="2256EF68" w14:textId="77777777">
      <w:pPr>
        <w:spacing w:line="276" w:lineRule="auto"/>
        <w:rPr>
          <w:highlight w:val="red"/>
        </w:rPr>
      </w:pPr>
    </w:p>
    <w:sectPr w:rsidRPr="007517F1" w:rsidR="00745938" w:rsidSect="00BD31B5">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C8E0D" w14:textId="77777777" w:rsidR="00EE3317" w:rsidRDefault="00EE3317">
      <w:pPr>
        <w:spacing w:line="240" w:lineRule="auto"/>
      </w:pPr>
      <w:r>
        <w:separator/>
      </w:r>
    </w:p>
  </w:endnote>
  <w:endnote w:type="continuationSeparator" w:id="0">
    <w:p w14:paraId="32DC8E0F" w14:textId="77777777" w:rsidR="00EE3317" w:rsidRDefault="00EE33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DE670" w14:textId="77777777" w:rsidR="00A34727" w:rsidRDefault="00A347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184081"/>
      <w:docPartObj>
        <w:docPartGallery w:val="Page Numbers (Bottom of Page)"/>
        <w:docPartUnique/>
      </w:docPartObj>
    </w:sdtPr>
    <w:sdtEndPr/>
    <w:sdtContent>
      <w:p w14:paraId="7625E0C8" w14:textId="1EE3C8AF" w:rsidR="005347CC" w:rsidRDefault="005347CC">
        <w:pPr>
          <w:pStyle w:val="Footer"/>
          <w:jc w:val="center"/>
        </w:pPr>
        <w:r>
          <w:fldChar w:fldCharType="begin"/>
        </w:r>
        <w:r>
          <w:instrText>PAGE   \* MERGEFORMAT</w:instrText>
        </w:r>
        <w:r>
          <w:fldChar w:fldCharType="separate"/>
        </w:r>
        <w:r>
          <w:t>2</w:t>
        </w:r>
        <w:r>
          <w:fldChar w:fldCharType="end"/>
        </w:r>
      </w:p>
    </w:sdtContent>
  </w:sdt>
  <w:p w14:paraId="41344A1A" w14:textId="77777777" w:rsidR="005347CC" w:rsidRDefault="005347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8424057"/>
      <w:docPartObj>
        <w:docPartGallery w:val="Page Numbers (Bottom of Page)"/>
        <w:docPartUnique/>
      </w:docPartObj>
    </w:sdtPr>
    <w:sdtEndPr/>
    <w:sdtContent>
      <w:p w14:paraId="5062EA82" w14:textId="75D3197E" w:rsidR="00065425" w:rsidRDefault="00065425">
        <w:pPr>
          <w:pStyle w:val="Footer"/>
          <w:jc w:val="center"/>
        </w:pPr>
        <w:r>
          <w:fldChar w:fldCharType="begin"/>
        </w:r>
        <w:r>
          <w:instrText>PAGE   \* MERGEFORMAT</w:instrText>
        </w:r>
        <w:r>
          <w:fldChar w:fldCharType="separate"/>
        </w:r>
        <w:r>
          <w:t>2</w:t>
        </w:r>
        <w:r>
          <w:fldChar w:fldCharType="end"/>
        </w:r>
      </w:p>
    </w:sdtContent>
  </w:sdt>
  <w:p w14:paraId="6C90F4B6" w14:textId="77777777" w:rsidR="005347CC" w:rsidRDefault="005347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C8E09" w14:textId="77777777" w:rsidR="00EE3317" w:rsidRDefault="00EE3317">
      <w:pPr>
        <w:spacing w:line="240" w:lineRule="auto"/>
      </w:pPr>
      <w:r>
        <w:separator/>
      </w:r>
    </w:p>
  </w:footnote>
  <w:footnote w:type="continuationSeparator" w:id="0">
    <w:p w14:paraId="32DC8E0B" w14:textId="77777777" w:rsidR="00EE3317" w:rsidRDefault="00EE3317">
      <w:pPr>
        <w:spacing w:line="240" w:lineRule="auto"/>
      </w:pPr>
      <w:r>
        <w:continuationSeparator/>
      </w:r>
    </w:p>
  </w:footnote>
  <w:footnote w:id="1">
    <w:p w14:paraId="2B9D3CAA" w14:textId="79B03768" w:rsidR="0053357E" w:rsidRPr="005347CC" w:rsidRDefault="0053357E">
      <w:pPr>
        <w:pStyle w:val="FootnoteText"/>
        <w:rPr>
          <w:sz w:val="16"/>
          <w:szCs w:val="16"/>
          <w:lang w:val="en-US"/>
        </w:rPr>
      </w:pPr>
      <w:r w:rsidRPr="005347CC">
        <w:rPr>
          <w:rStyle w:val="FootnoteReference"/>
          <w:sz w:val="16"/>
          <w:szCs w:val="16"/>
        </w:rPr>
        <w:footnoteRef/>
      </w:r>
      <w:r w:rsidRPr="005347CC">
        <w:rPr>
          <w:sz w:val="16"/>
          <w:szCs w:val="16"/>
          <w:lang w:val="en-US"/>
        </w:rPr>
        <w:t xml:space="preserve"> </w:t>
      </w:r>
      <w:r w:rsidRPr="005347CC">
        <w:rPr>
          <w:rFonts w:ascii="Arial" w:hAnsi="Arial" w:cs="Arial"/>
          <w:sz w:val="16"/>
          <w:szCs w:val="16"/>
          <w:lang w:val="en-US"/>
        </w:rPr>
        <w:t xml:space="preserve">Zie </w:t>
      </w:r>
      <w:hyperlink r:id="rId1" w:history="1">
        <w:r w:rsidRPr="005347CC">
          <w:rPr>
            <w:rStyle w:val="Hyperlink"/>
            <w:rFonts w:ascii="Arial" w:hAnsi="Arial" w:cs="Arial"/>
            <w:sz w:val="16"/>
            <w:szCs w:val="16"/>
            <w:lang w:val="en-US"/>
          </w:rPr>
          <w:t>Entry-Exit System - Migration and Home Affairs - European Commission</w:t>
        </w:r>
      </w:hyperlink>
    </w:p>
  </w:footnote>
  <w:footnote w:id="2">
    <w:p w14:paraId="7FC2D997" w14:textId="1151FDF9" w:rsidR="003D58C4" w:rsidRDefault="003D58C4">
      <w:pPr>
        <w:pStyle w:val="FootnoteText"/>
      </w:pPr>
      <w:r w:rsidRPr="005347CC">
        <w:rPr>
          <w:rStyle w:val="FootnoteReference"/>
          <w:sz w:val="16"/>
          <w:szCs w:val="16"/>
        </w:rPr>
        <w:footnoteRef/>
      </w:r>
      <w:r w:rsidRPr="005347CC">
        <w:rPr>
          <w:sz w:val="16"/>
          <w:szCs w:val="16"/>
        </w:rPr>
        <w:t xml:space="preserve"> </w:t>
      </w:r>
      <w:r w:rsidR="00A34727" w:rsidRPr="00A34727">
        <w:rPr>
          <w:rFonts w:ascii="Verdana" w:hAnsi="Verdana"/>
          <w:sz w:val="16"/>
          <w:szCs w:val="16"/>
        </w:rPr>
        <w:t>Voortgangsrapportage Handelsakkoorden van oktober 2025</w:t>
      </w:r>
      <w:r w:rsidRPr="005347CC">
        <w:rPr>
          <w:rFonts w:ascii="Verdana" w:hAnsi="Verdana"/>
          <w:color w:val="000000"/>
          <w:sz w:val="16"/>
          <w:szCs w:val="16"/>
        </w:rPr>
        <w:t xml:space="preserve">, </w:t>
      </w:r>
      <w:r w:rsidR="00DD5088">
        <w:rPr>
          <w:rFonts w:ascii="Verdana" w:hAnsi="Verdana"/>
          <w:color w:val="000000"/>
          <w:sz w:val="16"/>
          <w:szCs w:val="16"/>
        </w:rPr>
        <w:t xml:space="preserve">bijlage bij Kamerstuk </w:t>
      </w:r>
      <w:r w:rsidR="00DD5088" w:rsidRPr="00DD5088">
        <w:rPr>
          <w:rFonts w:ascii="Verdana" w:hAnsi="Verdana"/>
          <w:color w:val="000000"/>
          <w:sz w:val="16"/>
          <w:szCs w:val="16"/>
        </w:rPr>
        <w:t>21501-02</w:t>
      </w:r>
      <w:r w:rsidR="00DD5088">
        <w:rPr>
          <w:rFonts w:ascii="Verdana" w:hAnsi="Verdana"/>
          <w:color w:val="000000"/>
          <w:sz w:val="16"/>
          <w:szCs w:val="16"/>
        </w:rPr>
        <w:t xml:space="preserve">, nr. </w:t>
      </w:r>
      <w:r w:rsidR="00DD5088" w:rsidRPr="00DD5088">
        <w:rPr>
          <w:rFonts w:ascii="Verdana" w:hAnsi="Verdana"/>
          <w:color w:val="000000"/>
          <w:sz w:val="16"/>
          <w:szCs w:val="16"/>
        </w:rPr>
        <w:t>3249</w:t>
      </w:r>
    </w:p>
  </w:footnote>
  <w:footnote w:id="3">
    <w:p w14:paraId="0F571070" w14:textId="10EAA089" w:rsidR="00255379" w:rsidRDefault="00255379" w:rsidP="00255379">
      <w:pPr>
        <w:pStyle w:val="FootnoteText"/>
      </w:pPr>
      <w:r w:rsidRPr="00DD5088">
        <w:rPr>
          <w:rStyle w:val="FootnoteReference"/>
          <w:sz w:val="24"/>
          <w:szCs w:val="24"/>
        </w:rPr>
        <w:footnoteRef/>
      </w:r>
      <w:r w:rsidRPr="00DD5088">
        <w:rPr>
          <w:sz w:val="24"/>
          <w:szCs w:val="24"/>
        </w:rPr>
        <w:t xml:space="preserve"> </w:t>
      </w:r>
      <w:r w:rsidRPr="00DD5088">
        <w:rPr>
          <w:rFonts w:ascii="Verdana" w:hAnsi="Verdana"/>
          <w:sz w:val="16"/>
          <w:szCs w:val="16"/>
        </w:rPr>
        <w:t xml:space="preserve">BNC-fiche 1 – Aanbeveling mandaat onderhandelingen handels- en samenwerkingsovereenkomst EU-VK m.b.t. Gibraltar, </w:t>
      </w:r>
      <w:r w:rsidR="00DD5088">
        <w:rPr>
          <w:rFonts w:ascii="Verdana" w:hAnsi="Verdana"/>
          <w:sz w:val="16"/>
          <w:szCs w:val="16"/>
        </w:rPr>
        <w:t>Ka</w:t>
      </w:r>
      <w:r w:rsidRPr="00DD5088">
        <w:rPr>
          <w:rFonts w:ascii="Verdana" w:hAnsi="Verdana"/>
          <w:sz w:val="16"/>
          <w:szCs w:val="16"/>
        </w:rPr>
        <w:t>merstuk 22112, nr. 3206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C7B5D" w14:textId="77777777" w:rsidR="00A34727" w:rsidRDefault="00A347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C8E05" w14:textId="4394FD76" w:rsidR="00746F43" w:rsidRDefault="00EE3317">
    <w:r>
      <w:rPr>
        <w:noProof/>
      </w:rPr>
      <mc:AlternateContent>
        <mc:Choice Requires="wps">
          <w:drawing>
            <wp:anchor distT="0" distB="0" distL="0" distR="0" simplePos="0" relativeHeight="251652608" behindDoc="0" locked="1" layoutInCell="1" allowOverlap="1" wp14:anchorId="32DC8E09" wp14:editId="256E072B">
              <wp:simplePos x="0" y="0"/>
              <wp:positionH relativeFrom="page">
                <wp:posOffset>5924550</wp:posOffset>
              </wp:positionH>
              <wp:positionV relativeFrom="page">
                <wp:posOffset>1968500</wp:posOffset>
              </wp:positionV>
              <wp:extent cx="13398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39850" cy="8009890"/>
                      </a:xfrm>
                      <a:prstGeom prst="rect">
                        <a:avLst/>
                      </a:prstGeom>
                      <a:noFill/>
                    </wps:spPr>
                    <wps:txbx>
                      <w:txbxContent>
                        <w:p w14:paraId="32DC8E37" w14:textId="77777777" w:rsidR="00746F43" w:rsidRDefault="00EE3317">
                          <w:pPr>
                            <w:pStyle w:val="Referentiegegevensbold"/>
                          </w:pPr>
                          <w:r>
                            <w:t>Ministerie van Buitenlandse Zaken</w:t>
                          </w:r>
                        </w:p>
                        <w:p w14:paraId="32DC8E38" w14:textId="77777777" w:rsidR="00746F43" w:rsidRDefault="00746F43">
                          <w:pPr>
                            <w:pStyle w:val="WitregelW2"/>
                          </w:pPr>
                        </w:p>
                        <w:p w14:paraId="32DC8E39" w14:textId="77777777" w:rsidR="00746F43" w:rsidRDefault="00EE3317">
                          <w:pPr>
                            <w:pStyle w:val="Referentiegegevensbold"/>
                          </w:pPr>
                          <w:r>
                            <w:t>Onze referentie</w:t>
                          </w:r>
                        </w:p>
                        <w:p w14:paraId="32DC8E3A" w14:textId="77777777" w:rsidR="00746F43" w:rsidRDefault="00EE3317">
                          <w:pPr>
                            <w:pStyle w:val="Referentiegegevens"/>
                          </w:pPr>
                          <w:r>
                            <w:t>BZ2625490</w:t>
                          </w:r>
                        </w:p>
                      </w:txbxContent>
                    </wps:txbx>
                    <wps:bodyPr vert="horz" wrap="square" lIns="0" tIns="0" rIns="0" bIns="0" anchor="t" anchorCtr="0"/>
                  </wps:wsp>
                </a:graphicData>
              </a:graphic>
              <wp14:sizeRelH relativeFrom="margin">
                <wp14:pctWidth>0</wp14:pctWidth>
              </wp14:sizeRelH>
            </wp:anchor>
          </w:drawing>
        </mc:Choice>
        <mc:Fallback>
          <w:pict>
            <v:shapetype w14:anchorId="32DC8E09" id="_x0000_t202" coordsize="21600,21600" o:spt="202" path="m,l,21600r21600,l21600,xe">
              <v:stroke joinstyle="miter"/>
              <v:path gradientshapeok="t" o:connecttype="rect"/>
            </v:shapetype>
            <v:shape id="41b1110a-80a4-11ea-b356-6230a4311406" o:spid="_x0000_s1026" type="#_x0000_t202" style="position:absolute;margin-left:466.5pt;margin-top:155pt;width:105.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" filled="f" stroked="f">
              <v:textbox inset="0,0,0,0">
                <w:txbxContent>
                  <w:p w14:paraId="32DC8E37" w14:textId="77777777" w:rsidR="00746F43" w:rsidRDefault="00EE3317">
                    <w:pPr>
                      <w:pStyle w:val="Referentiegegevensbold"/>
                    </w:pPr>
                    <w:r>
                      <w:t>Ministerie van Buitenlandse Zaken</w:t>
                    </w:r>
                  </w:p>
                  <w:p w14:paraId="32DC8E38" w14:textId="77777777" w:rsidR="00746F43" w:rsidRDefault="00746F43">
                    <w:pPr>
                      <w:pStyle w:val="WitregelW2"/>
                    </w:pPr>
                  </w:p>
                  <w:p w14:paraId="32DC8E39" w14:textId="77777777" w:rsidR="00746F43" w:rsidRDefault="00EE3317">
                    <w:pPr>
                      <w:pStyle w:val="Referentiegegevensbold"/>
                    </w:pPr>
                    <w:r>
                      <w:t>Onze referentie</w:t>
                    </w:r>
                  </w:p>
                  <w:p w14:paraId="32DC8E3A" w14:textId="77777777" w:rsidR="00746F43" w:rsidRDefault="00EE3317">
                    <w:pPr>
                      <w:pStyle w:val="Referentiegegevens"/>
                    </w:pPr>
                    <w:r>
                      <w:t>BZ2625490</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2DC8E0D" wp14:editId="45CC79F3">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2DC8E49" w14:textId="77777777" w:rsidR="00EE3317" w:rsidRDefault="00EE3317"/>
                      </w:txbxContent>
                    </wps:txbx>
                    <wps:bodyPr vert="horz" wrap="square" lIns="0" tIns="0" rIns="0" bIns="0" anchor="t" anchorCtr="0"/>
                  </wps:wsp>
                </a:graphicData>
              </a:graphic>
            </wp:anchor>
          </w:drawing>
        </mc:Choice>
        <mc:Fallback>
          <w:pict>
            <v:shape w14:anchorId="32DC8E0D"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2DC8E49" w14:textId="77777777" w:rsidR="00EE3317" w:rsidRDefault="00EE331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C8E07" w14:textId="04927829" w:rsidR="00746F43" w:rsidRDefault="00EE3317">
    <w:pPr>
      <w:spacing w:after="7131" w:line="14" w:lineRule="exact"/>
    </w:pPr>
    <w:r>
      <w:rPr>
        <w:noProof/>
      </w:rPr>
      <mc:AlternateContent>
        <mc:Choice Requires="wps">
          <w:drawing>
            <wp:anchor distT="0" distB="0" distL="0" distR="0" simplePos="0" relativeHeight="251655680" behindDoc="0" locked="1" layoutInCell="1" allowOverlap="1" wp14:anchorId="32DC8E0F" wp14:editId="32DC8E10">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2DC8E3C" w14:textId="77777777" w:rsidR="00EE3317" w:rsidRDefault="00EE3317"/>
                      </w:txbxContent>
                    </wps:txbx>
                    <wps:bodyPr vert="horz" wrap="square" lIns="0" tIns="0" rIns="0" bIns="0" anchor="t" anchorCtr="0"/>
                  </wps:wsp>
                </a:graphicData>
              </a:graphic>
            </wp:anchor>
          </w:drawing>
        </mc:Choice>
        <mc:Fallback>
          <w:pict>
            <v:shapetype w14:anchorId="32DC8E0F"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2DC8E3C" w14:textId="77777777" w:rsidR="00EE3317" w:rsidRDefault="00EE3317"/>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2DC8E11" wp14:editId="32DC8E12">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2DC8E20" w14:textId="77777777" w:rsidR="00746F43" w:rsidRDefault="00EE3317">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2DC8E11"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2DC8E20" w14:textId="77777777" w:rsidR="00746F43" w:rsidRDefault="00EE3317">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2DC8E13" wp14:editId="32DC8E14">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746F43" w14:paraId="32DC8E23" w14:textId="77777777">
                            <w:tc>
                              <w:tcPr>
                                <w:tcW w:w="678" w:type="dxa"/>
                              </w:tcPr>
                              <w:p w14:paraId="32DC8E21" w14:textId="77777777" w:rsidR="00746F43" w:rsidRDefault="00EE3317">
                                <w:r>
                                  <w:t>Datum</w:t>
                                </w:r>
                              </w:p>
                            </w:tc>
                            <w:tc>
                              <w:tcPr>
                                <w:tcW w:w="6851" w:type="dxa"/>
                              </w:tcPr>
                              <w:p w14:paraId="32DC8E22" w14:textId="6EF26527" w:rsidR="00746F43" w:rsidRDefault="00A34727">
                                <w:r>
                                  <w:t xml:space="preserve"> 27 </w:t>
                                </w:r>
                                <w:r w:rsidR="00EE3317" w:rsidRPr="00FF390F">
                                  <w:t>maart 2026</w:t>
                                </w:r>
                              </w:p>
                            </w:tc>
                          </w:tr>
                          <w:tr w:rsidR="00746F43" w14:paraId="32DC8E28" w14:textId="77777777">
                            <w:tc>
                              <w:tcPr>
                                <w:tcW w:w="678" w:type="dxa"/>
                              </w:tcPr>
                              <w:p w14:paraId="32DC8E24" w14:textId="77777777" w:rsidR="00746F43" w:rsidRDefault="00EE3317">
                                <w:r>
                                  <w:t>Betreft</w:t>
                                </w:r>
                              </w:p>
                              <w:p w14:paraId="32DC8E25" w14:textId="77777777" w:rsidR="00746F43" w:rsidRDefault="00746F43"/>
                            </w:tc>
                            <w:tc>
                              <w:tcPr>
                                <w:tcW w:w="6851" w:type="dxa"/>
                              </w:tcPr>
                              <w:p w14:paraId="32DC8E26" w14:textId="54D9DD5E" w:rsidR="00746F43" w:rsidRDefault="00065425">
                                <w:r>
                                  <w:t xml:space="preserve"> </w:t>
                                </w:r>
                                <w:r w:rsidR="00EE3317">
                                  <w:t>EU VK overeenkomst Gibraltar</w:t>
                                </w:r>
                              </w:p>
                              <w:p w14:paraId="32DC8E27" w14:textId="77777777" w:rsidR="00746F43" w:rsidRDefault="00746F43"/>
                            </w:tc>
                          </w:tr>
                        </w:tbl>
                        <w:p w14:paraId="32DC8E29" w14:textId="77777777" w:rsidR="00746F43" w:rsidRDefault="00746F43"/>
                        <w:p w14:paraId="32DC8E2A" w14:textId="77777777" w:rsidR="00746F43" w:rsidRDefault="00746F43"/>
                      </w:txbxContent>
                    </wps:txbx>
                    <wps:bodyPr vert="horz" wrap="square" lIns="0" tIns="0" rIns="0" bIns="0" anchor="t" anchorCtr="0"/>
                  </wps:wsp>
                </a:graphicData>
              </a:graphic>
            </wp:anchor>
          </w:drawing>
        </mc:Choice>
        <mc:Fallback>
          <w:pict>
            <v:shape w14:anchorId="32DC8E13"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746F43" w14:paraId="32DC8E23" w14:textId="77777777">
                      <w:tc>
                        <w:tcPr>
                          <w:tcW w:w="678" w:type="dxa"/>
                        </w:tcPr>
                        <w:p w14:paraId="32DC8E21" w14:textId="77777777" w:rsidR="00746F43" w:rsidRDefault="00EE3317">
                          <w:r>
                            <w:t>Datum</w:t>
                          </w:r>
                        </w:p>
                      </w:tc>
                      <w:tc>
                        <w:tcPr>
                          <w:tcW w:w="6851" w:type="dxa"/>
                        </w:tcPr>
                        <w:p w14:paraId="32DC8E22" w14:textId="6EF26527" w:rsidR="00746F43" w:rsidRDefault="00A34727">
                          <w:r>
                            <w:t xml:space="preserve"> 27 </w:t>
                          </w:r>
                          <w:r w:rsidR="00EE3317" w:rsidRPr="00FF390F">
                            <w:t>maart 2026</w:t>
                          </w:r>
                        </w:p>
                      </w:tc>
                    </w:tr>
                    <w:tr w:rsidR="00746F43" w14:paraId="32DC8E28" w14:textId="77777777">
                      <w:tc>
                        <w:tcPr>
                          <w:tcW w:w="678" w:type="dxa"/>
                        </w:tcPr>
                        <w:p w14:paraId="32DC8E24" w14:textId="77777777" w:rsidR="00746F43" w:rsidRDefault="00EE3317">
                          <w:r>
                            <w:t>Betreft</w:t>
                          </w:r>
                        </w:p>
                        <w:p w14:paraId="32DC8E25" w14:textId="77777777" w:rsidR="00746F43" w:rsidRDefault="00746F43"/>
                      </w:tc>
                      <w:tc>
                        <w:tcPr>
                          <w:tcW w:w="6851" w:type="dxa"/>
                        </w:tcPr>
                        <w:p w14:paraId="32DC8E26" w14:textId="54D9DD5E" w:rsidR="00746F43" w:rsidRDefault="00065425">
                          <w:r>
                            <w:t xml:space="preserve"> </w:t>
                          </w:r>
                          <w:r w:rsidR="00EE3317">
                            <w:t>EU VK overeenkomst Gibraltar</w:t>
                          </w:r>
                        </w:p>
                        <w:p w14:paraId="32DC8E27" w14:textId="77777777" w:rsidR="00746F43" w:rsidRDefault="00746F43"/>
                      </w:tc>
                    </w:tr>
                  </w:tbl>
                  <w:p w14:paraId="32DC8E29" w14:textId="77777777" w:rsidR="00746F43" w:rsidRDefault="00746F43"/>
                  <w:p w14:paraId="32DC8E2A" w14:textId="77777777" w:rsidR="00746F43" w:rsidRDefault="00746F43"/>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2DC8E15" wp14:editId="3185C385">
              <wp:simplePos x="0" y="0"/>
              <wp:positionH relativeFrom="page">
                <wp:posOffset>5924550</wp:posOffset>
              </wp:positionH>
              <wp:positionV relativeFrom="page">
                <wp:posOffset>1968500</wp:posOffset>
              </wp:positionV>
              <wp:extent cx="13970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970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638D9DBD" w14:textId="77777777" w:rsidR="005347CC" w:rsidRPr="00F51C07" w:rsidRDefault="005347CC" w:rsidP="005347CC">
                              <w:pPr>
                                <w:rPr>
                                  <w:b/>
                                  <w:sz w:val="13"/>
                                  <w:szCs w:val="13"/>
                                </w:rPr>
                              </w:pPr>
                              <w:r w:rsidRPr="00FC13FA">
                                <w:rPr>
                                  <w:b/>
                                  <w:sz w:val="13"/>
                                  <w:szCs w:val="13"/>
                                </w:rPr>
                                <w:t>Ministerie van Buitenlandse Zaken</w:t>
                              </w:r>
                            </w:p>
                          </w:sdtContent>
                        </w:sdt>
                        <w:p w14:paraId="4AE95079" w14:textId="77777777" w:rsidR="005347CC" w:rsidRPr="00EE5E5D" w:rsidRDefault="005347CC" w:rsidP="005347CC">
                          <w:pPr>
                            <w:rPr>
                              <w:sz w:val="13"/>
                              <w:szCs w:val="13"/>
                            </w:rPr>
                          </w:pPr>
                          <w:r>
                            <w:rPr>
                              <w:sz w:val="13"/>
                              <w:szCs w:val="13"/>
                            </w:rPr>
                            <w:t>Rijnstraat 8</w:t>
                          </w:r>
                        </w:p>
                        <w:p w14:paraId="73C1129D" w14:textId="77777777" w:rsidR="005347CC" w:rsidRPr="0059764A" w:rsidRDefault="005347CC" w:rsidP="005347CC">
                          <w:pPr>
                            <w:rPr>
                              <w:sz w:val="13"/>
                              <w:szCs w:val="13"/>
                              <w:lang w:val="da-DK"/>
                            </w:rPr>
                          </w:pPr>
                          <w:r w:rsidRPr="0059764A">
                            <w:rPr>
                              <w:sz w:val="13"/>
                              <w:szCs w:val="13"/>
                              <w:lang w:val="da-DK"/>
                            </w:rPr>
                            <w:t>2515 XP Den Haag</w:t>
                          </w:r>
                        </w:p>
                        <w:p w14:paraId="50F3F703" w14:textId="77777777" w:rsidR="005347CC" w:rsidRPr="0059764A" w:rsidRDefault="005347CC" w:rsidP="005347CC">
                          <w:pPr>
                            <w:rPr>
                              <w:sz w:val="13"/>
                              <w:szCs w:val="13"/>
                              <w:lang w:val="da-DK"/>
                            </w:rPr>
                          </w:pPr>
                          <w:r w:rsidRPr="0059764A">
                            <w:rPr>
                              <w:sz w:val="13"/>
                              <w:szCs w:val="13"/>
                              <w:lang w:val="da-DK"/>
                            </w:rPr>
                            <w:t>Postbus 20061</w:t>
                          </w:r>
                        </w:p>
                        <w:p w14:paraId="3A58102C" w14:textId="77777777" w:rsidR="005347CC" w:rsidRPr="0059764A" w:rsidRDefault="005347CC" w:rsidP="005347CC">
                          <w:pPr>
                            <w:rPr>
                              <w:sz w:val="13"/>
                              <w:szCs w:val="13"/>
                              <w:lang w:val="da-DK"/>
                            </w:rPr>
                          </w:pPr>
                          <w:r w:rsidRPr="0059764A">
                            <w:rPr>
                              <w:sz w:val="13"/>
                              <w:szCs w:val="13"/>
                              <w:lang w:val="da-DK"/>
                            </w:rPr>
                            <w:t>Nederland</w:t>
                          </w:r>
                        </w:p>
                        <w:p w14:paraId="32DC8E2C" w14:textId="77777777" w:rsidR="00746F43" w:rsidRDefault="00746F43">
                          <w:pPr>
                            <w:pStyle w:val="WitregelW1"/>
                          </w:pPr>
                        </w:p>
                        <w:p w14:paraId="32DC8E2D" w14:textId="77777777" w:rsidR="00746F43" w:rsidRDefault="00EE3317">
                          <w:pPr>
                            <w:pStyle w:val="Referentiegegevens"/>
                          </w:pPr>
                          <w:r>
                            <w:t xml:space="preserve"> </w:t>
                          </w:r>
                        </w:p>
                        <w:p w14:paraId="32DC8E2E" w14:textId="77777777" w:rsidR="00746F43" w:rsidRDefault="00EE3317">
                          <w:pPr>
                            <w:pStyle w:val="Referentiegegevens"/>
                          </w:pPr>
                          <w:r>
                            <w:t>www.minbuza.nl</w:t>
                          </w:r>
                        </w:p>
                        <w:p w14:paraId="32DC8E2F" w14:textId="77777777" w:rsidR="00746F43" w:rsidRDefault="00746F43">
                          <w:pPr>
                            <w:pStyle w:val="WitregelW2"/>
                          </w:pPr>
                        </w:p>
                        <w:p w14:paraId="32DC8E30" w14:textId="77777777" w:rsidR="00746F43" w:rsidRDefault="00EE3317">
                          <w:pPr>
                            <w:pStyle w:val="Referentiegegevensbold"/>
                          </w:pPr>
                          <w:r>
                            <w:t>Onze referentie</w:t>
                          </w:r>
                        </w:p>
                        <w:p w14:paraId="32DC8E31" w14:textId="77777777" w:rsidR="00746F43" w:rsidRDefault="00EE3317">
                          <w:pPr>
                            <w:pStyle w:val="Referentiegegevens"/>
                          </w:pPr>
                          <w:r>
                            <w:t>BZ2625490</w:t>
                          </w:r>
                        </w:p>
                        <w:p w14:paraId="32DC8E32" w14:textId="77777777" w:rsidR="00746F43" w:rsidRDefault="00746F43">
                          <w:pPr>
                            <w:pStyle w:val="WitregelW1"/>
                          </w:pPr>
                        </w:p>
                        <w:p w14:paraId="32DC8E33" w14:textId="77777777" w:rsidR="00746F43" w:rsidRDefault="00EE3317">
                          <w:pPr>
                            <w:pStyle w:val="Referentiegegevensbold"/>
                          </w:pPr>
                          <w:r>
                            <w:t>Bijlage(n)</w:t>
                          </w:r>
                        </w:p>
                        <w:p w14:paraId="32DC8E34" w14:textId="77777777" w:rsidR="00746F43" w:rsidRDefault="00EE3317">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2DC8E15" id="41b10cd4-80a4-11ea-b356-6230a4311406" o:spid="_x0000_s1031" type="#_x0000_t202" style="position:absolute;margin-left:466.5pt;margin-top:155pt;width:110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638D9DBD" w14:textId="77777777" w:rsidR="005347CC" w:rsidRPr="00F51C07" w:rsidRDefault="005347CC" w:rsidP="005347CC">
                        <w:pPr>
                          <w:rPr>
                            <w:b/>
                            <w:sz w:val="13"/>
                            <w:szCs w:val="13"/>
                          </w:rPr>
                        </w:pPr>
                        <w:r w:rsidRPr="00FC13FA">
                          <w:rPr>
                            <w:b/>
                            <w:sz w:val="13"/>
                            <w:szCs w:val="13"/>
                          </w:rPr>
                          <w:t>Ministerie van Buitenlandse Zaken</w:t>
                        </w:r>
                      </w:p>
                    </w:sdtContent>
                  </w:sdt>
                  <w:p w14:paraId="4AE95079" w14:textId="77777777" w:rsidR="005347CC" w:rsidRPr="00EE5E5D" w:rsidRDefault="005347CC" w:rsidP="005347CC">
                    <w:pPr>
                      <w:rPr>
                        <w:sz w:val="13"/>
                        <w:szCs w:val="13"/>
                      </w:rPr>
                    </w:pPr>
                    <w:r>
                      <w:rPr>
                        <w:sz w:val="13"/>
                        <w:szCs w:val="13"/>
                      </w:rPr>
                      <w:t>Rijnstraat 8</w:t>
                    </w:r>
                  </w:p>
                  <w:p w14:paraId="73C1129D" w14:textId="77777777" w:rsidR="005347CC" w:rsidRPr="0059764A" w:rsidRDefault="005347CC" w:rsidP="005347CC">
                    <w:pPr>
                      <w:rPr>
                        <w:sz w:val="13"/>
                        <w:szCs w:val="13"/>
                        <w:lang w:val="da-DK"/>
                      </w:rPr>
                    </w:pPr>
                    <w:r w:rsidRPr="0059764A">
                      <w:rPr>
                        <w:sz w:val="13"/>
                        <w:szCs w:val="13"/>
                        <w:lang w:val="da-DK"/>
                      </w:rPr>
                      <w:t>2515 XP Den Haag</w:t>
                    </w:r>
                  </w:p>
                  <w:p w14:paraId="50F3F703" w14:textId="77777777" w:rsidR="005347CC" w:rsidRPr="0059764A" w:rsidRDefault="005347CC" w:rsidP="005347CC">
                    <w:pPr>
                      <w:rPr>
                        <w:sz w:val="13"/>
                        <w:szCs w:val="13"/>
                        <w:lang w:val="da-DK"/>
                      </w:rPr>
                    </w:pPr>
                    <w:r w:rsidRPr="0059764A">
                      <w:rPr>
                        <w:sz w:val="13"/>
                        <w:szCs w:val="13"/>
                        <w:lang w:val="da-DK"/>
                      </w:rPr>
                      <w:t>Postbus 20061</w:t>
                    </w:r>
                  </w:p>
                  <w:p w14:paraId="3A58102C" w14:textId="77777777" w:rsidR="005347CC" w:rsidRPr="0059764A" w:rsidRDefault="005347CC" w:rsidP="005347CC">
                    <w:pPr>
                      <w:rPr>
                        <w:sz w:val="13"/>
                        <w:szCs w:val="13"/>
                        <w:lang w:val="da-DK"/>
                      </w:rPr>
                    </w:pPr>
                    <w:r w:rsidRPr="0059764A">
                      <w:rPr>
                        <w:sz w:val="13"/>
                        <w:szCs w:val="13"/>
                        <w:lang w:val="da-DK"/>
                      </w:rPr>
                      <w:t>Nederland</w:t>
                    </w:r>
                  </w:p>
                  <w:p w14:paraId="32DC8E2C" w14:textId="77777777" w:rsidR="00746F43" w:rsidRDefault="00746F43">
                    <w:pPr>
                      <w:pStyle w:val="WitregelW1"/>
                    </w:pPr>
                  </w:p>
                  <w:p w14:paraId="32DC8E2D" w14:textId="77777777" w:rsidR="00746F43" w:rsidRDefault="00EE3317">
                    <w:pPr>
                      <w:pStyle w:val="Referentiegegevens"/>
                    </w:pPr>
                    <w:r>
                      <w:t xml:space="preserve"> </w:t>
                    </w:r>
                  </w:p>
                  <w:p w14:paraId="32DC8E2E" w14:textId="77777777" w:rsidR="00746F43" w:rsidRDefault="00EE3317">
                    <w:pPr>
                      <w:pStyle w:val="Referentiegegevens"/>
                    </w:pPr>
                    <w:r>
                      <w:t>www.minbuza.nl</w:t>
                    </w:r>
                  </w:p>
                  <w:p w14:paraId="32DC8E2F" w14:textId="77777777" w:rsidR="00746F43" w:rsidRDefault="00746F43">
                    <w:pPr>
                      <w:pStyle w:val="WitregelW2"/>
                    </w:pPr>
                  </w:p>
                  <w:p w14:paraId="32DC8E30" w14:textId="77777777" w:rsidR="00746F43" w:rsidRDefault="00EE3317">
                    <w:pPr>
                      <w:pStyle w:val="Referentiegegevensbold"/>
                    </w:pPr>
                    <w:r>
                      <w:t>Onze referentie</w:t>
                    </w:r>
                  </w:p>
                  <w:p w14:paraId="32DC8E31" w14:textId="77777777" w:rsidR="00746F43" w:rsidRDefault="00EE3317">
                    <w:pPr>
                      <w:pStyle w:val="Referentiegegevens"/>
                    </w:pPr>
                    <w:r>
                      <w:t>BZ2625490</w:t>
                    </w:r>
                  </w:p>
                  <w:p w14:paraId="32DC8E32" w14:textId="77777777" w:rsidR="00746F43" w:rsidRDefault="00746F43">
                    <w:pPr>
                      <w:pStyle w:val="WitregelW1"/>
                    </w:pPr>
                  </w:p>
                  <w:p w14:paraId="32DC8E33" w14:textId="77777777" w:rsidR="00746F43" w:rsidRDefault="00EE3317">
                    <w:pPr>
                      <w:pStyle w:val="Referentiegegevensbold"/>
                    </w:pPr>
                    <w:r>
                      <w:t>Bijlage(n)</w:t>
                    </w:r>
                  </w:p>
                  <w:p w14:paraId="32DC8E34" w14:textId="77777777" w:rsidR="00746F43" w:rsidRDefault="00EE3317">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2DC8E19" wp14:editId="021873BF">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2DC8E42" w14:textId="77777777" w:rsidR="00EE3317" w:rsidRDefault="00EE3317"/>
                      </w:txbxContent>
                    </wps:txbx>
                    <wps:bodyPr vert="horz" wrap="square" lIns="0" tIns="0" rIns="0" bIns="0" anchor="t" anchorCtr="0"/>
                  </wps:wsp>
                </a:graphicData>
              </a:graphic>
            </wp:anchor>
          </w:drawing>
        </mc:Choice>
        <mc:Fallback>
          <w:pict>
            <v:shape w14:anchorId="32DC8E19"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2DC8E42" w14:textId="77777777" w:rsidR="00EE3317" w:rsidRDefault="00EE3317"/>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2DC8E1B" wp14:editId="32DC8E1C">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2DC8E44" w14:textId="77777777" w:rsidR="00EE3317" w:rsidRDefault="00EE3317"/>
                      </w:txbxContent>
                    </wps:txbx>
                    <wps:bodyPr vert="horz" wrap="square" lIns="0" tIns="0" rIns="0" bIns="0" anchor="t" anchorCtr="0"/>
                  </wps:wsp>
                </a:graphicData>
              </a:graphic>
            </wp:anchor>
          </w:drawing>
        </mc:Choice>
        <mc:Fallback>
          <w:pict>
            <v:shape w14:anchorId="32DC8E1B"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2DC8E44" w14:textId="77777777" w:rsidR="00EE3317" w:rsidRDefault="00EE3317"/>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2DC8E1D" wp14:editId="32DC8E1E">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2DC8E36" w14:textId="77777777" w:rsidR="00746F43" w:rsidRDefault="00EE3317">
                          <w:pPr>
                            <w:spacing w:line="240" w:lineRule="auto"/>
                          </w:pPr>
                          <w:r>
                            <w:rPr>
                              <w:noProof/>
                            </w:rPr>
                            <w:drawing>
                              <wp:inline distT="0" distB="0" distL="0" distR="0" wp14:anchorId="5DEE5E90" wp14:editId="32DC8E3D">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2DC8E1D"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2DC8E36" w14:textId="77777777" w:rsidR="00746F43" w:rsidRDefault="00EE3317">
                    <w:pPr>
                      <w:spacing w:line="240" w:lineRule="auto"/>
                    </w:pPr>
                    <w:r>
                      <w:rPr>
                        <w:noProof/>
                      </w:rPr>
                      <w:drawing>
                        <wp:inline distT="0" distB="0" distL="0" distR="0" wp14:anchorId="5DEE5E90" wp14:editId="32DC8E3D">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625082"/>
    <w:multiLevelType w:val="multilevel"/>
    <w:tmpl w:val="81ECE928"/>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00987430"/>
    <w:multiLevelType w:val="multilevel"/>
    <w:tmpl w:val="DD3AD3DA"/>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F4102F2"/>
    <w:multiLevelType w:val="multilevel"/>
    <w:tmpl w:val="CB555688"/>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FD508E5"/>
    <w:multiLevelType w:val="multilevel"/>
    <w:tmpl w:val="AA376EC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DE91187"/>
    <w:multiLevelType w:val="multilevel"/>
    <w:tmpl w:val="B7A56EBC"/>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017124623">
    <w:abstractNumId w:val="4"/>
  </w:num>
  <w:num w:numId="2" w16cid:durableId="2041008256">
    <w:abstractNumId w:val="0"/>
  </w:num>
  <w:num w:numId="3" w16cid:durableId="630014310">
    <w:abstractNumId w:val="3"/>
  </w:num>
  <w:num w:numId="4" w16cid:durableId="911504609">
    <w:abstractNumId w:val="2"/>
  </w:num>
  <w:num w:numId="5" w16cid:durableId="361982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F43"/>
    <w:rsid w:val="00006378"/>
    <w:rsid w:val="00043B5E"/>
    <w:rsid w:val="00044981"/>
    <w:rsid w:val="00065425"/>
    <w:rsid w:val="00085513"/>
    <w:rsid w:val="00085BC7"/>
    <w:rsid w:val="00112194"/>
    <w:rsid w:val="00122076"/>
    <w:rsid w:val="001409AD"/>
    <w:rsid w:val="00146A33"/>
    <w:rsid w:val="00154D97"/>
    <w:rsid w:val="00156741"/>
    <w:rsid w:val="00181E08"/>
    <w:rsid w:val="00182838"/>
    <w:rsid w:val="001E02F8"/>
    <w:rsid w:val="00221018"/>
    <w:rsid w:val="00253375"/>
    <w:rsid w:val="00255379"/>
    <w:rsid w:val="00272003"/>
    <w:rsid w:val="0027430E"/>
    <w:rsid w:val="00281B5A"/>
    <w:rsid w:val="002841A4"/>
    <w:rsid w:val="0029184B"/>
    <w:rsid w:val="002B299B"/>
    <w:rsid w:val="002C0495"/>
    <w:rsid w:val="002C66F1"/>
    <w:rsid w:val="002D5E6D"/>
    <w:rsid w:val="002F4B90"/>
    <w:rsid w:val="00330F82"/>
    <w:rsid w:val="00340901"/>
    <w:rsid w:val="00373642"/>
    <w:rsid w:val="003737CF"/>
    <w:rsid w:val="00387685"/>
    <w:rsid w:val="00391CC8"/>
    <w:rsid w:val="003C5813"/>
    <w:rsid w:val="003D4895"/>
    <w:rsid w:val="003D58C4"/>
    <w:rsid w:val="003D63C9"/>
    <w:rsid w:val="003F1E86"/>
    <w:rsid w:val="003F2054"/>
    <w:rsid w:val="003F741E"/>
    <w:rsid w:val="0040207D"/>
    <w:rsid w:val="004037DB"/>
    <w:rsid w:val="0041478C"/>
    <w:rsid w:val="004250DB"/>
    <w:rsid w:val="0042522F"/>
    <w:rsid w:val="00441506"/>
    <w:rsid w:val="00452BE6"/>
    <w:rsid w:val="004566AA"/>
    <w:rsid w:val="004A1EF5"/>
    <w:rsid w:val="004F0AB8"/>
    <w:rsid w:val="00501CA3"/>
    <w:rsid w:val="00504D68"/>
    <w:rsid w:val="00505F6D"/>
    <w:rsid w:val="00507D9F"/>
    <w:rsid w:val="0053357E"/>
    <w:rsid w:val="005347CC"/>
    <w:rsid w:val="0055438D"/>
    <w:rsid w:val="00565623"/>
    <w:rsid w:val="00581BD3"/>
    <w:rsid w:val="00581DB6"/>
    <w:rsid w:val="00585104"/>
    <w:rsid w:val="00593B11"/>
    <w:rsid w:val="005A500E"/>
    <w:rsid w:val="005A58A5"/>
    <w:rsid w:val="005C411E"/>
    <w:rsid w:val="005D2423"/>
    <w:rsid w:val="005E0FCD"/>
    <w:rsid w:val="005E14F8"/>
    <w:rsid w:val="005E3AE0"/>
    <w:rsid w:val="005F74F2"/>
    <w:rsid w:val="006205FA"/>
    <w:rsid w:val="006254DD"/>
    <w:rsid w:val="006268C0"/>
    <w:rsid w:val="00640372"/>
    <w:rsid w:val="006445B1"/>
    <w:rsid w:val="00665AD2"/>
    <w:rsid w:val="00666BBC"/>
    <w:rsid w:val="00673A5B"/>
    <w:rsid w:val="00683184"/>
    <w:rsid w:val="006C7A36"/>
    <w:rsid w:val="006D5355"/>
    <w:rsid w:val="006F1ADC"/>
    <w:rsid w:val="006F4B66"/>
    <w:rsid w:val="00705165"/>
    <w:rsid w:val="00717514"/>
    <w:rsid w:val="00732022"/>
    <w:rsid w:val="00745938"/>
    <w:rsid w:val="007464A6"/>
    <w:rsid w:val="00746F43"/>
    <w:rsid w:val="00747FB6"/>
    <w:rsid w:val="007517F1"/>
    <w:rsid w:val="00775079"/>
    <w:rsid w:val="00794B5C"/>
    <w:rsid w:val="007A309D"/>
    <w:rsid w:val="007B0A68"/>
    <w:rsid w:val="007B61C9"/>
    <w:rsid w:val="007C54E2"/>
    <w:rsid w:val="00825D42"/>
    <w:rsid w:val="00870FA7"/>
    <w:rsid w:val="00873B67"/>
    <w:rsid w:val="00877F3E"/>
    <w:rsid w:val="00881207"/>
    <w:rsid w:val="00887B96"/>
    <w:rsid w:val="008A512B"/>
    <w:rsid w:val="008A5430"/>
    <w:rsid w:val="008B25B6"/>
    <w:rsid w:val="008F6067"/>
    <w:rsid w:val="00901E41"/>
    <w:rsid w:val="00904E6C"/>
    <w:rsid w:val="009120CB"/>
    <w:rsid w:val="00940713"/>
    <w:rsid w:val="009633B8"/>
    <w:rsid w:val="00974FCE"/>
    <w:rsid w:val="00975298"/>
    <w:rsid w:val="009A0978"/>
    <w:rsid w:val="009C09B9"/>
    <w:rsid w:val="009D2367"/>
    <w:rsid w:val="009F5C78"/>
    <w:rsid w:val="00A029CD"/>
    <w:rsid w:val="00A2535F"/>
    <w:rsid w:val="00A34727"/>
    <w:rsid w:val="00A5178B"/>
    <w:rsid w:val="00A7311A"/>
    <w:rsid w:val="00A758C1"/>
    <w:rsid w:val="00A83A7F"/>
    <w:rsid w:val="00AA54E5"/>
    <w:rsid w:val="00AB3453"/>
    <w:rsid w:val="00AD2583"/>
    <w:rsid w:val="00B3570D"/>
    <w:rsid w:val="00B41206"/>
    <w:rsid w:val="00B46AD8"/>
    <w:rsid w:val="00B63D26"/>
    <w:rsid w:val="00B7245B"/>
    <w:rsid w:val="00B77A5E"/>
    <w:rsid w:val="00BA5871"/>
    <w:rsid w:val="00BB4A10"/>
    <w:rsid w:val="00BC18DC"/>
    <w:rsid w:val="00BD31B5"/>
    <w:rsid w:val="00BD6F31"/>
    <w:rsid w:val="00BE13B4"/>
    <w:rsid w:val="00C11E34"/>
    <w:rsid w:val="00C12117"/>
    <w:rsid w:val="00C405E1"/>
    <w:rsid w:val="00C53AA6"/>
    <w:rsid w:val="00C60E69"/>
    <w:rsid w:val="00C6171E"/>
    <w:rsid w:val="00C63F05"/>
    <w:rsid w:val="00C66032"/>
    <w:rsid w:val="00C70BF2"/>
    <w:rsid w:val="00C7679C"/>
    <w:rsid w:val="00C77E16"/>
    <w:rsid w:val="00C93CE0"/>
    <w:rsid w:val="00CA3FCF"/>
    <w:rsid w:val="00CE0F6D"/>
    <w:rsid w:val="00CE5FE5"/>
    <w:rsid w:val="00D0150C"/>
    <w:rsid w:val="00D1657C"/>
    <w:rsid w:val="00D22F6E"/>
    <w:rsid w:val="00D30FF3"/>
    <w:rsid w:val="00D322F0"/>
    <w:rsid w:val="00D358F2"/>
    <w:rsid w:val="00D43DE1"/>
    <w:rsid w:val="00D44147"/>
    <w:rsid w:val="00D63A09"/>
    <w:rsid w:val="00D77189"/>
    <w:rsid w:val="00DC5E9A"/>
    <w:rsid w:val="00DD36BC"/>
    <w:rsid w:val="00DD5088"/>
    <w:rsid w:val="00E228F7"/>
    <w:rsid w:val="00E622FE"/>
    <w:rsid w:val="00E63465"/>
    <w:rsid w:val="00EA3A91"/>
    <w:rsid w:val="00EE138B"/>
    <w:rsid w:val="00EE3317"/>
    <w:rsid w:val="00EF0586"/>
    <w:rsid w:val="00EF4490"/>
    <w:rsid w:val="00F42BC9"/>
    <w:rsid w:val="00F5675D"/>
    <w:rsid w:val="00F91CD0"/>
    <w:rsid w:val="00F94ECA"/>
    <w:rsid w:val="00FC673C"/>
    <w:rsid w:val="00FF390F"/>
    <w:rsid w:val="085BF5F6"/>
    <w:rsid w:val="0AACE732"/>
    <w:rsid w:val="0EDB445C"/>
    <w:rsid w:val="1556A76A"/>
    <w:rsid w:val="1623C62B"/>
    <w:rsid w:val="190E8317"/>
    <w:rsid w:val="1B1FA1E8"/>
    <w:rsid w:val="24730DD5"/>
    <w:rsid w:val="24FDA3E2"/>
    <w:rsid w:val="27D3C1BC"/>
    <w:rsid w:val="2BF8FEAF"/>
    <w:rsid w:val="2D64DC36"/>
    <w:rsid w:val="2FCF65AD"/>
    <w:rsid w:val="35AC60AB"/>
    <w:rsid w:val="3A0D45E5"/>
    <w:rsid w:val="3C6D79BA"/>
    <w:rsid w:val="3CC78051"/>
    <w:rsid w:val="3E75812D"/>
    <w:rsid w:val="4A4618A9"/>
    <w:rsid w:val="4FDC2575"/>
    <w:rsid w:val="4FE27E69"/>
    <w:rsid w:val="5075CBA6"/>
    <w:rsid w:val="50A58117"/>
    <w:rsid w:val="51B25DD7"/>
    <w:rsid w:val="5324E04B"/>
    <w:rsid w:val="5E987A75"/>
    <w:rsid w:val="5FC256C1"/>
    <w:rsid w:val="603995F9"/>
    <w:rsid w:val="631D4831"/>
    <w:rsid w:val="6A5315DA"/>
    <w:rsid w:val="6CCE2ADF"/>
    <w:rsid w:val="6DF8AEFE"/>
    <w:rsid w:val="712C1AC1"/>
    <w:rsid w:val="71748E74"/>
    <w:rsid w:val="796ACF15"/>
    <w:rsid w:val="799B8423"/>
    <w:rsid w:val="7A23AB99"/>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2DC8DFC"/>
  <w15:docId w15:val="{66055241-12D9-41E8-B46A-1581A1EBC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zh-CN"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CommentText">
    <w:name w:val="annotation text"/>
    <w:basedOn w:val="Normal"/>
    <w:link w:val="CommentTextChar"/>
    <w:uiPriority w:val="99"/>
    <w:unhideWhenUsed/>
    <w:rsid w:val="00255379"/>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255379"/>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255379"/>
    <w:rPr>
      <w:sz w:val="16"/>
      <w:szCs w:val="16"/>
    </w:rPr>
  </w:style>
  <w:style w:type="character" w:styleId="FootnoteReference">
    <w:name w:val="footnote reference"/>
    <w:basedOn w:val="DefaultParagraphFont"/>
    <w:uiPriority w:val="99"/>
    <w:semiHidden/>
    <w:unhideWhenUsed/>
    <w:rsid w:val="00255379"/>
    <w:rPr>
      <w:vertAlign w:val="superscript"/>
    </w:rPr>
  </w:style>
  <w:style w:type="character" w:customStyle="1" w:styleId="FootnoteTextChar">
    <w:name w:val="Footnote Text Char"/>
    <w:basedOn w:val="DefaultParagraphFont"/>
    <w:link w:val="FootnoteText"/>
    <w:uiPriority w:val="99"/>
    <w:semiHidden/>
    <w:rsid w:val="00255379"/>
  </w:style>
  <w:style w:type="paragraph" w:styleId="FootnoteText">
    <w:name w:val="footnote text"/>
    <w:basedOn w:val="Normal"/>
    <w:link w:val="FootnoteTextChar"/>
    <w:uiPriority w:val="99"/>
    <w:semiHidden/>
    <w:unhideWhenUsed/>
    <w:rsid w:val="00255379"/>
    <w:pPr>
      <w:autoSpaceDN/>
      <w:spacing w:line="240" w:lineRule="auto"/>
      <w:textAlignment w:val="auto"/>
    </w:pPr>
    <w:rPr>
      <w:rFonts w:ascii="Times New Roman" w:hAnsi="Times New Roman"/>
      <w:color w:val="auto"/>
      <w:sz w:val="20"/>
      <w:szCs w:val="20"/>
    </w:rPr>
  </w:style>
  <w:style w:type="character" w:customStyle="1" w:styleId="FootnoteTextChar1">
    <w:name w:val="Footnote Text Char1"/>
    <w:basedOn w:val="DefaultParagraphFont"/>
    <w:uiPriority w:val="99"/>
    <w:semiHidden/>
    <w:rsid w:val="00255379"/>
    <w:rPr>
      <w:rFonts w:ascii="Verdana" w:hAnsi="Verdana"/>
      <w:color w:val="000000"/>
    </w:rPr>
  </w:style>
  <w:style w:type="paragraph" w:styleId="Revision">
    <w:name w:val="Revision"/>
    <w:hidden/>
    <w:uiPriority w:val="99"/>
    <w:semiHidden/>
    <w:rsid w:val="008A512B"/>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8A512B"/>
    <w:pPr>
      <w:autoSpaceDN w:val="0"/>
      <w:spacing w:after="0"/>
      <w:textAlignment w:val="baseline"/>
    </w:pPr>
    <w:rPr>
      <w:rFonts w:ascii="Verdana" w:eastAsia="DejaVu Sans" w:hAnsi="Verdana" w:cs="Lohit Hindi"/>
      <w:b/>
      <w:bCs/>
      <w:color w:val="000000"/>
      <w:lang w:eastAsia="zh-CN"/>
    </w:rPr>
  </w:style>
  <w:style w:type="character" w:customStyle="1" w:styleId="CommentSubjectChar">
    <w:name w:val="Comment Subject Char"/>
    <w:basedOn w:val="CommentTextChar"/>
    <w:link w:val="CommentSubject"/>
    <w:uiPriority w:val="99"/>
    <w:semiHidden/>
    <w:rsid w:val="008A512B"/>
    <w:rPr>
      <w:rFonts w:ascii="Verdana" w:eastAsiaTheme="minorHAnsi" w:hAnsi="Verdana" w:cstheme="minorBidi"/>
      <w:b/>
      <w:bCs/>
      <w:color w:val="000000"/>
      <w:lang w:eastAsia="en-US"/>
    </w:rPr>
  </w:style>
  <w:style w:type="paragraph" w:styleId="Header">
    <w:name w:val="header"/>
    <w:basedOn w:val="Normal"/>
    <w:link w:val="HeaderChar"/>
    <w:uiPriority w:val="99"/>
    <w:unhideWhenUsed/>
    <w:rsid w:val="00507D9F"/>
    <w:pPr>
      <w:tabs>
        <w:tab w:val="center" w:pos="4513"/>
        <w:tab w:val="right" w:pos="9026"/>
      </w:tabs>
      <w:spacing w:line="240" w:lineRule="auto"/>
    </w:pPr>
  </w:style>
  <w:style w:type="character" w:customStyle="1" w:styleId="HeaderChar">
    <w:name w:val="Header Char"/>
    <w:basedOn w:val="DefaultParagraphFont"/>
    <w:link w:val="Header"/>
    <w:uiPriority w:val="99"/>
    <w:rsid w:val="00507D9F"/>
    <w:rPr>
      <w:rFonts w:ascii="Verdana" w:hAnsi="Verdana"/>
      <w:color w:val="000000"/>
      <w:sz w:val="18"/>
      <w:szCs w:val="18"/>
    </w:rPr>
  </w:style>
  <w:style w:type="paragraph" w:styleId="Footer">
    <w:name w:val="footer"/>
    <w:basedOn w:val="Normal"/>
    <w:link w:val="FooterChar"/>
    <w:uiPriority w:val="99"/>
    <w:unhideWhenUsed/>
    <w:rsid w:val="00507D9F"/>
    <w:pPr>
      <w:tabs>
        <w:tab w:val="center" w:pos="4513"/>
        <w:tab w:val="right" w:pos="9026"/>
      </w:tabs>
      <w:spacing w:line="240" w:lineRule="auto"/>
    </w:pPr>
  </w:style>
  <w:style w:type="character" w:customStyle="1" w:styleId="FooterChar">
    <w:name w:val="Footer Char"/>
    <w:basedOn w:val="DefaultParagraphFont"/>
    <w:link w:val="Footer"/>
    <w:uiPriority w:val="99"/>
    <w:rsid w:val="00507D9F"/>
    <w:rPr>
      <w:rFonts w:ascii="Verdana" w:hAnsi="Verdana"/>
      <w:color w:val="000000"/>
      <w:sz w:val="18"/>
      <w:szCs w:val="18"/>
    </w:rPr>
  </w:style>
  <w:style w:type="character" w:styleId="UnresolvedMention">
    <w:name w:val="Unresolved Mention"/>
    <w:basedOn w:val="DefaultParagraphFont"/>
    <w:uiPriority w:val="99"/>
    <w:semiHidden/>
    <w:unhideWhenUsed/>
    <w:rsid w:val="003D58C4"/>
    <w:rPr>
      <w:color w:val="605E5C"/>
      <w:shd w:val="clear" w:color="auto" w:fill="E1DFDD"/>
    </w:rPr>
  </w:style>
  <w:style w:type="character" w:styleId="FollowedHyperlink">
    <w:name w:val="FollowedHyperlink"/>
    <w:basedOn w:val="DefaultParagraphFont"/>
    <w:uiPriority w:val="99"/>
    <w:semiHidden/>
    <w:unhideWhenUsed/>
    <w:rsid w:val="00DD50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388883">
      <w:bodyDiv w:val="1"/>
      <w:marLeft w:val="0"/>
      <w:marRight w:val="0"/>
      <w:marTop w:val="0"/>
      <w:marBottom w:val="0"/>
      <w:divBdr>
        <w:top w:val="none" w:sz="0" w:space="0" w:color="auto"/>
        <w:left w:val="none" w:sz="0" w:space="0" w:color="auto"/>
        <w:bottom w:val="none" w:sz="0" w:space="0" w:color="auto"/>
        <w:right w:val="none" w:sz="0" w:space="0" w:color="auto"/>
      </w:divBdr>
    </w:div>
    <w:div w:id="1668050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webSetting" Target="webSettings0.xml" Id="rId24"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home-affairs.ec.europa.eu/policies/schengen/smart-borders/entry-exit-system_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1901</ap:Words>
  <ap:Characters>10457</ap:Characters>
  <ap:DocSecurity>0</ap:DocSecurity>
  <ap:Lines>87</ap:Lines>
  <ap:Paragraphs>24</ap:Paragraphs>
  <ap:ScaleCrop>false</ap:ScaleCrop>
  <ap:HeadingPairs>
    <vt:vector baseType="variant" size="2">
      <vt:variant>
        <vt:lpstr>Title</vt:lpstr>
      </vt:variant>
      <vt:variant>
        <vt:i4>1</vt:i4>
      </vt:variant>
    </vt:vector>
  </ap:HeadingPairs>
  <ap:TitlesOfParts>
    <vt:vector baseType="lpstr" size="1">
      <vt:lpstr>Kamerbrief over EU VK overeenkomst Gibraltar</vt:lpstr>
    </vt:vector>
  </ap:TitlesOfParts>
  <ap:LinksUpToDate>false</ap:LinksUpToDate>
  <ap:CharactersWithSpaces>12334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2026-03-19T13:34:00.0000000Z</lastPrinted>
  <dcterms:created xsi:type="dcterms:W3CDTF">2026-03-27T09:30:00.0000000Z</dcterms:created>
  <dcterms:modified xsi:type="dcterms:W3CDTF">2026-03-27T09:30:00.0000000Z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0x0101009C7CE436063D44E9BE7DC0259EF7C32F006EB9F9836A634AE58B6169785FD3936F00E118BE330E179A41AFB5E6BA82A01B95</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https://247.plaza.buzaservices.nl/subject/PV-RK2026012026/BZ2625490/Reguliere%20kamerbrief%20-%20Kamerbrief%20over%20EU%20VK%20overeenkomst%20Gibraltar.docx, </vt:lpwstr>
  </property>
  <property fmtid="{D5CDD505-2E9C-101B-9397-08002B2CF9AE}" pid="24" name="_dlc_DocIdItemGuid">
    <vt:lpwstr>f8ef0fe8-42b4-4ebe-a628-82a102fc9b56</vt:lpwstr>
  </property>
  <property fmtid="{D5CDD505-2E9C-101B-9397-08002B2CF9AE}" pid="25" name="_docset_NoMedatataSyncRequired">
    <vt:lpwstr>False</vt:lpwstr>
  </property>
</Properties>
</file>