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461B3" w:rsidR="001272AE" w:rsidP="009735B3" w:rsidRDefault="009735B3" w14:paraId="28B5F4A0" w14:textId="2847FB1C">
      <w:pPr>
        <w:spacing w:after="0"/>
        <w:rPr>
          <w:rFonts w:ascii="Verdana" w:hAnsi="Verdana"/>
          <w:b/>
          <w:bCs/>
          <w:sz w:val="18"/>
          <w:szCs w:val="18"/>
        </w:rPr>
      </w:pPr>
      <w:r w:rsidRPr="00F461B3">
        <w:rPr>
          <w:rFonts w:ascii="Verdana" w:hAnsi="Verdana"/>
          <w:b/>
          <w:bCs/>
          <w:sz w:val="18"/>
          <w:szCs w:val="18"/>
        </w:rPr>
        <w:t>Verslag Europese Raad 19 maar</w:t>
      </w:r>
      <w:r w:rsidRPr="00F461B3" w:rsidR="009D14B3">
        <w:rPr>
          <w:rFonts w:ascii="Verdana" w:hAnsi="Verdana"/>
          <w:b/>
          <w:bCs/>
          <w:sz w:val="18"/>
          <w:szCs w:val="18"/>
        </w:rPr>
        <w:t>t</w:t>
      </w:r>
      <w:r w:rsidRPr="00F461B3">
        <w:rPr>
          <w:rFonts w:ascii="Verdana" w:hAnsi="Verdana"/>
          <w:b/>
          <w:bCs/>
          <w:sz w:val="18"/>
          <w:szCs w:val="18"/>
        </w:rPr>
        <w:t xml:space="preserve"> 2026</w:t>
      </w:r>
    </w:p>
    <w:p w:rsidRPr="00F461B3" w:rsidR="009735B3" w:rsidP="009735B3" w:rsidRDefault="0012445C" w14:paraId="2E338CCB" w14:textId="1C3203E3">
      <w:pPr>
        <w:spacing w:after="0"/>
        <w:rPr>
          <w:rFonts w:ascii="Verdana" w:hAnsi="Verdana"/>
          <w:sz w:val="18"/>
          <w:szCs w:val="18"/>
        </w:rPr>
      </w:pPr>
      <w:r w:rsidRPr="00F461B3">
        <w:rPr>
          <w:rFonts w:ascii="Verdana" w:hAnsi="Verdana"/>
          <w:sz w:val="18"/>
          <w:szCs w:val="18"/>
        </w:rPr>
        <w:t xml:space="preserve">Op 19 maart jl. vond in Brussel de Europese Raad </w:t>
      </w:r>
      <w:r w:rsidRPr="00F461B3" w:rsidR="000E0142">
        <w:rPr>
          <w:rFonts w:ascii="Verdana" w:hAnsi="Verdana"/>
          <w:sz w:val="18"/>
          <w:szCs w:val="18"/>
        </w:rPr>
        <w:t xml:space="preserve">(ER) </w:t>
      </w:r>
      <w:r w:rsidRPr="00F461B3">
        <w:rPr>
          <w:rFonts w:ascii="Verdana" w:hAnsi="Verdana"/>
          <w:sz w:val="18"/>
          <w:szCs w:val="18"/>
        </w:rPr>
        <w:t xml:space="preserve">plaats. De Europese regeringsleiders spraken </w:t>
      </w:r>
      <w:r w:rsidRPr="009B1EE0">
        <w:rPr>
          <w:rFonts w:ascii="Verdana" w:hAnsi="Verdana"/>
          <w:sz w:val="18"/>
          <w:szCs w:val="18"/>
        </w:rPr>
        <w:t>over de Russische agressie</w:t>
      </w:r>
      <w:r w:rsidRPr="009B1EE0" w:rsidR="006158A4">
        <w:rPr>
          <w:rFonts w:ascii="Verdana" w:hAnsi="Verdana"/>
          <w:sz w:val="18"/>
          <w:szCs w:val="18"/>
        </w:rPr>
        <w:t xml:space="preserve">oorlog </w:t>
      </w:r>
      <w:r w:rsidRPr="009B1EE0">
        <w:rPr>
          <w:rFonts w:ascii="Verdana" w:hAnsi="Verdana"/>
          <w:sz w:val="18"/>
          <w:szCs w:val="18"/>
        </w:rPr>
        <w:t>tegen Oekraïne, de situatie in het Midden-Oosten, concurrentievermogen en interne markt, energie</w:t>
      </w:r>
      <w:r w:rsidRPr="009B1EE0" w:rsidR="00F07A76">
        <w:rPr>
          <w:rFonts w:ascii="Verdana" w:hAnsi="Verdana"/>
          <w:sz w:val="18"/>
          <w:szCs w:val="18"/>
        </w:rPr>
        <w:t>prijzen en ETS</w:t>
      </w:r>
      <w:r w:rsidRPr="009B1EE0">
        <w:rPr>
          <w:rFonts w:ascii="Verdana" w:hAnsi="Verdana"/>
          <w:sz w:val="18"/>
          <w:szCs w:val="18"/>
        </w:rPr>
        <w:t xml:space="preserve">, veiligheid en defensie en migratie. </w:t>
      </w:r>
      <w:r w:rsidRPr="009B1EE0" w:rsidR="006158A4">
        <w:rPr>
          <w:rFonts w:ascii="Verdana" w:hAnsi="Verdana"/>
          <w:sz w:val="18"/>
          <w:szCs w:val="18"/>
        </w:rPr>
        <w:t xml:space="preserve">Het agendapunt </w:t>
      </w:r>
      <w:r w:rsidR="00946345">
        <w:rPr>
          <w:rFonts w:ascii="Verdana" w:hAnsi="Verdana"/>
          <w:sz w:val="18"/>
          <w:szCs w:val="18"/>
        </w:rPr>
        <w:t>M</w:t>
      </w:r>
      <w:r w:rsidRPr="009B1EE0" w:rsidR="006158A4">
        <w:rPr>
          <w:rFonts w:ascii="Verdana" w:hAnsi="Verdana"/>
          <w:sz w:val="18"/>
          <w:szCs w:val="18"/>
        </w:rPr>
        <w:t xml:space="preserve">eerjarig </w:t>
      </w:r>
      <w:r w:rsidR="00946345">
        <w:rPr>
          <w:rFonts w:ascii="Verdana" w:hAnsi="Verdana"/>
          <w:sz w:val="18"/>
          <w:szCs w:val="18"/>
        </w:rPr>
        <w:t>F</w:t>
      </w:r>
      <w:r w:rsidRPr="009B1EE0" w:rsidR="006158A4">
        <w:rPr>
          <w:rFonts w:ascii="Verdana" w:hAnsi="Verdana"/>
          <w:sz w:val="18"/>
          <w:szCs w:val="18"/>
        </w:rPr>
        <w:t xml:space="preserve">inancieel </w:t>
      </w:r>
      <w:r w:rsidR="00946345">
        <w:rPr>
          <w:rFonts w:ascii="Verdana" w:hAnsi="Verdana"/>
          <w:sz w:val="18"/>
          <w:szCs w:val="18"/>
        </w:rPr>
        <w:t>K</w:t>
      </w:r>
      <w:r w:rsidRPr="009B1EE0" w:rsidR="006158A4">
        <w:rPr>
          <w:rFonts w:ascii="Verdana" w:hAnsi="Verdana"/>
          <w:sz w:val="18"/>
          <w:szCs w:val="18"/>
        </w:rPr>
        <w:t>ader</w:t>
      </w:r>
      <w:r w:rsidR="00946345">
        <w:rPr>
          <w:rFonts w:ascii="Verdana" w:hAnsi="Verdana"/>
          <w:sz w:val="18"/>
          <w:szCs w:val="18"/>
        </w:rPr>
        <w:t xml:space="preserve"> (MFK)</w:t>
      </w:r>
      <w:r w:rsidRPr="009B1EE0" w:rsidR="006158A4">
        <w:rPr>
          <w:rFonts w:ascii="Verdana" w:hAnsi="Verdana"/>
          <w:sz w:val="18"/>
          <w:szCs w:val="18"/>
        </w:rPr>
        <w:t xml:space="preserve"> is niet meer aan bod gekomen; het MFK zal nu worden besproken tijdens de informele Europese Raad van 23-24 april op Cyprus. </w:t>
      </w:r>
      <w:r w:rsidRPr="009B1EE0">
        <w:rPr>
          <w:rFonts w:ascii="Verdana" w:hAnsi="Verdana"/>
          <w:sz w:val="18"/>
          <w:szCs w:val="18"/>
        </w:rPr>
        <w:t xml:space="preserve">Tijdens de lunch werd met </w:t>
      </w:r>
      <w:r w:rsidR="001D1B25">
        <w:rPr>
          <w:rFonts w:ascii="Verdana" w:hAnsi="Verdana"/>
          <w:sz w:val="18"/>
          <w:szCs w:val="18"/>
        </w:rPr>
        <w:t xml:space="preserve">de </w:t>
      </w:r>
      <w:r w:rsidRPr="009B1EE0">
        <w:rPr>
          <w:rFonts w:ascii="Verdana" w:hAnsi="Verdana"/>
          <w:sz w:val="18"/>
          <w:szCs w:val="18"/>
        </w:rPr>
        <w:t>S</w:t>
      </w:r>
      <w:r w:rsidRPr="009B1EE0" w:rsidR="00134EC6">
        <w:rPr>
          <w:rFonts w:ascii="Verdana" w:hAnsi="Verdana"/>
          <w:sz w:val="18"/>
          <w:szCs w:val="18"/>
        </w:rPr>
        <w:t>ecretaris-Generaal</w:t>
      </w:r>
      <w:r w:rsidRPr="009B1EE0">
        <w:rPr>
          <w:rFonts w:ascii="Verdana" w:hAnsi="Verdana"/>
          <w:sz w:val="18"/>
          <w:szCs w:val="18"/>
        </w:rPr>
        <w:t xml:space="preserve"> </w:t>
      </w:r>
      <w:r w:rsidRPr="009B1EE0" w:rsidR="000E0142">
        <w:rPr>
          <w:rFonts w:ascii="Verdana" w:hAnsi="Verdana"/>
          <w:sz w:val="18"/>
          <w:szCs w:val="18"/>
        </w:rPr>
        <w:t xml:space="preserve">van de </w:t>
      </w:r>
      <w:r w:rsidRPr="009B1EE0">
        <w:rPr>
          <w:rFonts w:ascii="Verdana" w:hAnsi="Verdana"/>
          <w:sz w:val="18"/>
          <w:szCs w:val="18"/>
        </w:rPr>
        <w:t>Verenigde Naties Guterres gesproken over multilateralisme</w:t>
      </w:r>
      <w:r w:rsidRPr="009B1EE0" w:rsidR="00F461B3">
        <w:rPr>
          <w:rFonts w:ascii="Verdana" w:hAnsi="Verdana"/>
          <w:sz w:val="18"/>
          <w:szCs w:val="18"/>
        </w:rPr>
        <w:t>. Verder vond</w:t>
      </w:r>
      <w:r w:rsidRPr="009B1EE0">
        <w:rPr>
          <w:rFonts w:ascii="Verdana" w:hAnsi="Verdana"/>
          <w:sz w:val="18"/>
          <w:szCs w:val="18"/>
        </w:rPr>
        <w:t xml:space="preserve"> en marge van de ER een Eurotop plaats</w:t>
      </w:r>
      <w:r w:rsidRPr="009B1EE0" w:rsidR="007509B8">
        <w:rPr>
          <w:rFonts w:ascii="Verdana" w:hAnsi="Verdana"/>
          <w:sz w:val="18"/>
          <w:szCs w:val="18"/>
        </w:rPr>
        <w:t>.</w:t>
      </w:r>
      <w:r w:rsidRPr="009B1EE0" w:rsidR="00BD6F1B">
        <w:rPr>
          <w:rFonts w:ascii="Verdana" w:hAnsi="Verdana"/>
          <w:sz w:val="18"/>
          <w:szCs w:val="18"/>
        </w:rPr>
        <w:t xml:space="preserve"> In dit verslag wordt uw Kamer tevens geïnformeerd over de verplaatsing van het personeel van de NAVO-missie in Irak (NMI) waaronder de Nederlandse missieleden. </w:t>
      </w:r>
    </w:p>
    <w:p w:rsidRPr="00030BC8" w:rsidR="009735B3" w:rsidP="009735B3" w:rsidRDefault="009735B3" w14:paraId="73D1E561" w14:textId="77777777">
      <w:pPr>
        <w:spacing w:after="0"/>
        <w:rPr>
          <w:rFonts w:ascii="Verdana" w:hAnsi="Verdana"/>
          <w:sz w:val="18"/>
          <w:szCs w:val="18"/>
        </w:rPr>
      </w:pPr>
    </w:p>
    <w:p w:rsidRPr="00F461B3" w:rsidR="009735B3" w:rsidP="009735B3" w:rsidRDefault="00C22721" w14:paraId="4BBCADF0" w14:textId="191E046E">
      <w:pPr>
        <w:spacing w:after="0"/>
        <w:rPr>
          <w:rFonts w:ascii="Verdana" w:hAnsi="Verdana"/>
          <w:b/>
          <w:bCs/>
          <w:sz w:val="18"/>
          <w:szCs w:val="18"/>
        </w:rPr>
      </w:pPr>
      <w:bookmarkStart w:name="_Hlk225166780" w:id="0"/>
      <w:r w:rsidRPr="00F461B3">
        <w:rPr>
          <w:rFonts w:ascii="Verdana" w:hAnsi="Verdana"/>
          <w:b/>
          <w:bCs/>
          <w:sz w:val="18"/>
          <w:szCs w:val="18"/>
        </w:rPr>
        <w:t>Russische agressie</w:t>
      </w:r>
      <w:r w:rsidR="006158A4">
        <w:rPr>
          <w:rFonts w:ascii="Verdana" w:hAnsi="Verdana"/>
          <w:b/>
          <w:bCs/>
          <w:sz w:val="18"/>
          <w:szCs w:val="18"/>
        </w:rPr>
        <w:t>oorlog</w:t>
      </w:r>
      <w:r w:rsidRPr="00F461B3">
        <w:rPr>
          <w:rFonts w:ascii="Verdana" w:hAnsi="Verdana"/>
          <w:b/>
          <w:bCs/>
          <w:sz w:val="18"/>
          <w:szCs w:val="18"/>
        </w:rPr>
        <w:t xml:space="preserve"> tegen O</w:t>
      </w:r>
      <w:r w:rsidRPr="00F461B3" w:rsidR="00473D14">
        <w:rPr>
          <w:rFonts w:ascii="Verdana" w:hAnsi="Verdana"/>
          <w:b/>
          <w:bCs/>
          <w:sz w:val="18"/>
          <w:szCs w:val="18"/>
        </w:rPr>
        <w:t>ekraïne</w:t>
      </w:r>
    </w:p>
    <w:bookmarkEnd w:id="0"/>
    <w:p w:rsidRPr="00F461B3" w:rsidR="00761F8D" w:rsidP="009735B3" w:rsidRDefault="00DE5262" w14:paraId="55F03166" w14:textId="6D9F674B">
      <w:pPr>
        <w:spacing w:after="0"/>
        <w:rPr>
          <w:rFonts w:ascii="Verdana" w:hAnsi="Verdana"/>
          <w:sz w:val="18"/>
          <w:szCs w:val="18"/>
        </w:rPr>
      </w:pPr>
      <w:r w:rsidRPr="00F461B3">
        <w:rPr>
          <w:rFonts w:ascii="Verdana" w:hAnsi="Verdana"/>
          <w:sz w:val="18"/>
          <w:szCs w:val="18"/>
        </w:rPr>
        <w:t xml:space="preserve">Na een bijdrage via videoverbinding van President Zelensky sprak de </w:t>
      </w:r>
      <w:r w:rsidRPr="00F461B3" w:rsidR="001C2727">
        <w:rPr>
          <w:rFonts w:ascii="Verdana" w:hAnsi="Verdana"/>
          <w:sz w:val="18"/>
          <w:szCs w:val="18"/>
        </w:rPr>
        <w:t xml:space="preserve">ER over de nog altijd voortdurende Russische agressieoorlog tegen Oekraïne. </w:t>
      </w:r>
      <w:r w:rsidRPr="00F461B3" w:rsidR="00761F8D">
        <w:rPr>
          <w:rFonts w:ascii="Verdana" w:hAnsi="Verdana"/>
          <w:sz w:val="18"/>
          <w:szCs w:val="18"/>
        </w:rPr>
        <w:t xml:space="preserve">Omdat twee lidstaten de conclusies over Oekraïne niet steunden werden deze uiteindelijk door 25 lidstaten onderschreven. In deze conclusies werd </w:t>
      </w:r>
      <w:r w:rsidR="009F430A">
        <w:rPr>
          <w:rFonts w:ascii="Verdana" w:hAnsi="Verdana"/>
          <w:sz w:val="18"/>
          <w:szCs w:val="18"/>
        </w:rPr>
        <w:t>benadrukt</w:t>
      </w:r>
      <w:r w:rsidRPr="00F461B3" w:rsidR="001C2727">
        <w:rPr>
          <w:rFonts w:ascii="Verdana" w:hAnsi="Verdana"/>
          <w:sz w:val="18"/>
          <w:szCs w:val="18"/>
        </w:rPr>
        <w:t xml:space="preserve"> </w:t>
      </w:r>
      <w:r w:rsidRPr="00F461B3" w:rsidR="00761F8D">
        <w:rPr>
          <w:rFonts w:ascii="Verdana" w:hAnsi="Verdana"/>
          <w:sz w:val="18"/>
          <w:szCs w:val="18"/>
        </w:rPr>
        <w:t xml:space="preserve">dat </w:t>
      </w:r>
      <w:r w:rsidRPr="00F461B3" w:rsidR="0035116E">
        <w:rPr>
          <w:rFonts w:ascii="Verdana" w:hAnsi="Verdana"/>
          <w:sz w:val="18"/>
          <w:szCs w:val="18"/>
        </w:rPr>
        <w:t xml:space="preserve">Oekraïne </w:t>
      </w:r>
      <w:r w:rsidRPr="00F461B3" w:rsidR="001C2727">
        <w:rPr>
          <w:rFonts w:ascii="Verdana" w:hAnsi="Verdana"/>
          <w:sz w:val="18"/>
          <w:szCs w:val="18"/>
        </w:rPr>
        <w:t xml:space="preserve">van </w:t>
      </w:r>
      <w:r w:rsidRPr="00F461B3" w:rsidR="0035116E">
        <w:rPr>
          <w:rFonts w:ascii="Verdana" w:hAnsi="Verdana"/>
          <w:sz w:val="18"/>
          <w:szCs w:val="18"/>
        </w:rPr>
        <w:t xml:space="preserve">politieke, financiële, economische, humanitaire, militaire en diplomatieke steun </w:t>
      </w:r>
      <w:r w:rsidRPr="00F461B3" w:rsidR="00761F8D">
        <w:rPr>
          <w:rFonts w:ascii="Verdana" w:hAnsi="Verdana"/>
          <w:sz w:val="18"/>
          <w:szCs w:val="18"/>
        </w:rPr>
        <w:t xml:space="preserve">moet worden </w:t>
      </w:r>
      <w:r w:rsidRPr="00F461B3" w:rsidR="0035116E">
        <w:rPr>
          <w:rFonts w:ascii="Verdana" w:hAnsi="Verdana"/>
          <w:sz w:val="18"/>
          <w:szCs w:val="18"/>
        </w:rPr>
        <w:t>blijven voorzien</w:t>
      </w:r>
      <w:r w:rsidRPr="00F461B3" w:rsidR="008473DB">
        <w:rPr>
          <w:rFonts w:ascii="Verdana" w:hAnsi="Verdana"/>
          <w:sz w:val="18"/>
          <w:szCs w:val="18"/>
        </w:rPr>
        <w:t xml:space="preserve"> in coördinatie met gelijkgestemde partners en bondgenoten</w:t>
      </w:r>
      <w:r w:rsidRPr="00F461B3" w:rsidR="0035116E">
        <w:rPr>
          <w:rFonts w:ascii="Verdana" w:hAnsi="Verdana"/>
          <w:sz w:val="18"/>
          <w:szCs w:val="18"/>
        </w:rPr>
        <w:t xml:space="preserve">. Hierbij </w:t>
      </w:r>
      <w:r w:rsidRPr="003338CD" w:rsidR="0035116E">
        <w:rPr>
          <w:rFonts w:ascii="Verdana" w:hAnsi="Verdana"/>
          <w:sz w:val="18"/>
          <w:szCs w:val="18"/>
        </w:rPr>
        <w:t>onderstreepte de ER het belang</w:t>
      </w:r>
      <w:r w:rsidRPr="003338CD" w:rsidR="001C2727">
        <w:rPr>
          <w:rFonts w:ascii="Verdana" w:hAnsi="Verdana"/>
          <w:sz w:val="18"/>
          <w:szCs w:val="18"/>
        </w:rPr>
        <w:t xml:space="preserve"> van voldoende budgettaire en militaire middelen voor Oekraïne om zich te kunnen blijven </w:t>
      </w:r>
      <w:r w:rsidRPr="003338CD" w:rsidR="0035116E">
        <w:rPr>
          <w:rFonts w:ascii="Verdana" w:hAnsi="Verdana"/>
          <w:sz w:val="18"/>
          <w:szCs w:val="18"/>
        </w:rPr>
        <w:t>verweren</w:t>
      </w:r>
      <w:r w:rsidRPr="003338CD" w:rsidR="001C2727">
        <w:rPr>
          <w:rFonts w:ascii="Verdana" w:hAnsi="Verdana"/>
          <w:sz w:val="18"/>
          <w:szCs w:val="18"/>
        </w:rPr>
        <w:t xml:space="preserve"> tegen de Russische agressie. </w:t>
      </w:r>
      <w:bookmarkStart w:name="_Hlk225166645" w:id="1"/>
      <w:bookmarkStart w:name="_Hlk225242853" w:id="2"/>
      <w:r w:rsidRPr="003338CD" w:rsidR="00761F8D">
        <w:rPr>
          <w:rFonts w:ascii="Verdana" w:hAnsi="Verdana"/>
          <w:sz w:val="18"/>
          <w:szCs w:val="18"/>
        </w:rPr>
        <w:t>Regeringsleiders spraken lang over het belang van snel</w:t>
      </w:r>
      <w:r w:rsidRPr="003338CD" w:rsidR="006A3E06">
        <w:rPr>
          <w:rFonts w:ascii="Verdana" w:hAnsi="Verdana"/>
          <w:sz w:val="18"/>
          <w:szCs w:val="18"/>
        </w:rPr>
        <w:t xml:space="preserve"> formeel akkoord op</w:t>
      </w:r>
      <w:r w:rsidRPr="003338CD" w:rsidR="00707521">
        <w:rPr>
          <w:rFonts w:ascii="Verdana" w:hAnsi="Verdana"/>
          <w:sz w:val="18"/>
          <w:szCs w:val="18"/>
        </w:rPr>
        <w:t xml:space="preserve"> de </w:t>
      </w:r>
      <w:r w:rsidRPr="003338CD" w:rsidR="0035116E">
        <w:rPr>
          <w:rFonts w:ascii="Verdana" w:hAnsi="Verdana"/>
          <w:sz w:val="18"/>
          <w:szCs w:val="18"/>
        </w:rPr>
        <w:t xml:space="preserve">steunlening voor </w:t>
      </w:r>
      <w:r w:rsidRPr="003338CD" w:rsidR="001C2727">
        <w:rPr>
          <w:rFonts w:ascii="Verdana" w:hAnsi="Verdana"/>
          <w:sz w:val="18"/>
          <w:szCs w:val="18"/>
        </w:rPr>
        <w:t>Oekraïne</w:t>
      </w:r>
      <w:r w:rsidRPr="003338CD" w:rsidR="00761F8D">
        <w:rPr>
          <w:rFonts w:ascii="Verdana" w:hAnsi="Verdana"/>
          <w:sz w:val="18"/>
          <w:szCs w:val="18"/>
        </w:rPr>
        <w:t xml:space="preserve"> met het oog op</w:t>
      </w:r>
      <w:r w:rsidRPr="003338CD" w:rsidR="00F461B3">
        <w:rPr>
          <w:rFonts w:ascii="Verdana" w:hAnsi="Verdana"/>
          <w:sz w:val="18"/>
          <w:szCs w:val="18"/>
        </w:rPr>
        <w:t xml:space="preserve"> </w:t>
      </w:r>
      <w:r w:rsidRPr="003338CD" w:rsidR="0035116E">
        <w:rPr>
          <w:rFonts w:ascii="Verdana" w:hAnsi="Verdana"/>
          <w:sz w:val="18"/>
          <w:szCs w:val="18"/>
        </w:rPr>
        <w:t>eerste uitbetaling in april</w:t>
      </w:r>
      <w:bookmarkEnd w:id="1"/>
      <w:r w:rsidRPr="003338CD" w:rsidR="00EE63D6">
        <w:rPr>
          <w:rFonts w:ascii="Verdana" w:hAnsi="Verdana"/>
          <w:sz w:val="18"/>
          <w:szCs w:val="18"/>
        </w:rPr>
        <w:t xml:space="preserve">. </w:t>
      </w:r>
      <w:bookmarkEnd w:id="2"/>
      <w:r w:rsidRPr="003338CD" w:rsidR="00761F8D">
        <w:rPr>
          <w:rFonts w:ascii="Verdana" w:hAnsi="Verdana"/>
          <w:sz w:val="18"/>
          <w:szCs w:val="18"/>
        </w:rPr>
        <w:t xml:space="preserve">De president van de ER Costa en </w:t>
      </w:r>
      <w:r w:rsidRPr="003338CD" w:rsidR="006E2CFE">
        <w:rPr>
          <w:rFonts w:ascii="Verdana" w:hAnsi="Verdana"/>
          <w:sz w:val="18"/>
          <w:szCs w:val="18"/>
        </w:rPr>
        <w:t>vrijwel alle</w:t>
      </w:r>
      <w:r w:rsidRPr="003338CD" w:rsidR="00761F8D">
        <w:rPr>
          <w:rFonts w:ascii="Verdana" w:hAnsi="Verdana"/>
          <w:sz w:val="18"/>
          <w:szCs w:val="18"/>
        </w:rPr>
        <w:t xml:space="preserve"> regeringsleiders</w:t>
      </w:r>
      <w:r w:rsidRPr="003338CD" w:rsidR="006E2CFE">
        <w:rPr>
          <w:rFonts w:ascii="Verdana" w:hAnsi="Verdana"/>
          <w:sz w:val="18"/>
          <w:szCs w:val="18"/>
        </w:rPr>
        <w:t>, onder</w:t>
      </w:r>
      <w:r w:rsidRPr="003338CD" w:rsidR="009F430A">
        <w:rPr>
          <w:rFonts w:ascii="Verdana" w:hAnsi="Verdana"/>
          <w:sz w:val="18"/>
          <w:szCs w:val="18"/>
        </w:rPr>
        <w:t xml:space="preserve"> wie de</w:t>
      </w:r>
      <w:r w:rsidRPr="003338CD" w:rsidR="006E2CFE">
        <w:rPr>
          <w:rFonts w:ascii="Verdana" w:hAnsi="Verdana"/>
          <w:sz w:val="18"/>
          <w:szCs w:val="18"/>
        </w:rPr>
        <w:t xml:space="preserve"> Nederland</w:t>
      </w:r>
      <w:r w:rsidRPr="003338CD" w:rsidR="009F430A">
        <w:rPr>
          <w:rFonts w:ascii="Verdana" w:hAnsi="Verdana"/>
          <w:sz w:val="18"/>
          <w:szCs w:val="18"/>
        </w:rPr>
        <w:t>se</w:t>
      </w:r>
      <w:r w:rsidRPr="003338CD" w:rsidR="006E2CFE">
        <w:rPr>
          <w:rFonts w:ascii="Verdana" w:hAnsi="Verdana"/>
          <w:sz w:val="18"/>
          <w:szCs w:val="18"/>
        </w:rPr>
        <w:t>,</w:t>
      </w:r>
      <w:r w:rsidRPr="003338CD" w:rsidR="00761F8D">
        <w:rPr>
          <w:rFonts w:ascii="Verdana" w:hAnsi="Verdana"/>
          <w:sz w:val="18"/>
          <w:szCs w:val="18"/>
        </w:rPr>
        <w:t xml:space="preserve"> riepen </w:t>
      </w:r>
      <w:r w:rsidRPr="003338CD" w:rsidR="006158A4">
        <w:rPr>
          <w:rFonts w:ascii="Verdana" w:hAnsi="Verdana"/>
          <w:sz w:val="18"/>
          <w:szCs w:val="18"/>
        </w:rPr>
        <w:t>met klem de blokkerende leider</w:t>
      </w:r>
      <w:r w:rsidRPr="003338CD" w:rsidR="00761F8D">
        <w:rPr>
          <w:rFonts w:ascii="Verdana" w:hAnsi="Verdana"/>
          <w:sz w:val="18"/>
          <w:szCs w:val="18"/>
        </w:rPr>
        <w:t xml:space="preserve"> op zich aan de politieke afspraken van december 2025 te houden </w:t>
      </w:r>
      <w:r w:rsidRPr="003338CD" w:rsidR="006158A4">
        <w:rPr>
          <w:rFonts w:ascii="Verdana" w:hAnsi="Verdana"/>
          <w:sz w:val="18"/>
          <w:szCs w:val="18"/>
        </w:rPr>
        <w:t xml:space="preserve">– die met instemming van allen op basis van versterkte samenwerking tot stand kwamen - </w:t>
      </w:r>
      <w:r w:rsidRPr="003338CD" w:rsidR="00761F8D">
        <w:rPr>
          <w:rFonts w:ascii="Verdana" w:hAnsi="Verdana"/>
          <w:sz w:val="18"/>
          <w:szCs w:val="18"/>
        </w:rPr>
        <w:t>en geen oneigenlijke blokkades op te werpen.</w:t>
      </w:r>
      <w:r w:rsidRPr="00F461B3" w:rsidR="00761F8D">
        <w:rPr>
          <w:rFonts w:ascii="Verdana" w:hAnsi="Verdana"/>
          <w:sz w:val="18"/>
          <w:szCs w:val="18"/>
        </w:rPr>
        <w:t xml:space="preserve"> </w:t>
      </w:r>
    </w:p>
    <w:p w:rsidRPr="00F461B3" w:rsidR="00761F8D" w:rsidP="009735B3" w:rsidRDefault="00761F8D" w14:paraId="0902E5CB" w14:textId="77777777">
      <w:pPr>
        <w:spacing w:after="0"/>
        <w:rPr>
          <w:rFonts w:ascii="Verdana" w:hAnsi="Verdana"/>
          <w:sz w:val="18"/>
          <w:szCs w:val="18"/>
        </w:rPr>
      </w:pPr>
    </w:p>
    <w:p w:rsidRPr="00F461B3" w:rsidR="0035116E" w:rsidP="009735B3" w:rsidRDefault="0035116E" w14:paraId="7D101728" w14:textId="2127722C">
      <w:pPr>
        <w:spacing w:after="0"/>
        <w:rPr>
          <w:rFonts w:ascii="Verdana" w:hAnsi="Verdana"/>
          <w:sz w:val="18"/>
          <w:szCs w:val="18"/>
        </w:rPr>
      </w:pPr>
      <w:r>
        <w:rPr>
          <w:rFonts w:ascii="Verdana" w:hAnsi="Verdana"/>
          <w:sz w:val="18"/>
          <w:szCs w:val="18"/>
        </w:rPr>
        <w:t xml:space="preserve">De </w:t>
      </w:r>
      <w:r w:rsidR="006E2CFE">
        <w:rPr>
          <w:rFonts w:ascii="Verdana" w:hAnsi="Verdana"/>
          <w:sz w:val="18"/>
          <w:szCs w:val="18"/>
        </w:rPr>
        <w:t>25 Europese leiders</w:t>
      </w:r>
      <w:r w:rsidRPr="00F461B3">
        <w:rPr>
          <w:rFonts w:ascii="Verdana" w:hAnsi="Verdana"/>
          <w:sz w:val="18"/>
          <w:szCs w:val="18"/>
        </w:rPr>
        <w:t xml:space="preserve"> </w:t>
      </w:r>
      <w:r w:rsidR="009F430A">
        <w:rPr>
          <w:rFonts w:ascii="Verdana" w:hAnsi="Verdana"/>
          <w:sz w:val="18"/>
          <w:szCs w:val="18"/>
        </w:rPr>
        <w:t>benadrukten</w:t>
      </w:r>
      <w:r w:rsidRPr="00F461B3">
        <w:rPr>
          <w:rFonts w:ascii="Verdana" w:hAnsi="Verdana"/>
          <w:sz w:val="18"/>
          <w:szCs w:val="18"/>
        </w:rPr>
        <w:t xml:space="preserve"> het belang van </w:t>
      </w:r>
      <w:r w:rsidRPr="00F461B3" w:rsidR="008473DB">
        <w:rPr>
          <w:rFonts w:ascii="Verdana" w:hAnsi="Verdana"/>
          <w:sz w:val="18"/>
          <w:szCs w:val="18"/>
        </w:rPr>
        <w:t>coördinatie</w:t>
      </w:r>
      <w:r w:rsidRPr="00F461B3">
        <w:rPr>
          <w:rFonts w:ascii="Verdana" w:hAnsi="Verdana"/>
          <w:sz w:val="18"/>
          <w:szCs w:val="18"/>
        </w:rPr>
        <w:t xml:space="preserve"> met derde landen om het </w:t>
      </w:r>
      <w:r w:rsidRPr="00F461B3" w:rsidR="008473DB">
        <w:rPr>
          <w:rFonts w:ascii="Verdana" w:hAnsi="Verdana"/>
          <w:sz w:val="18"/>
          <w:szCs w:val="18"/>
        </w:rPr>
        <w:t>resterende financieringstekort</w:t>
      </w:r>
      <w:r w:rsidRPr="00F461B3">
        <w:rPr>
          <w:rFonts w:ascii="Verdana" w:hAnsi="Verdana"/>
          <w:sz w:val="18"/>
          <w:szCs w:val="18"/>
        </w:rPr>
        <w:t xml:space="preserve"> van </w:t>
      </w:r>
      <w:r w:rsidRPr="00F461B3" w:rsidR="008473DB">
        <w:rPr>
          <w:rFonts w:ascii="Verdana" w:hAnsi="Verdana"/>
          <w:sz w:val="18"/>
          <w:szCs w:val="18"/>
        </w:rPr>
        <w:t>Oekraïne</w:t>
      </w:r>
      <w:r w:rsidRPr="00F461B3">
        <w:rPr>
          <w:rFonts w:ascii="Verdana" w:hAnsi="Verdana"/>
          <w:sz w:val="18"/>
          <w:szCs w:val="18"/>
        </w:rPr>
        <w:t xml:space="preserve"> te dichten.</w:t>
      </w:r>
      <w:r w:rsidRPr="00F461B3" w:rsidR="001C2727">
        <w:rPr>
          <w:rFonts w:ascii="Verdana" w:hAnsi="Verdana"/>
          <w:sz w:val="18"/>
          <w:szCs w:val="18"/>
        </w:rPr>
        <w:t xml:space="preserve"> Nederland </w:t>
      </w:r>
      <w:r w:rsidR="009F430A">
        <w:rPr>
          <w:rFonts w:ascii="Verdana" w:hAnsi="Verdana"/>
          <w:sz w:val="18"/>
          <w:szCs w:val="18"/>
        </w:rPr>
        <w:t xml:space="preserve">wees daarbij in het bijzonder op </w:t>
      </w:r>
      <w:r w:rsidRPr="00F461B3" w:rsidR="001C2727">
        <w:rPr>
          <w:rFonts w:ascii="Verdana" w:hAnsi="Verdana"/>
          <w:sz w:val="18"/>
          <w:szCs w:val="18"/>
        </w:rPr>
        <w:t>het urgente belang van het verzekeren van voldoende financiële en militaire steun aan Oekraïne</w:t>
      </w:r>
      <w:r w:rsidRPr="00F461B3" w:rsidR="00064C7D">
        <w:rPr>
          <w:rFonts w:ascii="Verdana" w:hAnsi="Verdana"/>
          <w:sz w:val="18"/>
          <w:szCs w:val="18"/>
        </w:rPr>
        <w:t xml:space="preserve"> en riep op tot een spoedig akkoord op de steunlening voor Oekraïne</w:t>
      </w:r>
      <w:r w:rsidRPr="00F461B3" w:rsidR="008473DB">
        <w:rPr>
          <w:rFonts w:ascii="Verdana" w:hAnsi="Verdana"/>
          <w:sz w:val="18"/>
          <w:szCs w:val="18"/>
        </w:rPr>
        <w:t xml:space="preserve">. Ook gaf Nederland aan dat de steunlening alleen niet voldoende is en riep op tot </w:t>
      </w:r>
      <w:r w:rsidRPr="00F461B3" w:rsidR="00064C7D">
        <w:rPr>
          <w:rFonts w:ascii="Verdana" w:hAnsi="Verdana"/>
          <w:sz w:val="18"/>
          <w:szCs w:val="18"/>
        </w:rPr>
        <w:t xml:space="preserve">het verhogen van de bilaterale steun aan Oekraïne door lidstaten. </w:t>
      </w:r>
      <w:bookmarkStart w:name="_Hlk225166675" w:id="3"/>
      <w:r w:rsidRPr="00F461B3" w:rsidR="008473DB">
        <w:rPr>
          <w:rFonts w:ascii="Verdana" w:hAnsi="Verdana"/>
          <w:sz w:val="18"/>
          <w:szCs w:val="18"/>
        </w:rPr>
        <w:t>Daarnaast</w:t>
      </w:r>
      <w:r w:rsidRPr="00F461B3" w:rsidR="00064C7D">
        <w:rPr>
          <w:rFonts w:ascii="Verdana" w:hAnsi="Verdana"/>
          <w:sz w:val="18"/>
          <w:szCs w:val="18"/>
        </w:rPr>
        <w:t xml:space="preserve"> </w:t>
      </w:r>
      <w:r w:rsidR="006E2CFE">
        <w:rPr>
          <w:rFonts w:ascii="Verdana" w:hAnsi="Verdana"/>
          <w:sz w:val="18"/>
          <w:szCs w:val="18"/>
        </w:rPr>
        <w:t>gaven de leiders</w:t>
      </w:r>
      <w:r w:rsidRPr="00F461B3" w:rsidR="001C2727">
        <w:rPr>
          <w:rFonts w:ascii="Verdana" w:hAnsi="Verdana"/>
          <w:sz w:val="18"/>
          <w:szCs w:val="18"/>
        </w:rPr>
        <w:t xml:space="preserve"> </w:t>
      </w:r>
      <w:r w:rsidRPr="00F461B3" w:rsidR="00064C7D">
        <w:rPr>
          <w:rFonts w:ascii="Verdana" w:hAnsi="Verdana"/>
          <w:sz w:val="18"/>
          <w:szCs w:val="18"/>
        </w:rPr>
        <w:t>aan vastberaden te zijn om de druk op Rusland verder op te voeren</w:t>
      </w:r>
      <w:r w:rsidRPr="00F461B3" w:rsidR="001C2727">
        <w:rPr>
          <w:rFonts w:ascii="Verdana" w:hAnsi="Verdana"/>
          <w:sz w:val="18"/>
          <w:szCs w:val="18"/>
        </w:rPr>
        <w:t xml:space="preserve">, in </w:t>
      </w:r>
      <w:r w:rsidRPr="00F461B3" w:rsidR="008473DB">
        <w:rPr>
          <w:rFonts w:ascii="Verdana" w:hAnsi="Verdana"/>
          <w:sz w:val="18"/>
          <w:szCs w:val="18"/>
        </w:rPr>
        <w:t>coördinatie</w:t>
      </w:r>
      <w:r w:rsidRPr="00F461B3" w:rsidR="001C2727">
        <w:rPr>
          <w:rFonts w:ascii="Verdana" w:hAnsi="Verdana"/>
          <w:sz w:val="18"/>
          <w:szCs w:val="18"/>
        </w:rPr>
        <w:t xml:space="preserve"> met </w:t>
      </w:r>
      <w:r w:rsidRPr="00F461B3" w:rsidR="008473DB">
        <w:rPr>
          <w:rFonts w:ascii="Verdana" w:hAnsi="Verdana"/>
          <w:sz w:val="18"/>
          <w:szCs w:val="18"/>
        </w:rPr>
        <w:t>G7-</w:t>
      </w:r>
      <w:r w:rsidRPr="00F461B3" w:rsidR="001C2727">
        <w:rPr>
          <w:rFonts w:ascii="Verdana" w:hAnsi="Verdana"/>
          <w:sz w:val="18"/>
          <w:szCs w:val="18"/>
        </w:rPr>
        <w:t>partners</w:t>
      </w:r>
      <w:r w:rsidRPr="00F461B3" w:rsidR="008473DB">
        <w:rPr>
          <w:rFonts w:ascii="Verdana" w:hAnsi="Verdana"/>
          <w:sz w:val="18"/>
          <w:szCs w:val="18"/>
        </w:rPr>
        <w:t>,</w:t>
      </w:r>
      <w:r w:rsidRPr="00F461B3" w:rsidR="00064C7D">
        <w:rPr>
          <w:rFonts w:ascii="Verdana" w:hAnsi="Verdana"/>
          <w:sz w:val="18"/>
          <w:szCs w:val="18"/>
        </w:rPr>
        <w:t xml:space="preserve"> en uit te kijken naar</w:t>
      </w:r>
      <w:r w:rsidRPr="00F461B3" w:rsidR="001C2727">
        <w:rPr>
          <w:rFonts w:ascii="Verdana" w:hAnsi="Verdana"/>
          <w:sz w:val="18"/>
          <w:szCs w:val="18"/>
        </w:rPr>
        <w:t xml:space="preserve"> de aanname van het </w:t>
      </w:r>
      <w:r w:rsidRPr="00F461B3" w:rsidR="00064C7D">
        <w:rPr>
          <w:rFonts w:ascii="Verdana" w:hAnsi="Verdana"/>
          <w:sz w:val="18"/>
          <w:szCs w:val="18"/>
        </w:rPr>
        <w:t>twintigste</w:t>
      </w:r>
      <w:r w:rsidRPr="00F461B3" w:rsidR="001C2727">
        <w:rPr>
          <w:rFonts w:ascii="Verdana" w:hAnsi="Verdana"/>
          <w:sz w:val="18"/>
          <w:szCs w:val="18"/>
        </w:rPr>
        <w:t xml:space="preserve"> sanctiepakket</w:t>
      </w:r>
      <w:r w:rsidRPr="00F461B3" w:rsidR="00064C7D">
        <w:rPr>
          <w:rFonts w:ascii="Verdana" w:hAnsi="Verdana"/>
          <w:sz w:val="18"/>
          <w:szCs w:val="18"/>
        </w:rPr>
        <w:t>.</w:t>
      </w:r>
      <w:r w:rsidRPr="00F461B3" w:rsidR="001C2727">
        <w:rPr>
          <w:rFonts w:ascii="Verdana" w:hAnsi="Verdana"/>
          <w:sz w:val="18"/>
          <w:szCs w:val="18"/>
        </w:rPr>
        <w:t xml:space="preserve"> </w:t>
      </w:r>
      <w:bookmarkEnd w:id="3"/>
      <w:r w:rsidRPr="00F461B3" w:rsidR="001C2727">
        <w:rPr>
          <w:rFonts w:ascii="Verdana" w:hAnsi="Verdana"/>
          <w:sz w:val="18"/>
          <w:szCs w:val="18"/>
        </w:rPr>
        <w:t>Ook riep</w:t>
      </w:r>
      <w:r w:rsidR="007B63E5">
        <w:rPr>
          <w:rFonts w:ascii="Verdana" w:hAnsi="Verdana"/>
          <w:sz w:val="18"/>
          <w:szCs w:val="18"/>
        </w:rPr>
        <w:t xml:space="preserve"> de Raad</w:t>
      </w:r>
      <w:r w:rsidRPr="00F461B3" w:rsidR="001C2727">
        <w:rPr>
          <w:rFonts w:ascii="Verdana" w:hAnsi="Verdana"/>
          <w:sz w:val="18"/>
          <w:szCs w:val="18"/>
        </w:rPr>
        <w:t xml:space="preserve"> op tot aanvullende maatregelen tegen de Russische schaduwvloot</w:t>
      </w:r>
      <w:r w:rsidR="007B63E5">
        <w:rPr>
          <w:rFonts w:ascii="Verdana" w:hAnsi="Verdana"/>
          <w:sz w:val="18"/>
          <w:szCs w:val="18"/>
        </w:rPr>
        <w:t xml:space="preserve">; </w:t>
      </w:r>
      <w:r w:rsidRPr="00F461B3" w:rsidR="001C2727">
        <w:rPr>
          <w:rFonts w:ascii="Verdana" w:hAnsi="Verdana"/>
          <w:sz w:val="18"/>
          <w:szCs w:val="18"/>
        </w:rPr>
        <w:t>derde landen en actoren die de Russische agressieoorlog faciliteren</w:t>
      </w:r>
      <w:r w:rsidR="007B63E5">
        <w:rPr>
          <w:rFonts w:ascii="Verdana" w:hAnsi="Verdana"/>
          <w:sz w:val="18"/>
          <w:szCs w:val="18"/>
        </w:rPr>
        <w:t>, werden veroordeeld</w:t>
      </w:r>
      <w:r w:rsidRPr="00F461B3" w:rsidR="001C2727">
        <w:rPr>
          <w:rFonts w:ascii="Verdana" w:hAnsi="Verdana"/>
          <w:sz w:val="18"/>
          <w:szCs w:val="18"/>
        </w:rPr>
        <w:t>.</w:t>
      </w:r>
    </w:p>
    <w:p w:rsidRPr="00F461B3" w:rsidR="0035116E" w:rsidP="009735B3" w:rsidRDefault="0035116E" w14:paraId="39E3E82A" w14:textId="77777777">
      <w:pPr>
        <w:spacing w:after="0"/>
        <w:rPr>
          <w:rFonts w:ascii="Verdana" w:hAnsi="Verdana"/>
          <w:sz w:val="18"/>
          <w:szCs w:val="18"/>
        </w:rPr>
      </w:pPr>
    </w:p>
    <w:p w:rsidRPr="00F461B3" w:rsidR="00E80A3B" w:rsidP="009735B3" w:rsidRDefault="00F47FBE" w14:paraId="5759B13E" w14:textId="48663761">
      <w:pPr>
        <w:spacing w:after="0"/>
        <w:rPr>
          <w:rFonts w:ascii="Verdana" w:hAnsi="Verdana"/>
          <w:sz w:val="18"/>
          <w:szCs w:val="18"/>
        </w:rPr>
      </w:pPr>
      <w:r w:rsidRPr="00F461B3">
        <w:rPr>
          <w:rFonts w:ascii="Verdana" w:hAnsi="Verdana"/>
          <w:sz w:val="18"/>
          <w:szCs w:val="18"/>
        </w:rPr>
        <w:t>De</w:t>
      </w:r>
      <w:r w:rsidR="00C17F03">
        <w:rPr>
          <w:rFonts w:ascii="Verdana" w:hAnsi="Verdana"/>
          <w:sz w:val="18"/>
          <w:szCs w:val="18"/>
        </w:rPr>
        <w:t xml:space="preserve"> </w:t>
      </w:r>
      <w:r w:rsidR="006E2CFE">
        <w:rPr>
          <w:rFonts w:ascii="Verdana" w:hAnsi="Verdana"/>
          <w:sz w:val="18"/>
          <w:szCs w:val="18"/>
        </w:rPr>
        <w:t>25 Europese leiders</w:t>
      </w:r>
      <w:r>
        <w:rPr>
          <w:rFonts w:ascii="Verdana" w:hAnsi="Verdana"/>
          <w:sz w:val="18"/>
          <w:szCs w:val="18"/>
        </w:rPr>
        <w:t xml:space="preserve"> </w:t>
      </w:r>
      <w:r w:rsidRPr="001C2727" w:rsidR="008479CE">
        <w:rPr>
          <w:rFonts w:ascii="Verdana" w:hAnsi="Verdana"/>
          <w:sz w:val="18"/>
          <w:szCs w:val="18"/>
        </w:rPr>
        <w:t>sprak</w:t>
      </w:r>
      <w:r w:rsidR="006E2CFE">
        <w:rPr>
          <w:rFonts w:ascii="Verdana" w:hAnsi="Verdana"/>
          <w:sz w:val="18"/>
          <w:szCs w:val="18"/>
        </w:rPr>
        <w:t>en</w:t>
      </w:r>
      <w:r w:rsidRPr="001C2727" w:rsidR="008479CE">
        <w:rPr>
          <w:rFonts w:ascii="Verdana" w:hAnsi="Verdana"/>
          <w:sz w:val="18"/>
          <w:szCs w:val="18"/>
        </w:rPr>
        <w:t xml:space="preserve"> h</w:t>
      </w:r>
      <w:r w:rsidR="006E2CFE">
        <w:rPr>
          <w:rFonts w:ascii="Verdana" w:hAnsi="Verdana"/>
          <w:sz w:val="18"/>
          <w:szCs w:val="18"/>
        </w:rPr>
        <w:t>un</w:t>
      </w:r>
      <w:r w:rsidRPr="00F461B3" w:rsidR="008479CE">
        <w:rPr>
          <w:rFonts w:ascii="Verdana" w:hAnsi="Verdana"/>
          <w:sz w:val="18"/>
          <w:szCs w:val="18"/>
        </w:rPr>
        <w:t xml:space="preserve"> steun uit voor een duurzame en rechtvaardige vrede</w:t>
      </w:r>
      <w:r w:rsidRPr="00F461B3" w:rsidR="008473DB">
        <w:rPr>
          <w:rFonts w:ascii="Verdana" w:hAnsi="Verdana"/>
          <w:sz w:val="18"/>
          <w:szCs w:val="18"/>
        </w:rPr>
        <w:t xml:space="preserve"> in Oekraïne</w:t>
      </w:r>
      <w:r w:rsidRPr="00F461B3" w:rsidR="008479CE">
        <w:rPr>
          <w:rFonts w:ascii="Verdana" w:hAnsi="Verdana"/>
          <w:sz w:val="18"/>
          <w:szCs w:val="18"/>
        </w:rPr>
        <w:t>, in lijn met de principes van het VN Handvest</w:t>
      </w:r>
      <w:r w:rsidRPr="00F461B3" w:rsidR="0035116E">
        <w:rPr>
          <w:rFonts w:ascii="Verdana" w:hAnsi="Verdana"/>
          <w:sz w:val="18"/>
          <w:szCs w:val="18"/>
        </w:rPr>
        <w:t xml:space="preserve"> en het internationaal recht, onderbouwd met geloofwaardige veiligheidsgaranties voor Oekraïne. De EU en haar lidstaten zullen constructief bijdragen aan inspanningen om tot duurzame vrede te komen, waarbij de EU besluit over zaken die haar competenties of veiligheid aangaan. </w:t>
      </w:r>
      <w:r w:rsidRPr="00F461B3" w:rsidR="00F13E68">
        <w:rPr>
          <w:rFonts w:ascii="Verdana" w:hAnsi="Verdana"/>
          <w:sz w:val="18"/>
          <w:szCs w:val="18"/>
        </w:rPr>
        <w:t xml:space="preserve">De ER </w:t>
      </w:r>
      <w:r w:rsidRPr="00F461B3">
        <w:rPr>
          <w:rFonts w:ascii="Verdana" w:hAnsi="Verdana"/>
          <w:sz w:val="18"/>
          <w:szCs w:val="18"/>
        </w:rPr>
        <w:t>verwelkomde</w:t>
      </w:r>
      <w:r w:rsidRPr="00F461B3" w:rsidR="00F13E68">
        <w:rPr>
          <w:rFonts w:ascii="Verdana" w:hAnsi="Verdana"/>
          <w:sz w:val="18"/>
          <w:szCs w:val="18"/>
        </w:rPr>
        <w:t xml:space="preserve"> ook</w:t>
      </w:r>
      <w:r w:rsidRPr="00F461B3" w:rsidR="00F779BC">
        <w:rPr>
          <w:rFonts w:ascii="Verdana" w:hAnsi="Verdana"/>
          <w:sz w:val="18"/>
          <w:szCs w:val="18"/>
        </w:rPr>
        <w:t xml:space="preserve"> </w:t>
      </w:r>
      <w:r w:rsidR="007B63E5">
        <w:rPr>
          <w:rFonts w:ascii="Verdana" w:hAnsi="Verdana"/>
          <w:sz w:val="18"/>
          <w:szCs w:val="18"/>
        </w:rPr>
        <w:t xml:space="preserve">de </w:t>
      </w:r>
      <w:r w:rsidRPr="00F461B3" w:rsidR="00F779BC">
        <w:rPr>
          <w:rFonts w:ascii="Verdana" w:hAnsi="Verdana"/>
          <w:sz w:val="18"/>
          <w:szCs w:val="18"/>
        </w:rPr>
        <w:t>voortdurende</w:t>
      </w:r>
      <w:r w:rsidRPr="00F461B3">
        <w:rPr>
          <w:rFonts w:ascii="Verdana" w:hAnsi="Verdana"/>
          <w:sz w:val="18"/>
          <w:szCs w:val="18"/>
        </w:rPr>
        <w:t xml:space="preserve"> diplomatieke inspanningen </w:t>
      </w:r>
      <w:r w:rsidRPr="00F461B3" w:rsidR="008479CE">
        <w:rPr>
          <w:rFonts w:ascii="Verdana" w:hAnsi="Verdana"/>
          <w:sz w:val="18"/>
          <w:szCs w:val="18"/>
        </w:rPr>
        <w:t xml:space="preserve">hierin </w:t>
      </w:r>
      <w:r w:rsidRPr="00F461B3">
        <w:rPr>
          <w:rFonts w:ascii="Verdana" w:hAnsi="Verdana"/>
          <w:sz w:val="18"/>
          <w:szCs w:val="18"/>
        </w:rPr>
        <w:t xml:space="preserve">en benadrukte </w:t>
      </w:r>
      <w:r w:rsidR="009F430A">
        <w:rPr>
          <w:rFonts w:ascii="Verdana" w:hAnsi="Verdana"/>
          <w:sz w:val="18"/>
          <w:szCs w:val="18"/>
        </w:rPr>
        <w:t>zijn</w:t>
      </w:r>
      <w:r w:rsidRPr="00F461B3">
        <w:rPr>
          <w:rFonts w:ascii="Verdana" w:hAnsi="Verdana"/>
          <w:sz w:val="18"/>
          <w:szCs w:val="18"/>
        </w:rPr>
        <w:t xml:space="preserve"> actieve participatie </w:t>
      </w:r>
      <w:r w:rsidRPr="00F461B3" w:rsidR="008479CE">
        <w:rPr>
          <w:rFonts w:ascii="Verdana" w:hAnsi="Verdana"/>
          <w:sz w:val="18"/>
          <w:szCs w:val="18"/>
        </w:rPr>
        <w:t>evenals</w:t>
      </w:r>
      <w:r w:rsidRPr="00F461B3" w:rsidR="00F779BC">
        <w:rPr>
          <w:rFonts w:ascii="Verdana" w:hAnsi="Verdana"/>
          <w:sz w:val="18"/>
          <w:szCs w:val="18"/>
        </w:rPr>
        <w:t xml:space="preserve"> steun voor Oekraïne </w:t>
      </w:r>
      <w:r w:rsidRPr="00F461B3" w:rsidR="00F13E68">
        <w:rPr>
          <w:rFonts w:ascii="Verdana" w:hAnsi="Verdana"/>
          <w:sz w:val="18"/>
          <w:szCs w:val="18"/>
        </w:rPr>
        <w:t>hierbij</w:t>
      </w:r>
      <w:r w:rsidRPr="00F461B3">
        <w:rPr>
          <w:rFonts w:ascii="Verdana" w:hAnsi="Verdana"/>
          <w:sz w:val="18"/>
          <w:szCs w:val="18"/>
        </w:rPr>
        <w:t xml:space="preserve">. </w:t>
      </w:r>
      <w:r w:rsidR="00F779BC">
        <w:rPr>
          <w:rFonts w:ascii="Verdana" w:hAnsi="Verdana"/>
          <w:sz w:val="18"/>
          <w:szCs w:val="18"/>
        </w:rPr>
        <w:t xml:space="preserve">De </w:t>
      </w:r>
      <w:r w:rsidR="002B5AFB">
        <w:rPr>
          <w:rFonts w:ascii="Verdana" w:hAnsi="Verdana"/>
          <w:sz w:val="18"/>
          <w:szCs w:val="18"/>
        </w:rPr>
        <w:t>leiders</w:t>
      </w:r>
      <w:r w:rsidR="00F779BC">
        <w:rPr>
          <w:rFonts w:ascii="Verdana" w:hAnsi="Verdana"/>
          <w:sz w:val="18"/>
          <w:szCs w:val="18"/>
        </w:rPr>
        <w:t xml:space="preserve"> riep</w:t>
      </w:r>
      <w:r w:rsidR="002B5AFB">
        <w:rPr>
          <w:rFonts w:ascii="Verdana" w:hAnsi="Verdana"/>
          <w:sz w:val="18"/>
          <w:szCs w:val="18"/>
        </w:rPr>
        <w:t>en</w:t>
      </w:r>
      <w:r w:rsidRPr="00F461B3" w:rsidR="00F779BC">
        <w:rPr>
          <w:rFonts w:ascii="Verdana" w:hAnsi="Verdana"/>
          <w:sz w:val="18"/>
          <w:szCs w:val="18"/>
        </w:rPr>
        <w:t xml:space="preserve"> Rusland</w:t>
      </w:r>
      <w:r w:rsidRPr="00F461B3" w:rsidR="00F13E68">
        <w:rPr>
          <w:rFonts w:ascii="Verdana" w:hAnsi="Verdana"/>
          <w:sz w:val="18"/>
          <w:szCs w:val="18"/>
        </w:rPr>
        <w:t xml:space="preserve"> hierbij</w:t>
      </w:r>
      <w:r w:rsidRPr="00F461B3" w:rsidR="00F779BC">
        <w:rPr>
          <w:rFonts w:ascii="Verdana" w:hAnsi="Verdana"/>
          <w:sz w:val="18"/>
          <w:szCs w:val="18"/>
        </w:rPr>
        <w:t xml:space="preserve"> </w:t>
      </w:r>
      <w:r w:rsidRPr="00F461B3" w:rsidR="005D440C">
        <w:rPr>
          <w:rFonts w:ascii="Verdana" w:hAnsi="Verdana"/>
          <w:sz w:val="18"/>
          <w:szCs w:val="18"/>
        </w:rPr>
        <w:t xml:space="preserve">op </w:t>
      </w:r>
      <w:r w:rsidRPr="00F461B3" w:rsidR="0035116E">
        <w:rPr>
          <w:rFonts w:ascii="Verdana" w:hAnsi="Verdana"/>
          <w:sz w:val="18"/>
          <w:szCs w:val="18"/>
        </w:rPr>
        <w:t xml:space="preserve">tot een onmiddellijk en onvoorwaardelijk staakt-het-vuren en </w:t>
      </w:r>
      <w:r w:rsidRPr="00F461B3" w:rsidR="00F13E68">
        <w:rPr>
          <w:rFonts w:ascii="Verdana" w:hAnsi="Verdana"/>
          <w:sz w:val="18"/>
          <w:szCs w:val="18"/>
        </w:rPr>
        <w:t xml:space="preserve">betekenisvolle </w:t>
      </w:r>
      <w:r w:rsidRPr="00F461B3" w:rsidR="005D440C">
        <w:rPr>
          <w:rFonts w:ascii="Verdana" w:hAnsi="Verdana"/>
          <w:sz w:val="18"/>
          <w:szCs w:val="18"/>
        </w:rPr>
        <w:t>bijdrage</w:t>
      </w:r>
      <w:r w:rsidRPr="00F461B3" w:rsidR="00F13E68">
        <w:rPr>
          <w:rFonts w:ascii="Verdana" w:hAnsi="Verdana"/>
          <w:sz w:val="18"/>
          <w:szCs w:val="18"/>
        </w:rPr>
        <w:t xml:space="preserve">n </w:t>
      </w:r>
      <w:r w:rsidRPr="00F461B3" w:rsidR="00F779BC">
        <w:rPr>
          <w:rFonts w:ascii="Verdana" w:hAnsi="Verdana"/>
          <w:sz w:val="18"/>
          <w:szCs w:val="18"/>
        </w:rPr>
        <w:t>aan vredesonderhandelinge</w:t>
      </w:r>
      <w:r w:rsidRPr="00F461B3" w:rsidR="005D440C">
        <w:rPr>
          <w:rFonts w:ascii="Verdana" w:hAnsi="Verdana"/>
          <w:sz w:val="18"/>
          <w:szCs w:val="18"/>
        </w:rPr>
        <w:t>n</w:t>
      </w:r>
      <w:r w:rsidRPr="00F461B3" w:rsidR="00F779BC">
        <w:rPr>
          <w:rFonts w:ascii="Verdana" w:hAnsi="Verdana"/>
          <w:sz w:val="18"/>
          <w:szCs w:val="18"/>
        </w:rPr>
        <w:t xml:space="preserve">. </w:t>
      </w:r>
      <w:r w:rsidRPr="00F461B3" w:rsidR="001C2727">
        <w:rPr>
          <w:rFonts w:ascii="Verdana" w:hAnsi="Verdana"/>
          <w:sz w:val="18"/>
          <w:szCs w:val="18"/>
        </w:rPr>
        <w:t xml:space="preserve">De ER </w:t>
      </w:r>
      <w:r w:rsidRPr="00F461B3">
        <w:rPr>
          <w:rFonts w:ascii="Verdana" w:hAnsi="Verdana"/>
          <w:sz w:val="18"/>
          <w:szCs w:val="18"/>
        </w:rPr>
        <w:t>be</w:t>
      </w:r>
      <w:r w:rsidRPr="00F461B3" w:rsidR="008E32BE">
        <w:rPr>
          <w:rFonts w:ascii="Verdana" w:hAnsi="Verdana"/>
          <w:sz w:val="18"/>
          <w:szCs w:val="18"/>
        </w:rPr>
        <w:t>na</w:t>
      </w:r>
      <w:r w:rsidRPr="00F461B3">
        <w:rPr>
          <w:rFonts w:ascii="Verdana" w:hAnsi="Verdana"/>
          <w:sz w:val="18"/>
          <w:szCs w:val="18"/>
        </w:rPr>
        <w:t xml:space="preserve">drukte </w:t>
      </w:r>
      <w:r w:rsidRPr="00F461B3" w:rsidR="005D440C">
        <w:rPr>
          <w:rFonts w:ascii="Verdana" w:hAnsi="Verdana"/>
          <w:sz w:val="18"/>
          <w:szCs w:val="18"/>
        </w:rPr>
        <w:t>bereid te zijn om bij te dragen aan robuuste en geloofwaardige veiligheidsgaranties voor Oekraïne</w:t>
      </w:r>
      <w:r w:rsidRPr="00F461B3" w:rsidR="008473DB">
        <w:rPr>
          <w:rFonts w:ascii="Verdana" w:hAnsi="Verdana"/>
          <w:sz w:val="18"/>
          <w:szCs w:val="18"/>
        </w:rPr>
        <w:t>,</w:t>
      </w:r>
      <w:r w:rsidRPr="00F461B3" w:rsidR="005D440C">
        <w:rPr>
          <w:rFonts w:ascii="Verdana" w:hAnsi="Verdana"/>
          <w:sz w:val="18"/>
          <w:szCs w:val="18"/>
        </w:rPr>
        <w:t xml:space="preserve"> onder meer middels de</w:t>
      </w:r>
      <w:r w:rsidRPr="00F461B3" w:rsidR="001C2727">
        <w:rPr>
          <w:rFonts w:ascii="Verdana" w:hAnsi="Verdana"/>
          <w:sz w:val="18"/>
          <w:szCs w:val="18"/>
        </w:rPr>
        <w:t xml:space="preserve"> </w:t>
      </w:r>
      <w:r w:rsidRPr="00F461B3" w:rsidR="001C2727">
        <w:rPr>
          <w:rFonts w:ascii="Verdana" w:hAnsi="Verdana"/>
          <w:i/>
          <w:iCs/>
          <w:sz w:val="18"/>
          <w:szCs w:val="18"/>
        </w:rPr>
        <w:t>EU Advisory Mission</w:t>
      </w:r>
      <w:r w:rsidRPr="00F461B3" w:rsidR="001C2727">
        <w:rPr>
          <w:rFonts w:ascii="Verdana" w:hAnsi="Verdana"/>
          <w:sz w:val="18"/>
          <w:szCs w:val="18"/>
        </w:rPr>
        <w:t xml:space="preserve"> (EUAM) en de </w:t>
      </w:r>
      <w:r w:rsidRPr="00F461B3" w:rsidR="001C2727">
        <w:rPr>
          <w:rFonts w:ascii="Verdana" w:hAnsi="Verdana"/>
          <w:i/>
          <w:iCs/>
          <w:sz w:val="18"/>
          <w:szCs w:val="18"/>
        </w:rPr>
        <w:t>EU Military Assistance Mission</w:t>
      </w:r>
      <w:r w:rsidRPr="00F461B3" w:rsidR="001C2727">
        <w:rPr>
          <w:rFonts w:ascii="Verdana" w:hAnsi="Verdana"/>
          <w:sz w:val="18"/>
          <w:szCs w:val="18"/>
        </w:rPr>
        <w:t xml:space="preserve"> (EUMAM)</w:t>
      </w:r>
      <w:r w:rsidRPr="00F461B3" w:rsidR="005D440C">
        <w:rPr>
          <w:rFonts w:ascii="Verdana" w:hAnsi="Verdana"/>
          <w:sz w:val="18"/>
          <w:szCs w:val="18"/>
        </w:rPr>
        <w:t>.</w:t>
      </w:r>
      <w:r w:rsidRPr="00F461B3" w:rsidR="001C2727">
        <w:rPr>
          <w:rFonts w:ascii="Verdana" w:hAnsi="Verdana"/>
          <w:sz w:val="18"/>
          <w:szCs w:val="18"/>
        </w:rPr>
        <w:t xml:space="preserve">  </w:t>
      </w:r>
    </w:p>
    <w:p w:rsidRPr="00F461B3" w:rsidR="008473DB" w:rsidP="009735B3" w:rsidRDefault="008473DB" w14:paraId="4470186E" w14:textId="77777777">
      <w:pPr>
        <w:spacing w:after="0"/>
        <w:rPr>
          <w:rFonts w:ascii="Verdana" w:hAnsi="Verdana"/>
          <w:sz w:val="18"/>
          <w:szCs w:val="18"/>
        </w:rPr>
      </w:pPr>
    </w:p>
    <w:p w:rsidRPr="00F461B3" w:rsidR="008473DB" w:rsidP="009735B3" w:rsidRDefault="008473DB" w14:paraId="36CA3BFD" w14:textId="253A1173">
      <w:pPr>
        <w:spacing w:after="0"/>
        <w:rPr>
          <w:rFonts w:ascii="Verdana" w:hAnsi="Verdana"/>
          <w:sz w:val="18"/>
          <w:szCs w:val="18"/>
        </w:rPr>
      </w:pPr>
      <w:r w:rsidRPr="00F461B3">
        <w:rPr>
          <w:rFonts w:ascii="Verdana" w:hAnsi="Verdana"/>
          <w:sz w:val="18"/>
          <w:szCs w:val="18"/>
        </w:rPr>
        <w:t xml:space="preserve">De </w:t>
      </w:r>
      <w:r w:rsidRPr="001C2727">
        <w:rPr>
          <w:rFonts w:ascii="Verdana" w:hAnsi="Verdana"/>
          <w:sz w:val="18"/>
          <w:szCs w:val="18"/>
        </w:rPr>
        <w:t>E</w:t>
      </w:r>
      <w:r w:rsidR="00B83A77">
        <w:rPr>
          <w:rFonts w:ascii="Verdana" w:hAnsi="Verdana"/>
          <w:sz w:val="18"/>
          <w:szCs w:val="18"/>
        </w:rPr>
        <w:t xml:space="preserve">uropese leiders </w:t>
      </w:r>
      <w:r>
        <w:rPr>
          <w:rFonts w:ascii="Verdana" w:hAnsi="Verdana"/>
          <w:sz w:val="18"/>
          <w:szCs w:val="18"/>
        </w:rPr>
        <w:t>benadrukte</w:t>
      </w:r>
      <w:r w:rsidR="00B83A77">
        <w:rPr>
          <w:rFonts w:ascii="Verdana" w:hAnsi="Verdana"/>
          <w:sz w:val="18"/>
          <w:szCs w:val="18"/>
        </w:rPr>
        <w:t>n</w:t>
      </w:r>
      <w:r w:rsidRPr="00F461B3">
        <w:rPr>
          <w:rFonts w:ascii="Verdana" w:hAnsi="Verdana"/>
          <w:sz w:val="18"/>
          <w:szCs w:val="18"/>
        </w:rPr>
        <w:t xml:space="preserve"> dat de toekomst van Oekraïne binnen de EU ligt, verwelkomde de hervormingen die Oekraïne tot nu toe </w:t>
      </w:r>
      <w:r w:rsidR="007B63E5">
        <w:rPr>
          <w:rFonts w:ascii="Verdana" w:hAnsi="Verdana"/>
          <w:sz w:val="18"/>
          <w:szCs w:val="18"/>
        </w:rPr>
        <w:t>heeft doorgevoerd</w:t>
      </w:r>
      <w:r w:rsidRPr="00F461B3">
        <w:rPr>
          <w:rFonts w:ascii="Verdana" w:hAnsi="Verdana"/>
          <w:sz w:val="18"/>
          <w:szCs w:val="18"/>
        </w:rPr>
        <w:t xml:space="preserve"> en moedigde verdere benodigde hervormingen aan. De ER nodigde de Raad uit om, in lijn met het oordeel van de Europese Commissie, de </w:t>
      </w:r>
      <w:r w:rsidR="007B63E5">
        <w:rPr>
          <w:rFonts w:ascii="Verdana" w:hAnsi="Verdana"/>
          <w:sz w:val="18"/>
          <w:szCs w:val="18"/>
        </w:rPr>
        <w:t>onderhandelings</w:t>
      </w:r>
      <w:r w:rsidRPr="00F461B3">
        <w:rPr>
          <w:rFonts w:ascii="Verdana" w:hAnsi="Verdana"/>
          <w:sz w:val="18"/>
          <w:szCs w:val="18"/>
        </w:rPr>
        <w:t xml:space="preserve">clusters zonder vertraging te openen, te beginnen met het </w:t>
      </w:r>
      <w:r w:rsidRPr="00F461B3">
        <w:rPr>
          <w:rFonts w:ascii="Verdana" w:hAnsi="Verdana"/>
          <w:i/>
          <w:iCs/>
          <w:sz w:val="18"/>
          <w:szCs w:val="18"/>
        </w:rPr>
        <w:t>fundamentals</w:t>
      </w:r>
      <w:r w:rsidRPr="00F461B3">
        <w:rPr>
          <w:rFonts w:ascii="Verdana" w:hAnsi="Verdana"/>
          <w:sz w:val="18"/>
          <w:szCs w:val="18"/>
        </w:rPr>
        <w:t>-cluster.</w:t>
      </w:r>
    </w:p>
    <w:p w:rsidRPr="00F461B3" w:rsidR="00AC50F7" w:rsidP="009735B3" w:rsidRDefault="00AC50F7" w14:paraId="0C3C8F28" w14:textId="77777777">
      <w:pPr>
        <w:spacing w:after="0"/>
        <w:rPr>
          <w:rFonts w:ascii="Verdana" w:hAnsi="Verdana"/>
          <w:sz w:val="18"/>
          <w:szCs w:val="18"/>
        </w:rPr>
      </w:pPr>
    </w:p>
    <w:p w:rsidRPr="00F461B3" w:rsidR="00AC50F7" w:rsidP="009735B3" w:rsidRDefault="00AC50F7" w14:paraId="0AED5B61" w14:textId="1E7A7877">
      <w:pPr>
        <w:spacing w:after="0"/>
        <w:rPr>
          <w:rFonts w:ascii="Verdana" w:hAnsi="Verdana"/>
          <w:sz w:val="18"/>
          <w:szCs w:val="18"/>
        </w:rPr>
      </w:pPr>
      <w:r w:rsidRPr="00F461B3">
        <w:rPr>
          <w:rFonts w:ascii="Verdana" w:hAnsi="Verdana"/>
          <w:sz w:val="18"/>
          <w:szCs w:val="18"/>
        </w:rPr>
        <w:t xml:space="preserve">Tot slot onderstreepte de ER de potentiële dreiging voor de Europese interne veiligheid door Russische veteranen van de oorlog tegen Oekraïne. De ER </w:t>
      </w:r>
      <w:r w:rsidRPr="00F461B3" w:rsidR="008473DB">
        <w:rPr>
          <w:rFonts w:ascii="Verdana" w:hAnsi="Verdana"/>
          <w:sz w:val="18"/>
          <w:szCs w:val="18"/>
        </w:rPr>
        <w:t>verzocht</w:t>
      </w:r>
      <w:r w:rsidRPr="00F461B3">
        <w:rPr>
          <w:rFonts w:ascii="Verdana" w:hAnsi="Verdana"/>
          <w:sz w:val="18"/>
          <w:szCs w:val="18"/>
        </w:rPr>
        <w:t xml:space="preserve"> de Commissie hierbij mogelijke maatregelen </w:t>
      </w:r>
      <w:r w:rsidRPr="00F461B3" w:rsidR="008473DB">
        <w:rPr>
          <w:rFonts w:ascii="Verdana" w:hAnsi="Verdana"/>
          <w:sz w:val="18"/>
          <w:szCs w:val="18"/>
        </w:rPr>
        <w:t xml:space="preserve">te onderzoeken om dit te adresseren. </w:t>
      </w:r>
    </w:p>
    <w:p w:rsidR="000772AE" w:rsidP="00AF067D" w:rsidRDefault="000772AE" w14:paraId="2C1C539F" w14:textId="77777777">
      <w:pPr>
        <w:spacing w:after="0"/>
        <w:rPr>
          <w:rFonts w:ascii="Verdana" w:hAnsi="Verdana"/>
          <w:i/>
          <w:iCs/>
          <w:sz w:val="18"/>
          <w:szCs w:val="18"/>
        </w:rPr>
      </w:pPr>
    </w:p>
    <w:p w:rsidR="000D005B" w:rsidP="00AF067D" w:rsidRDefault="000D005B" w14:paraId="2DE7E334" w14:textId="77777777">
      <w:pPr>
        <w:spacing w:after="0"/>
        <w:rPr>
          <w:rFonts w:ascii="Verdana" w:hAnsi="Verdana"/>
          <w:i/>
          <w:iCs/>
          <w:sz w:val="18"/>
          <w:szCs w:val="18"/>
        </w:rPr>
      </w:pPr>
    </w:p>
    <w:p w:rsidRPr="00F461B3" w:rsidR="000D005B" w:rsidP="00AF067D" w:rsidRDefault="000D005B" w14:paraId="14077381" w14:textId="77777777">
      <w:pPr>
        <w:spacing w:after="0"/>
        <w:rPr>
          <w:rFonts w:ascii="Verdana" w:hAnsi="Verdana"/>
          <w:i/>
          <w:iCs/>
          <w:sz w:val="18"/>
          <w:szCs w:val="18"/>
        </w:rPr>
      </w:pPr>
    </w:p>
    <w:p w:rsidRPr="00F461B3" w:rsidR="00AF067D" w:rsidP="00AF067D" w:rsidRDefault="00AF067D" w14:paraId="3A62B7A1" w14:textId="1F3EC959">
      <w:pPr>
        <w:spacing w:after="0"/>
        <w:rPr>
          <w:rFonts w:ascii="Verdana" w:hAnsi="Verdana"/>
          <w:b/>
          <w:bCs/>
          <w:sz w:val="18"/>
          <w:szCs w:val="18"/>
        </w:rPr>
      </w:pPr>
      <w:bookmarkStart w:name="_Hlk225174544" w:id="4"/>
      <w:r w:rsidRPr="00F461B3">
        <w:rPr>
          <w:rFonts w:ascii="Verdana" w:hAnsi="Verdana"/>
          <w:b/>
          <w:bCs/>
          <w:sz w:val="18"/>
          <w:szCs w:val="18"/>
        </w:rPr>
        <w:lastRenderedPageBreak/>
        <w:t>Midden-Oosten</w:t>
      </w:r>
    </w:p>
    <w:p w:rsidRPr="00F461B3" w:rsidR="003643CF" w:rsidP="00AF067D" w:rsidRDefault="00873EFF" w14:paraId="380201A9" w14:textId="2B0AF3ED">
      <w:pPr>
        <w:spacing w:after="0"/>
        <w:rPr>
          <w:rFonts w:ascii="Verdana" w:hAnsi="Verdana"/>
          <w:sz w:val="18"/>
          <w:szCs w:val="18"/>
        </w:rPr>
      </w:pPr>
      <w:r w:rsidRPr="00F461B3">
        <w:rPr>
          <w:rFonts w:ascii="Verdana" w:hAnsi="Verdana"/>
          <w:sz w:val="18"/>
          <w:szCs w:val="18"/>
        </w:rPr>
        <w:t xml:space="preserve">De Europese Raad besprak het </w:t>
      </w:r>
      <w:r w:rsidRPr="00F461B3" w:rsidR="00781BCD">
        <w:rPr>
          <w:rFonts w:ascii="Verdana" w:hAnsi="Verdana"/>
          <w:sz w:val="18"/>
          <w:szCs w:val="18"/>
        </w:rPr>
        <w:t>gewapend</w:t>
      </w:r>
      <w:r w:rsidRPr="00F461B3">
        <w:rPr>
          <w:rFonts w:ascii="Verdana" w:hAnsi="Verdana"/>
          <w:sz w:val="18"/>
          <w:szCs w:val="18"/>
        </w:rPr>
        <w:t xml:space="preserve"> conflict in het Midden-Oosten, voortbouwend op de uitkomsten van de Raad Buitenlandse Zaken van 16 maart jl.</w:t>
      </w:r>
      <w:r w:rsidRPr="00F461B3" w:rsidR="009D7909">
        <w:rPr>
          <w:rStyle w:val="FootnoteReference"/>
          <w:rFonts w:ascii="Verdana" w:hAnsi="Verdana"/>
          <w:sz w:val="18"/>
          <w:szCs w:val="18"/>
        </w:rPr>
        <w:footnoteReference w:id="2"/>
      </w:r>
      <w:r w:rsidRPr="00F461B3">
        <w:rPr>
          <w:rFonts w:ascii="Verdana" w:hAnsi="Verdana"/>
          <w:sz w:val="18"/>
          <w:szCs w:val="18"/>
        </w:rPr>
        <w:t xml:space="preserve"> De Raad</w:t>
      </w:r>
      <w:r w:rsidRPr="00F461B3" w:rsidR="00694B15">
        <w:rPr>
          <w:rFonts w:ascii="Verdana" w:hAnsi="Verdana"/>
          <w:sz w:val="18"/>
          <w:szCs w:val="18"/>
        </w:rPr>
        <w:t xml:space="preserve"> riep op tot een gecoördineerde EU-aanpak om bij te dragen aan de-escalatie, een diplomatieke oplossing te bevorderen</w:t>
      </w:r>
      <w:r w:rsidR="00795B22">
        <w:rPr>
          <w:rFonts w:ascii="Verdana" w:hAnsi="Verdana"/>
          <w:sz w:val="18"/>
          <w:szCs w:val="18"/>
        </w:rPr>
        <w:t>,</w:t>
      </w:r>
      <w:r w:rsidRPr="00F461B3" w:rsidR="00694B15">
        <w:rPr>
          <w:rFonts w:ascii="Verdana" w:hAnsi="Verdana"/>
          <w:sz w:val="18"/>
          <w:szCs w:val="18"/>
        </w:rPr>
        <w:t xml:space="preserve"> en de gevolgen van het conflict voor de EU zoveel als mogelijk te beperken. </w:t>
      </w:r>
      <w:r w:rsidR="00795B22">
        <w:rPr>
          <w:rFonts w:ascii="Verdana" w:hAnsi="Verdana"/>
          <w:sz w:val="18"/>
          <w:szCs w:val="18"/>
        </w:rPr>
        <w:t>D</w:t>
      </w:r>
      <w:r w:rsidR="00694B15">
        <w:rPr>
          <w:rFonts w:ascii="Verdana" w:hAnsi="Verdana"/>
          <w:sz w:val="18"/>
          <w:szCs w:val="18"/>
        </w:rPr>
        <w:t>e</w:t>
      </w:r>
      <w:r w:rsidRPr="00F461B3" w:rsidR="00694B15">
        <w:rPr>
          <w:rFonts w:ascii="Verdana" w:hAnsi="Verdana"/>
          <w:sz w:val="18"/>
          <w:szCs w:val="18"/>
        </w:rPr>
        <w:t xml:space="preserve"> Raad </w:t>
      </w:r>
      <w:r w:rsidR="00795B22">
        <w:rPr>
          <w:rFonts w:ascii="Verdana" w:hAnsi="Verdana"/>
          <w:sz w:val="18"/>
          <w:szCs w:val="18"/>
        </w:rPr>
        <w:t>veroordeelde</w:t>
      </w:r>
      <w:r w:rsidR="00694B15">
        <w:rPr>
          <w:rFonts w:ascii="Verdana" w:hAnsi="Verdana"/>
          <w:sz w:val="18"/>
          <w:szCs w:val="18"/>
        </w:rPr>
        <w:t xml:space="preserve"> de </w:t>
      </w:r>
      <w:r w:rsidRPr="00F461B3" w:rsidR="00694B15">
        <w:rPr>
          <w:rFonts w:ascii="Verdana" w:hAnsi="Verdana"/>
          <w:sz w:val="18"/>
          <w:szCs w:val="18"/>
        </w:rPr>
        <w:t>Iraanse aanvallen op civiele infrastructuur in de Golfstaten</w:t>
      </w:r>
      <w:r w:rsidR="00795B22">
        <w:rPr>
          <w:rFonts w:ascii="Verdana" w:hAnsi="Verdana"/>
          <w:sz w:val="18"/>
          <w:szCs w:val="18"/>
        </w:rPr>
        <w:t>,</w:t>
      </w:r>
      <w:r w:rsidRPr="00F461B3" w:rsidR="00694B15">
        <w:rPr>
          <w:rFonts w:ascii="Verdana" w:hAnsi="Verdana"/>
          <w:sz w:val="18"/>
          <w:szCs w:val="18"/>
        </w:rPr>
        <w:t xml:space="preserve"> en </w:t>
      </w:r>
      <w:r w:rsidRPr="00F461B3" w:rsidR="00D43BE5">
        <w:rPr>
          <w:rFonts w:ascii="Verdana" w:hAnsi="Verdana"/>
          <w:sz w:val="18"/>
          <w:szCs w:val="18"/>
        </w:rPr>
        <w:t>benadrukte</w:t>
      </w:r>
      <w:r w:rsidRPr="00F461B3" w:rsidR="00694B15">
        <w:rPr>
          <w:rFonts w:ascii="Verdana" w:hAnsi="Verdana"/>
          <w:sz w:val="18"/>
          <w:szCs w:val="18"/>
        </w:rPr>
        <w:t xml:space="preserve"> solidariteit met de landen die door de </w:t>
      </w:r>
      <w:r w:rsidRPr="00F461B3" w:rsidR="00D43BE5">
        <w:rPr>
          <w:rFonts w:ascii="Verdana" w:hAnsi="Verdana"/>
          <w:sz w:val="18"/>
          <w:szCs w:val="18"/>
        </w:rPr>
        <w:t xml:space="preserve">Iraanse </w:t>
      </w:r>
      <w:r w:rsidRPr="00F461B3" w:rsidR="00694B15">
        <w:rPr>
          <w:rFonts w:ascii="Verdana" w:hAnsi="Verdana"/>
          <w:sz w:val="18"/>
          <w:szCs w:val="18"/>
        </w:rPr>
        <w:t>aanvallen worden geraakt. V</w:t>
      </w:r>
      <w:r w:rsidRPr="00F461B3" w:rsidR="00D43BE5">
        <w:rPr>
          <w:rFonts w:ascii="Verdana" w:hAnsi="Verdana"/>
          <w:sz w:val="18"/>
          <w:szCs w:val="18"/>
        </w:rPr>
        <w:t>oorts ging</w:t>
      </w:r>
      <w:r w:rsidRPr="00F461B3" w:rsidR="00694B15">
        <w:rPr>
          <w:rFonts w:ascii="Verdana" w:hAnsi="Verdana"/>
          <w:sz w:val="18"/>
          <w:szCs w:val="18"/>
        </w:rPr>
        <w:t xml:space="preserve"> aandacht uit naar het belang om vrije doorvaart in de Straat van Hormuz te waarborgen</w:t>
      </w:r>
      <w:r w:rsidR="00694B15">
        <w:rPr>
          <w:rFonts w:ascii="Verdana" w:hAnsi="Verdana"/>
          <w:sz w:val="18"/>
          <w:szCs w:val="18"/>
        </w:rPr>
        <w:t>.</w:t>
      </w:r>
      <w:r w:rsidR="00A313FB">
        <w:rPr>
          <w:rStyle w:val="FootnoteReference"/>
          <w:rFonts w:ascii="Verdana" w:hAnsi="Verdana"/>
          <w:sz w:val="18"/>
          <w:szCs w:val="18"/>
        </w:rPr>
        <w:footnoteReference w:id="3"/>
      </w:r>
      <w:r w:rsidRPr="00F461B3" w:rsidR="00694B15">
        <w:rPr>
          <w:rFonts w:ascii="Verdana" w:hAnsi="Verdana"/>
          <w:sz w:val="18"/>
          <w:szCs w:val="18"/>
        </w:rPr>
        <w:t xml:space="preserve"> Het kabinet </w:t>
      </w:r>
      <w:r w:rsidRPr="00F461B3" w:rsidR="00E76515">
        <w:rPr>
          <w:rFonts w:ascii="Verdana" w:hAnsi="Verdana"/>
          <w:sz w:val="18"/>
          <w:szCs w:val="18"/>
        </w:rPr>
        <w:t>vroeg</w:t>
      </w:r>
      <w:r w:rsidRPr="00F461B3" w:rsidR="00694B15">
        <w:rPr>
          <w:rFonts w:ascii="Verdana" w:hAnsi="Verdana"/>
          <w:sz w:val="18"/>
          <w:szCs w:val="18"/>
        </w:rPr>
        <w:t xml:space="preserve"> in dat kader </w:t>
      </w:r>
      <w:r w:rsidRPr="00F461B3" w:rsidR="00E76515">
        <w:rPr>
          <w:rFonts w:ascii="Verdana" w:hAnsi="Verdana"/>
          <w:sz w:val="18"/>
          <w:szCs w:val="18"/>
        </w:rPr>
        <w:t>om steun voor</w:t>
      </w:r>
      <w:r w:rsidRPr="00F461B3" w:rsidR="00694B15">
        <w:rPr>
          <w:rFonts w:ascii="Verdana" w:hAnsi="Verdana"/>
          <w:sz w:val="18"/>
          <w:szCs w:val="18"/>
        </w:rPr>
        <w:t xml:space="preserve"> het Nederlandse voorstel voor een nieuw EU-sanctieregime om personen en entiteiten betrokken bij belemmering van vrije doorvaart te kunnen sanctioneren</w:t>
      </w:r>
      <w:r w:rsidR="003F68B3">
        <w:rPr>
          <w:rFonts w:ascii="Verdana" w:hAnsi="Verdana"/>
          <w:sz w:val="18"/>
          <w:szCs w:val="18"/>
        </w:rPr>
        <w:t>.</w:t>
      </w:r>
      <w:r w:rsidRPr="00F461B3" w:rsidR="00694B15">
        <w:rPr>
          <w:rFonts w:ascii="Verdana" w:hAnsi="Verdana"/>
          <w:sz w:val="18"/>
          <w:szCs w:val="18"/>
        </w:rPr>
        <w:t xml:space="preserve"> </w:t>
      </w:r>
      <w:r w:rsidRPr="00F461B3" w:rsidR="00925CEB">
        <w:rPr>
          <w:rFonts w:ascii="Verdana" w:hAnsi="Verdana"/>
          <w:sz w:val="18"/>
          <w:szCs w:val="18"/>
        </w:rPr>
        <w:t xml:space="preserve">Het kabinet riep op tot </w:t>
      </w:r>
      <w:r w:rsidRPr="00F461B3" w:rsidR="00B527A9">
        <w:rPr>
          <w:rFonts w:ascii="Verdana" w:hAnsi="Verdana"/>
          <w:sz w:val="18"/>
          <w:szCs w:val="18"/>
        </w:rPr>
        <w:t>een bemiddelende rol</w:t>
      </w:r>
      <w:r w:rsidRPr="00F461B3" w:rsidR="00925CEB">
        <w:rPr>
          <w:rFonts w:ascii="Verdana" w:hAnsi="Verdana"/>
          <w:sz w:val="18"/>
          <w:szCs w:val="18"/>
        </w:rPr>
        <w:t xml:space="preserve"> van de EU richting de strijdende partijen </w:t>
      </w:r>
      <w:r w:rsidRPr="00F461B3" w:rsidR="00B527A9">
        <w:rPr>
          <w:rFonts w:ascii="Verdana" w:hAnsi="Verdana"/>
          <w:sz w:val="18"/>
          <w:szCs w:val="18"/>
        </w:rPr>
        <w:t>met als doel snelle de-escalatie</w:t>
      </w:r>
      <w:r w:rsidR="00795B22">
        <w:rPr>
          <w:rFonts w:ascii="Verdana" w:hAnsi="Verdana"/>
          <w:sz w:val="18"/>
          <w:szCs w:val="18"/>
        </w:rPr>
        <w:t xml:space="preserve"> en</w:t>
      </w:r>
      <w:r w:rsidRPr="00F461B3" w:rsidR="00B527A9">
        <w:rPr>
          <w:rFonts w:ascii="Verdana" w:hAnsi="Verdana"/>
          <w:sz w:val="18"/>
          <w:szCs w:val="18"/>
        </w:rPr>
        <w:t xml:space="preserve"> hervatting van diplomatieke onderhandelingen</w:t>
      </w:r>
      <w:r w:rsidRPr="00F461B3" w:rsidR="00925CEB">
        <w:rPr>
          <w:rFonts w:ascii="Verdana" w:hAnsi="Verdana"/>
          <w:sz w:val="18"/>
          <w:szCs w:val="18"/>
        </w:rPr>
        <w:t>.</w:t>
      </w:r>
      <w:r w:rsidRPr="00F461B3" w:rsidR="00925CEB">
        <w:rPr>
          <w:rStyle w:val="FootnoteReference"/>
          <w:rFonts w:ascii="Verdana" w:hAnsi="Verdana"/>
          <w:sz w:val="18"/>
          <w:szCs w:val="18"/>
        </w:rPr>
        <w:footnoteReference w:id="4"/>
      </w:r>
      <w:r w:rsidRPr="00F461B3" w:rsidR="00694B15">
        <w:rPr>
          <w:rFonts w:ascii="Verdana" w:hAnsi="Verdana"/>
          <w:sz w:val="18"/>
          <w:szCs w:val="18"/>
        </w:rPr>
        <w:t xml:space="preserve"> Daarnaast </w:t>
      </w:r>
      <w:r w:rsidRPr="00F461B3" w:rsidR="009B270A">
        <w:rPr>
          <w:rFonts w:ascii="Verdana" w:hAnsi="Verdana"/>
          <w:sz w:val="18"/>
          <w:szCs w:val="18"/>
        </w:rPr>
        <w:t>benadrukte</w:t>
      </w:r>
      <w:r w:rsidRPr="00F461B3" w:rsidR="00694B15">
        <w:rPr>
          <w:rFonts w:ascii="Verdana" w:hAnsi="Verdana"/>
          <w:sz w:val="18"/>
          <w:szCs w:val="18"/>
        </w:rPr>
        <w:t xml:space="preserve"> het </w:t>
      </w:r>
      <w:r w:rsidRPr="00F461B3" w:rsidR="009B270A">
        <w:rPr>
          <w:rFonts w:ascii="Verdana" w:hAnsi="Verdana"/>
          <w:sz w:val="18"/>
          <w:szCs w:val="18"/>
        </w:rPr>
        <w:t>kabinet het</w:t>
      </w:r>
      <w:r w:rsidRPr="00F461B3" w:rsidR="00694B15">
        <w:rPr>
          <w:rFonts w:ascii="Verdana" w:hAnsi="Verdana"/>
          <w:sz w:val="18"/>
          <w:szCs w:val="18"/>
        </w:rPr>
        <w:t xml:space="preserve"> belang om als EU gezamenlijk op te treden om de secundaire effecten van het conflict te mitigeren, aangezien deze ook Europese belangen op het gebied van energie, maritieme veiligheid en in relatie tot andere conflicten raken</w:t>
      </w:r>
      <w:r w:rsidR="001563B7">
        <w:rPr>
          <w:rFonts w:ascii="Verdana" w:hAnsi="Verdana"/>
          <w:sz w:val="18"/>
          <w:szCs w:val="18"/>
        </w:rPr>
        <w:t>.</w:t>
      </w:r>
      <w:r w:rsidR="006F7407">
        <w:rPr>
          <w:rFonts w:ascii="Verdana" w:hAnsi="Verdana"/>
          <w:sz w:val="18"/>
          <w:szCs w:val="18"/>
        </w:rPr>
        <w:t xml:space="preserve"> </w:t>
      </w:r>
      <w:r w:rsidRPr="00F461B3" w:rsidR="00925CEB">
        <w:rPr>
          <w:rFonts w:ascii="Verdana" w:hAnsi="Verdana"/>
          <w:sz w:val="18"/>
          <w:szCs w:val="18"/>
        </w:rPr>
        <w:t xml:space="preserve">Het kabinet verzocht de EU tevens om consequent het belang van documentatie </w:t>
      </w:r>
      <w:r w:rsidRPr="00925CEB" w:rsidR="00925CEB">
        <w:rPr>
          <w:rFonts w:ascii="Verdana" w:hAnsi="Verdana"/>
          <w:sz w:val="18"/>
          <w:szCs w:val="18"/>
        </w:rPr>
        <w:t>van mensenrechtenschendingen in Iran</w:t>
      </w:r>
      <w:r w:rsidR="00860C36">
        <w:rPr>
          <w:rFonts w:ascii="Verdana" w:hAnsi="Verdana"/>
          <w:sz w:val="18"/>
          <w:szCs w:val="18"/>
        </w:rPr>
        <w:t>,</w:t>
      </w:r>
      <w:r w:rsidR="007546ED">
        <w:rPr>
          <w:rFonts w:ascii="Verdana" w:hAnsi="Verdana"/>
          <w:sz w:val="18"/>
          <w:szCs w:val="18"/>
        </w:rPr>
        <w:t xml:space="preserve"> </w:t>
      </w:r>
      <w:r w:rsidRPr="00F461B3" w:rsidR="00925CEB">
        <w:rPr>
          <w:rFonts w:ascii="Verdana" w:hAnsi="Verdana"/>
          <w:sz w:val="18"/>
          <w:szCs w:val="18"/>
        </w:rPr>
        <w:t xml:space="preserve">en het voorkomen van straffeloosheid </w:t>
      </w:r>
      <w:r w:rsidR="007546ED">
        <w:rPr>
          <w:rFonts w:ascii="Verdana" w:hAnsi="Verdana"/>
          <w:sz w:val="18"/>
          <w:szCs w:val="18"/>
        </w:rPr>
        <w:t>in dit kader</w:t>
      </w:r>
      <w:r w:rsidR="00CF207F">
        <w:rPr>
          <w:rFonts w:ascii="Verdana" w:hAnsi="Verdana"/>
          <w:sz w:val="18"/>
          <w:szCs w:val="18"/>
        </w:rPr>
        <w:t xml:space="preserve"> </w:t>
      </w:r>
      <w:r w:rsidRPr="00F461B3" w:rsidR="00925CEB">
        <w:rPr>
          <w:rFonts w:ascii="Verdana" w:hAnsi="Verdana"/>
          <w:sz w:val="18"/>
          <w:szCs w:val="18"/>
        </w:rPr>
        <w:t>te bepleiten (c</w:t>
      </w:r>
      <w:r w:rsidR="00D770A3">
        <w:rPr>
          <w:rFonts w:ascii="Verdana" w:hAnsi="Verdana"/>
          <w:sz w:val="18"/>
          <w:szCs w:val="18"/>
        </w:rPr>
        <w:t>on</w:t>
      </w:r>
      <w:r w:rsidRPr="00F461B3" w:rsidR="00925CEB">
        <w:rPr>
          <w:rFonts w:ascii="Verdana" w:hAnsi="Verdana"/>
          <w:sz w:val="18"/>
          <w:szCs w:val="18"/>
        </w:rPr>
        <w:t>f</w:t>
      </w:r>
      <w:r w:rsidR="00D770A3">
        <w:rPr>
          <w:rFonts w:ascii="Verdana" w:hAnsi="Verdana"/>
          <w:sz w:val="18"/>
          <w:szCs w:val="18"/>
        </w:rPr>
        <w:t>or</w:t>
      </w:r>
      <w:r w:rsidRPr="00F461B3" w:rsidR="00925CEB">
        <w:rPr>
          <w:rFonts w:ascii="Verdana" w:hAnsi="Verdana"/>
          <w:sz w:val="18"/>
          <w:szCs w:val="18"/>
        </w:rPr>
        <w:t>m</w:t>
      </w:r>
      <w:r w:rsidR="00D770A3">
        <w:rPr>
          <w:rFonts w:ascii="Verdana" w:hAnsi="Verdana"/>
          <w:sz w:val="18"/>
          <w:szCs w:val="18"/>
        </w:rPr>
        <w:t xml:space="preserve"> </w:t>
      </w:r>
      <w:r w:rsidRPr="00F461B3" w:rsidR="00925CEB">
        <w:rPr>
          <w:rFonts w:ascii="Verdana" w:hAnsi="Verdana"/>
          <w:sz w:val="18"/>
          <w:szCs w:val="18"/>
        </w:rPr>
        <w:t>motie van Baarle</w:t>
      </w:r>
      <w:r w:rsidRPr="00F461B3" w:rsidR="00EE63D6">
        <w:rPr>
          <w:rStyle w:val="FootnoteReference"/>
          <w:rFonts w:ascii="Verdana" w:hAnsi="Verdana"/>
          <w:sz w:val="18"/>
          <w:szCs w:val="18"/>
        </w:rPr>
        <w:footnoteReference w:id="5"/>
      </w:r>
      <w:r w:rsidRPr="00F461B3" w:rsidR="00925CEB">
        <w:rPr>
          <w:rFonts w:ascii="Verdana" w:hAnsi="Verdana"/>
          <w:sz w:val="18"/>
          <w:szCs w:val="18"/>
        </w:rPr>
        <w:t>).</w:t>
      </w:r>
    </w:p>
    <w:p w:rsidRPr="00F461B3" w:rsidR="003643CF" w:rsidP="00AF067D" w:rsidRDefault="003643CF" w14:paraId="15B244D5" w14:textId="77777777">
      <w:pPr>
        <w:spacing w:after="0"/>
        <w:rPr>
          <w:rFonts w:ascii="Verdana" w:hAnsi="Verdana"/>
          <w:sz w:val="18"/>
          <w:szCs w:val="18"/>
        </w:rPr>
      </w:pPr>
    </w:p>
    <w:p w:rsidRPr="00F461B3" w:rsidR="00AF067D" w:rsidP="003643CF" w:rsidRDefault="003643CF" w14:paraId="782B7865" w14:textId="635D3E36">
      <w:pPr>
        <w:spacing w:after="0"/>
        <w:rPr>
          <w:rFonts w:ascii="Verdana" w:hAnsi="Verdana"/>
          <w:sz w:val="18"/>
          <w:szCs w:val="18"/>
        </w:rPr>
      </w:pPr>
      <w:r w:rsidRPr="00F461B3">
        <w:rPr>
          <w:rFonts w:ascii="Verdana" w:hAnsi="Verdana"/>
          <w:sz w:val="18"/>
          <w:szCs w:val="18"/>
        </w:rPr>
        <w:t xml:space="preserve">De Raad besprak </w:t>
      </w:r>
      <w:r w:rsidRPr="00F461B3" w:rsidR="002667AD">
        <w:rPr>
          <w:rFonts w:ascii="Verdana" w:hAnsi="Verdana"/>
          <w:sz w:val="18"/>
          <w:szCs w:val="18"/>
        </w:rPr>
        <w:t xml:space="preserve">verder </w:t>
      </w:r>
      <w:r w:rsidRPr="00F461B3">
        <w:rPr>
          <w:rFonts w:ascii="Verdana" w:hAnsi="Verdana"/>
          <w:sz w:val="18"/>
          <w:szCs w:val="18"/>
        </w:rPr>
        <w:t>het belang van de veiligheid van EU-burgers in de regio. Nu de zelfstandige vertrekopties vanuit de regio zijn toegenomen en het de meeste Nederlandse reizigers en andere EU-burgers is gelukt om de regio te verlaten, via repatriëringsvluchten van Nederland, van andere EU-landen, of zelfstandig, bevinden we ons in een nieuwe fase van de consulaire crisisinzet in de regio. Via advies en maatwerk waar nodig, blijft het kabinet Nederlandse reizigers die nog in de regio zijn, ondersteunen om de regio zelfstandig te verlaten. Tijdens de Raad verwelkomde Nederland de EU-coördinatie en onderlinge samenwerking bij de repatriëring van EU-burgers en pleitte voor aanvullende stappen ten behoeve van versterkte EU-coördinatie op het gebied van de consulaire crisisrespons in conflictgebieden. Het kabinet zal daarop blijven inzetten en waar mogelijk actief aan bijdragen.</w:t>
      </w:r>
      <w:r w:rsidR="005F10CF">
        <w:rPr>
          <w:rStyle w:val="FootnoteReference"/>
          <w:rFonts w:ascii="Verdana" w:hAnsi="Verdana"/>
          <w:sz w:val="18"/>
          <w:szCs w:val="18"/>
        </w:rPr>
        <w:footnoteReference w:id="6"/>
      </w:r>
    </w:p>
    <w:p w:rsidRPr="00F461B3" w:rsidR="00781BCD" w:rsidP="00AF067D" w:rsidRDefault="00781BCD" w14:paraId="085C7ABF" w14:textId="77777777">
      <w:pPr>
        <w:spacing w:after="0"/>
        <w:rPr>
          <w:rFonts w:ascii="Verdana" w:hAnsi="Verdana"/>
          <w:sz w:val="18"/>
          <w:szCs w:val="18"/>
        </w:rPr>
      </w:pPr>
    </w:p>
    <w:p w:rsidRPr="00F461B3" w:rsidR="00781BCD" w:rsidP="00AF067D" w:rsidRDefault="00781BCD" w14:paraId="06145384" w14:textId="4268212E">
      <w:pPr>
        <w:spacing w:after="0"/>
        <w:rPr>
          <w:rFonts w:ascii="Verdana" w:hAnsi="Verdana"/>
          <w:sz w:val="18"/>
          <w:szCs w:val="18"/>
        </w:rPr>
      </w:pPr>
      <w:r w:rsidRPr="00CF6E76">
        <w:rPr>
          <w:rFonts w:ascii="Verdana" w:hAnsi="Verdana"/>
          <w:sz w:val="18"/>
          <w:szCs w:val="18"/>
        </w:rPr>
        <w:t xml:space="preserve">De Raad besprak tevens de </w:t>
      </w:r>
      <w:r w:rsidRPr="00CF6E76" w:rsidR="00C90E46">
        <w:rPr>
          <w:rFonts w:ascii="Verdana" w:hAnsi="Verdana"/>
          <w:sz w:val="18"/>
          <w:szCs w:val="18"/>
        </w:rPr>
        <w:t xml:space="preserve">escalerende </w:t>
      </w:r>
      <w:r w:rsidRPr="00CF6E76">
        <w:rPr>
          <w:rFonts w:ascii="Verdana" w:hAnsi="Verdana"/>
          <w:sz w:val="18"/>
          <w:szCs w:val="18"/>
        </w:rPr>
        <w:t>situatie</w:t>
      </w:r>
      <w:r w:rsidRPr="00CF6E76" w:rsidR="00873EFF">
        <w:rPr>
          <w:rFonts w:ascii="Verdana" w:hAnsi="Verdana"/>
          <w:sz w:val="18"/>
          <w:szCs w:val="18"/>
        </w:rPr>
        <w:t xml:space="preserve"> in </w:t>
      </w:r>
      <w:r w:rsidRPr="00CF6E76">
        <w:rPr>
          <w:rFonts w:ascii="Verdana" w:hAnsi="Verdana"/>
          <w:sz w:val="18"/>
          <w:szCs w:val="18"/>
        </w:rPr>
        <w:t xml:space="preserve">Libanon. </w:t>
      </w:r>
      <w:r w:rsidRPr="00CF6E76" w:rsidR="00C90E46">
        <w:rPr>
          <w:rFonts w:ascii="Verdana" w:hAnsi="Verdana"/>
          <w:sz w:val="18"/>
          <w:szCs w:val="18"/>
        </w:rPr>
        <w:t xml:space="preserve">Nederland </w:t>
      </w:r>
      <w:r w:rsidRPr="00CF6E76" w:rsidR="0068660D">
        <w:rPr>
          <w:rFonts w:ascii="Verdana" w:hAnsi="Verdana"/>
          <w:sz w:val="18"/>
          <w:szCs w:val="18"/>
        </w:rPr>
        <w:t xml:space="preserve">sprak zorgen uit over </w:t>
      </w:r>
      <w:r w:rsidRPr="00CF6E76" w:rsidR="00C90E46">
        <w:rPr>
          <w:rFonts w:ascii="Verdana" w:hAnsi="Verdana"/>
          <w:sz w:val="18"/>
          <w:szCs w:val="18"/>
        </w:rPr>
        <w:t xml:space="preserve">de </w:t>
      </w:r>
      <w:r w:rsidRPr="00CF6E76" w:rsidR="00355DAE">
        <w:rPr>
          <w:rFonts w:ascii="Verdana" w:hAnsi="Verdana"/>
          <w:sz w:val="18"/>
          <w:szCs w:val="18"/>
        </w:rPr>
        <w:t xml:space="preserve">verslechtering van de </w:t>
      </w:r>
      <w:r w:rsidRPr="00CF6E76" w:rsidR="00C90E46">
        <w:rPr>
          <w:rFonts w:ascii="Verdana" w:hAnsi="Verdana"/>
          <w:sz w:val="18"/>
          <w:szCs w:val="18"/>
        </w:rPr>
        <w:t xml:space="preserve">humanitaire </w:t>
      </w:r>
      <w:r w:rsidRPr="00CF6E76" w:rsidR="00355DAE">
        <w:rPr>
          <w:rFonts w:ascii="Verdana" w:hAnsi="Verdana"/>
          <w:sz w:val="18"/>
          <w:szCs w:val="18"/>
        </w:rPr>
        <w:t>situatie</w:t>
      </w:r>
      <w:r w:rsidRPr="00CF6E76" w:rsidR="0068660D">
        <w:rPr>
          <w:rFonts w:ascii="Verdana" w:hAnsi="Verdana"/>
          <w:sz w:val="18"/>
          <w:szCs w:val="18"/>
        </w:rPr>
        <w:t xml:space="preserve"> en de grootschalige ontheemding die dit voor Libanon met zich meebrengt.</w:t>
      </w:r>
      <w:r w:rsidRPr="00CF6E76">
        <w:rPr>
          <w:rFonts w:ascii="Verdana" w:hAnsi="Verdana"/>
          <w:sz w:val="18"/>
          <w:szCs w:val="18"/>
        </w:rPr>
        <w:t xml:space="preserve"> Nederland </w:t>
      </w:r>
      <w:r w:rsidRPr="00B253D9" w:rsidR="00CF6E76">
        <w:rPr>
          <w:rFonts w:ascii="Verdana" w:hAnsi="Verdana"/>
          <w:sz w:val="18"/>
          <w:szCs w:val="18"/>
        </w:rPr>
        <w:t>heeft</w:t>
      </w:r>
      <w:r w:rsidRPr="00B253D9">
        <w:rPr>
          <w:rFonts w:ascii="Verdana" w:hAnsi="Verdana"/>
          <w:sz w:val="18"/>
          <w:szCs w:val="18"/>
        </w:rPr>
        <w:t xml:space="preserve"> begrip voor de veiligheidszorgen van </w:t>
      </w:r>
      <w:r w:rsidRPr="00B253D9" w:rsidR="009817D6">
        <w:rPr>
          <w:rFonts w:ascii="Verdana" w:hAnsi="Verdana"/>
          <w:sz w:val="18"/>
          <w:szCs w:val="18"/>
        </w:rPr>
        <w:t>Israël</w:t>
      </w:r>
      <w:r w:rsidRPr="00B253D9" w:rsidR="00CF6E76">
        <w:rPr>
          <w:rFonts w:ascii="Verdana" w:hAnsi="Verdana"/>
          <w:sz w:val="18"/>
          <w:szCs w:val="18"/>
        </w:rPr>
        <w:t xml:space="preserve"> gezien de aanvallen van Hezbollah</w:t>
      </w:r>
      <w:r w:rsidRPr="00B253D9">
        <w:rPr>
          <w:rFonts w:ascii="Verdana" w:hAnsi="Verdana"/>
          <w:sz w:val="18"/>
          <w:szCs w:val="18"/>
        </w:rPr>
        <w:t xml:space="preserve"> </w:t>
      </w:r>
      <w:r w:rsidRPr="00B253D9" w:rsidR="009817D6">
        <w:rPr>
          <w:rFonts w:ascii="Verdana" w:hAnsi="Verdana"/>
          <w:sz w:val="18"/>
          <w:szCs w:val="18"/>
        </w:rPr>
        <w:t>en riep</w:t>
      </w:r>
      <w:r w:rsidRPr="00B253D9">
        <w:rPr>
          <w:rFonts w:ascii="Verdana" w:hAnsi="Verdana"/>
          <w:sz w:val="18"/>
          <w:szCs w:val="18"/>
        </w:rPr>
        <w:t xml:space="preserve"> met het oog</w:t>
      </w:r>
      <w:r w:rsidRPr="00B253D9" w:rsidR="00873EFF">
        <w:rPr>
          <w:rFonts w:ascii="Verdana" w:hAnsi="Verdana"/>
          <w:sz w:val="18"/>
          <w:szCs w:val="18"/>
        </w:rPr>
        <w:t xml:space="preserve"> op de </w:t>
      </w:r>
      <w:r w:rsidRPr="00B253D9">
        <w:rPr>
          <w:rFonts w:ascii="Verdana" w:hAnsi="Verdana"/>
          <w:sz w:val="18"/>
          <w:szCs w:val="18"/>
        </w:rPr>
        <w:t>impact van de oorlog</w:t>
      </w:r>
      <w:r w:rsidRPr="00B253D9" w:rsidR="00CF6E76">
        <w:rPr>
          <w:rFonts w:ascii="Verdana" w:hAnsi="Verdana"/>
          <w:sz w:val="18"/>
          <w:szCs w:val="18"/>
        </w:rPr>
        <w:t xml:space="preserve"> op Libanon</w:t>
      </w:r>
      <w:r w:rsidRPr="00B253D9">
        <w:rPr>
          <w:rFonts w:ascii="Verdana" w:hAnsi="Verdana"/>
          <w:sz w:val="18"/>
          <w:szCs w:val="18"/>
        </w:rPr>
        <w:t xml:space="preserve"> </w:t>
      </w:r>
      <w:r w:rsidRPr="00B253D9" w:rsidR="009817D6">
        <w:rPr>
          <w:rFonts w:ascii="Verdana" w:hAnsi="Verdana"/>
          <w:sz w:val="18"/>
          <w:szCs w:val="18"/>
        </w:rPr>
        <w:t>te</w:t>
      </w:r>
      <w:r w:rsidRPr="00CF6E76" w:rsidR="009817D6">
        <w:rPr>
          <w:rFonts w:ascii="Verdana" w:hAnsi="Verdana"/>
          <w:sz w:val="18"/>
          <w:szCs w:val="18"/>
        </w:rPr>
        <w:t>gelijkertijd op</w:t>
      </w:r>
      <w:r w:rsidRPr="00CF6E76">
        <w:rPr>
          <w:rFonts w:ascii="Verdana" w:hAnsi="Verdana"/>
          <w:sz w:val="18"/>
          <w:szCs w:val="18"/>
        </w:rPr>
        <w:t xml:space="preserve"> tot de-escalatie en terugkeer tot</w:t>
      </w:r>
      <w:r w:rsidRPr="00CF6E76" w:rsidR="00D770A3">
        <w:rPr>
          <w:rFonts w:ascii="Verdana" w:hAnsi="Verdana"/>
          <w:sz w:val="18"/>
          <w:szCs w:val="18"/>
        </w:rPr>
        <w:t xml:space="preserve"> VNVR-</w:t>
      </w:r>
      <w:r w:rsidRPr="00CF6E76">
        <w:rPr>
          <w:rFonts w:ascii="Verdana" w:hAnsi="Verdana"/>
          <w:sz w:val="18"/>
          <w:szCs w:val="18"/>
        </w:rPr>
        <w:t>resolutie 1701 conform de motie-Piri</w:t>
      </w:r>
      <w:r w:rsidRPr="00CF6E76">
        <w:rPr>
          <w:rStyle w:val="FootnoteReference"/>
          <w:rFonts w:ascii="Verdana" w:hAnsi="Verdana"/>
          <w:sz w:val="18"/>
          <w:szCs w:val="18"/>
        </w:rPr>
        <w:footnoteReference w:id="7"/>
      </w:r>
      <w:r w:rsidRPr="00CF6E76">
        <w:rPr>
          <w:rFonts w:ascii="Verdana" w:hAnsi="Verdana"/>
          <w:sz w:val="18"/>
          <w:szCs w:val="18"/>
        </w:rPr>
        <w:t xml:space="preserve"> en de motie-Klaver</w:t>
      </w:r>
      <w:r w:rsidRPr="00CF6E76" w:rsidR="00946345">
        <w:rPr>
          <w:rFonts w:ascii="Verdana" w:hAnsi="Verdana"/>
          <w:sz w:val="18"/>
          <w:szCs w:val="18"/>
        </w:rPr>
        <w:t>.</w:t>
      </w:r>
      <w:r w:rsidRPr="00CF6E76">
        <w:rPr>
          <w:rStyle w:val="FootnoteReference"/>
          <w:rFonts w:ascii="Verdana" w:hAnsi="Verdana"/>
          <w:sz w:val="18"/>
          <w:szCs w:val="18"/>
        </w:rPr>
        <w:footnoteReference w:id="8"/>
      </w:r>
      <w:r w:rsidRPr="00CF6E76">
        <w:rPr>
          <w:rFonts w:ascii="Verdana" w:hAnsi="Verdana"/>
          <w:sz w:val="18"/>
          <w:szCs w:val="18"/>
        </w:rPr>
        <w:t xml:space="preserve"> </w:t>
      </w:r>
      <w:r w:rsidRPr="00CF6E76" w:rsidR="00AD1EA8">
        <w:rPr>
          <w:rFonts w:ascii="Verdana" w:hAnsi="Verdana"/>
          <w:sz w:val="18"/>
          <w:szCs w:val="18"/>
        </w:rPr>
        <w:t xml:space="preserve">Nederland onderstreepte tevens het belang dat alle partijen het internationaal recht naleven. </w:t>
      </w:r>
      <w:r w:rsidRPr="00CF6E76">
        <w:rPr>
          <w:rFonts w:ascii="Verdana" w:hAnsi="Verdana"/>
          <w:sz w:val="18"/>
          <w:szCs w:val="18"/>
        </w:rPr>
        <w:t xml:space="preserve">Ook benadrukte </w:t>
      </w:r>
      <w:r w:rsidRPr="00CF6E76" w:rsidR="00884553">
        <w:rPr>
          <w:rFonts w:ascii="Verdana" w:hAnsi="Verdana"/>
          <w:sz w:val="18"/>
          <w:szCs w:val="18"/>
        </w:rPr>
        <w:t xml:space="preserve">Nederland </w:t>
      </w:r>
      <w:r w:rsidRPr="00CF6E76">
        <w:rPr>
          <w:rFonts w:ascii="Verdana" w:hAnsi="Verdana"/>
          <w:sz w:val="18"/>
          <w:szCs w:val="18"/>
        </w:rPr>
        <w:t xml:space="preserve">het belang van ontwapening van Hezbollah en </w:t>
      </w:r>
      <w:r w:rsidRPr="00CF6E76" w:rsidR="007B5B7F">
        <w:rPr>
          <w:rFonts w:ascii="Verdana" w:hAnsi="Verdana"/>
          <w:sz w:val="18"/>
          <w:szCs w:val="18"/>
        </w:rPr>
        <w:t xml:space="preserve">het belang </w:t>
      </w:r>
      <w:r w:rsidRPr="00CF6E76">
        <w:rPr>
          <w:rFonts w:ascii="Verdana" w:hAnsi="Verdana"/>
          <w:sz w:val="18"/>
          <w:szCs w:val="18"/>
        </w:rPr>
        <w:t>van</w:t>
      </w:r>
      <w:r w:rsidRPr="00F461B3">
        <w:rPr>
          <w:rFonts w:ascii="Verdana" w:hAnsi="Verdana"/>
          <w:sz w:val="18"/>
          <w:szCs w:val="18"/>
        </w:rPr>
        <w:t xml:space="preserve"> steun aan de Libanese regering en de </w:t>
      </w:r>
      <w:r w:rsidRPr="00F461B3">
        <w:rPr>
          <w:rFonts w:ascii="Verdana" w:hAnsi="Verdana"/>
          <w:i/>
          <w:iCs/>
          <w:sz w:val="18"/>
          <w:szCs w:val="18"/>
        </w:rPr>
        <w:t>Lebanese Armed Forces</w:t>
      </w:r>
      <w:r w:rsidRPr="00F461B3">
        <w:rPr>
          <w:rFonts w:ascii="Verdana" w:hAnsi="Verdana"/>
          <w:sz w:val="18"/>
          <w:szCs w:val="18"/>
        </w:rPr>
        <w:t>.</w:t>
      </w:r>
    </w:p>
    <w:p w:rsidRPr="00F461B3" w:rsidR="00781BCD" w:rsidP="00AF067D" w:rsidRDefault="00781BCD" w14:paraId="4ABF78A5" w14:textId="77777777">
      <w:pPr>
        <w:spacing w:after="0"/>
        <w:rPr>
          <w:rFonts w:ascii="Verdana" w:hAnsi="Verdana"/>
          <w:sz w:val="18"/>
          <w:szCs w:val="18"/>
        </w:rPr>
      </w:pPr>
    </w:p>
    <w:p w:rsidRPr="00F461B3" w:rsidR="00672656" w:rsidP="00672656" w:rsidRDefault="00781BCD" w14:paraId="71A5E28A" w14:textId="0C3C67E0">
      <w:pPr>
        <w:spacing w:after="0"/>
        <w:rPr>
          <w:rFonts w:ascii="Verdana" w:hAnsi="Verdana"/>
          <w:sz w:val="18"/>
          <w:szCs w:val="18"/>
        </w:rPr>
      </w:pPr>
      <w:r>
        <w:rPr>
          <w:rFonts w:ascii="Verdana" w:hAnsi="Verdana"/>
          <w:sz w:val="18"/>
          <w:szCs w:val="18"/>
        </w:rPr>
        <w:t xml:space="preserve">Nederland </w:t>
      </w:r>
      <w:r w:rsidR="00AE055B">
        <w:rPr>
          <w:rFonts w:ascii="Verdana" w:hAnsi="Verdana"/>
          <w:sz w:val="18"/>
          <w:szCs w:val="18"/>
        </w:rPr>
        <w:t>benadrukte dat het</w:t>
      </w:r>
      <w:r w:rsidRPr="00F461B3">
        <w:rPr>
          <w:rFonts w:ascii="Verdana" w:hAnsi="Verdana"/>
          <w:sz w:val="18"/>
          <w:szCs w:val="18"/>
        </w:rPr>
        <w:t xml:space="preserve"> gewapend conflict tussen Israël, de Verenigde Staten en Iran de situatie</w:t>
      </w:r>
      <w:r w:rsidRPr="00F461B3" w:rsidR="00873EFF">
        <w:rPr>
          <w:rFonts w:ascii="Verdana" w:hAnsi="Verdana"/>
          <w:sz w:val="18"/>
          <w:szCs w:val="18"/>
        </w:rPr>
        <w:t xml:space="preserve"> in</w:t>
      </w:r>
      <w:r w:rsidRPr="00F461B3">
        <w:rPr>
          <w:rFonts w:ascii="Verdana" w:hAnsi="Verdana"/>
          <w:sz w:val="18"/>
          <w:szCs w:val="18"/>
        </w:rPr>
        <w:t xml:space="preserve"> de</w:t>
      </w:r>
      <w:r w:rsidRPr="00F461B3" w:rsidR="00873EFF">
        <w:rPr>
          <w:rFonts w:ascii="Verdana" w:hAnsi="Verdana"/>
          <w:sz w:val="18"/>
          <w:szCs w:val="18"/>
        </w:rPr>
        <w:t xml:space="preserve"> Gaza</w:t>
      </w:r>
      <w:r w:rsidRPr="00F461B3">
        <w:rPr>
          <w:rFonts w:ascii="Verdana" w:hAnsi="Verdana"/>
          <w:sz w:val="18"/>
          <w:szCs w:val="18"/>
        </w:rPr>
        <w:t>strook</w:t>
      </w:r>
      <w:r w:rsidRPr="00F461B3" w:rsidDel="003D7972" w:rsidR="00873EFF">
        <w:rPr>
          <w:rFonts w:ascii="Verdana" w:hAnsi="Verdana"/>
          <w:sz w:val="18"/>
          <w:szCs w:val="18"/>
        </w:rPr>
        <w:t xml:space="preserve"> </w:t>
      </w:r>
      <w:r w:rsidRPr="00F461B3">
        <w:rPr>
          <w:rFonts w:ascii="Verdana" w:hAnsi="Verdana"/>
          <w:sz w:val="18"/>
          <w:szCs w:val="18"/>
        </w:rPr>
        <w:t xml:space="preserve">en </w:t>
      </w:r>
      <w:r w:rsidRPr="00F461B3" w:rsidR="00873EFF">
        <w:rPr>
          <w:rFonts w:ascii="Verdana" w:hAnsi="Verdana"/>
          <w:sz w:val="18"/>
          <w:szCs w:val="18"/>
        </w:rPr>
        <w:t xml:space="preserve">de Westelijke Jordaanoever </w:t>
      </w:r>
      <w:r w:rsidRPr="00F461B3">
        <w:rPr>
          <w:rFonts w:ascii="Verdana" w:hAnsi="Verdana"/>
          <w:sz w:val="18"/>
          <w:szCs w:val="18"/>
        </w:rPr>
        <w:t>verder onder druk</w:t>
      </w:r>
      <w:r w:rsidR="00AE055B">
        <w:rPr>
          <w:rFonts w:ascii="Verdana" w:hAnsi="Verdana"/>
          <w:sz w:val="18"/>
          <w:szCs w:val="18"/>
        </w:rPr>
        <w:t xml:space="preserve"> zet</w:t>
      </w:r>
      <w:r>
        <w:rPr>
          <w:rFonts w:ascii="Verdana" w:hAnsi="Verdana"/>
          <w:sz w:val="18"/>
          <w:szCs w:val="18"/>
        </w:rPr>
        <w:t>.</w:t>
      </w:r>
      <w:r w:rsidRPr="00F461B3" w:rsidR="00FC00CE">
        <w:rPr>
          <w:rFonts w:ascii="Verdana" w:hAnsi="Verdana"/>
          <w:sz w:val="18"/>
          <w:szCs w:val="18"/>
        </w:rPr>
        <w:t xml:space="preserve"> Nederland onderstreepte het belang om druk op Israël te houden om veilige, ongehinderde, en onvoorwaardelijke humanitaire hulp toe te laten tot de Gazastrook en de iNGO-wetgeving </w:t>
      </w:r>
      <w:r w:rsidR="00E14526">
        <w:rPr>
          <w:rFonts w:ascii="Verdana" w:hAnsi="Verdana"/>
          <w:sz w:val="18"/>
          <w:szCs w:val="18"/>
        </w:rPr>
        <w:t>niet in deze vorm uit te voeren</w:t>
      </w:r>
      <w:r w:rsidR="00FC00CE">
        <w:rPr>
          <w:rFonts w:ascii="Verdana" w:hAnsi="Verdana"/>
          <w:sz w:val="18"/>
          <w:szCs w:val="18"/>
        </w:rPr>
        <w:t>.</w:t>
      </w:r>
      <w:r w:rsidR="00762809">
        <w:rPr>
          <w:rFonts w:ascii="Verdana" w:hAnsi="Verdana"/>
          <w:sz w:val="18"/>
          <w:szCs w:val="18"/>
        </w:rPr>
        <w:t xml:space="preserve"> </w:t>
      </w:r>
      <w:r w:rsidRPr="00F461B3" w:rsidR="009817D6">
        <w:rPr>
          <w:rFonts w:ascii="Verdana" w:hAnsi="Verdana"/>
          <w:sz w:val="18"/>
          <w:szCs w:val="18"/>
        </w:rPr>
        <w:t>De Raad</w:t>
      </w:r>
      <w:r w:rsidRPr="00F461B3" w:rsidR="00FC00CE">
        <w:rPr>
          <w:rFonts w:ascii="Verdana" w:hAnsi="Verdana"/>
          <w:sz w:val="18"/>
          <w:szCs w:val="18"/>
        </w:rPr>
        <w:t xml:space="preserve"> onderstreepte zorgen over de situatie op de Westelijke Jordaanoever en </w:t>
      </w:r>
      <w:r w:rsidRPr="00F461B3" w:rsidR="009817D6">
        <w:rPr>
          <w:rFonts w:ascii="Verdana" w:hAnsi="Verdana"/>
          <w:sz w:val="18"/>
          <w:szCs w:val="18"/>
        </w:rPr>
        <w:t xml:space="preserve">veroordeelde </w:t>
      </w:r>
      <w:r w:rsidRPr="00BD6818" w:rsidR="00BD6818">
        <w:rPr>
          <w:rFonts w:ascii="Verdana" w:hAnsi="Verdana"/>
          <w:sz w:val="18"/>
          <w:szCs w:val="18"/>
        </w:rPr>
        <w:t xml:space="preserve">de eenzijdige maatregelen van Israël die erop gericht zijn </w:t>
      </w:r>
      <w:r w:rsidR="00BD6818">
        <w:rPr>
          <w:rFonts w:ascii="Verdana" w:hAnsi="Verdana"/>
          <w:sz w:val="18"/>
          <w:szCs w:val="18"/>
        </w:rPr>
        <w:t>de controle</w:t>
      </w:r>
      <w:r w:rsidRPr="00BD6818" w:rsidR="00BD6818">
        <w:rPr>
          <w:rFonts w:ascii="Verdana" w:hAnsi="Verdana"/>
          <w:sz w:val="18"/>
          <w:szCs w:val="18"/>
        </w:rPr>
        <w:t xml:space="preserve"> op de Westelijke Jordaanoever, met inbegrip van Oost-Jeruzalem, uit te breiden</w:t>
      </w:r>
      <w:r w:rsidR="00BD6818">
        <w:rPr>
          <w:rFonts w:ascii="Verdana" w:hAnsi="Verdana"/>
          <w:sz w:val="18"/>
          <w:szCs w:val="18"/>
        </w:rPr>
        <w:t xml:space="preserve">. De Raad veroordeelde ook </w:t>
      </w:r>
      <w:r w:rsidRPr="00F461B3" w:rsidR="009817D6">
        <w:rPr>
          <w:rFonts w:ascii="Verdana" w:hAnsi="Verdana"/>
          <w:sz w:val="18"/>
          <w:szCs w:val="18"/>
        </w:rPr>
        <w:t>het geweld van kolonisten</w:t>
      </w:r>
      <w:r w:rsidR="00AE055B">
        <w:rPr>
          <w:rFonts w:ascii="Verdana" w:hAnsi="Verdana"/>
          <w:sz w:val="18"/>
          <w:szCs w:val="18"/>
        </w:rPr>
        <w:t>,</w:t>
      </w:r>
      <w:r w:rsidRPr="00F461B3" w:rsidR="009817D6">
        <w:rPr>
          <w:rFonts w:ascii="Verdana" w:hAnsi="Verdana"/>
          <w:sz w:val="18"/>
          <w:szCs w:val="18"/>
        </w:rPr>
        <w:t xml:space="preserve"> evenals</w:t>
      </w:r>
      <w:r w:rsidRPr="00F461B3" w:rsidR="00FC00CE">
        <w:rPr>
          <w:rFonts w:ascii="Verdana" w:hAnsi="Verdana"/>
          <w:sz w:val="18"/>
          <w:szCs w:val="18"/>
        </w:rPr>
        <w:t xml:space="preserve"> de Israëlische besluiten die het mogelijk maken om de Israëlische controle op de Westelijke Jordaanoever verder uit te breiden</w:t>
      </w:r>
      <w:r w:rsidRPr="00FC00CE" w:rsidR="00FC00CE">
        <w:rPr>
          <w:rFonts w:ascii="Verdana" w:hAnsi="Verdana"/>
          <w:sz w:val="18"/>
          <w:szCs w:val="18"/>
        </w:rPr>
        <w:t>.</w:t>
      </w:r>
      <w:r w:rsidRPr="00F461B3" w:rsidR="009817D6">
        <w:rPr>
          <w:rFonts w:ascii="Verdana" w:hAnsi="Verdana"/>
          <w:sz w:val="18"/>
          <w:szCs w:val="18"/>
        </w:rPr>
        <w:t xml:space="preserve"> </w:t>
      </w:r>
      <w:r w:rsidRPr="00F461B3" w:rsidR="00FC00CE">
        <w:rPr>
          <w:rFonts w:ascii="Verdana" w:hAnsi="Verdana"/>
          <w:sz w:val="18"/>
          <w:szCs w:val="18"/>
        </w:rPr>
        <w:t>Nederland riep in dat kader op tot aanname van het derde EU-sanctiepakket tegen gewelddadige kolonisten.</w:t>
      </w:r>
    </w:p>
    <w:bookmarkEnd w:id="4"/>
    <w:p w:rsidRPr="00A83AD3" w:rsidR="00672656" w:rsidP="00672656" w:rsidRDefault="00672656" w14:paraId="31083DF9" w14:textId="77777777">
      <w:pPr>
        <w:spacing w:after="0"/>
        <w:rPr>
          <w:rFonts w:ascii="Verdana" w:hAnsi="Verdana"/>
          <w:sz w:val="18"/>
          <w:szCs w:val="18"/>
        </w:rPr>
      </w:pPr>
    </w:p>
    <w:p w:rsidRPr="00F461B3" w:rsidR="00AF067D" w:rsidP="00AF067D" w:rsidRDefault="00AF067D" w14:paraId="36B6C3E3" w14:textId="4FB3724C">
      <w:pPr>
        <w:spacing w:after="0"/>
        <w:rPr>
          <w:rFonts w:ascii="Verdana" w:hAnsi="Verdana"/>
          <w:b/>
          <w:bCs/>
          <w:sz w:val="18"/>
          <w:szCs w:val="18"/>
        </w:rPr>
      </w:pPr>
      <w:bookmarkStart w:name="_Hlk224740457" w:id="5"/>
      <w:r w:rsidRPr="00F461B3">
        <w:rPr>
          <w:rFonts w:ascii="Verdana" w:hAnsi="Verdana"/>
          <w:b/>
          <w:bCs/>
          <w:sz w:val="18"/>
          <w:szCs w:val="18"/>
        </w:rPr>
        <w:t>Concurrentievermogen en interne markt</w:t>
      </w:r>
    </w:p>
    <w:p w:rsidRPr="00DC72BB" w:rsidR="00671575" w:rsidP="009735B3" w:rsidRDefault="00671575" w14:paraId="516B45CC" w14:textId="20EB22C7">
      <w:pPr>
        <w:spacing w:after="0"/>
        <w:rPr>
          <w:rFonts w:ascii="Verdana" w:hAnsi="Verdana"/>
          <w:sz w:val="18"/>
          <w:szCs w:val="18"/>
        </w:rPr>
      </w:pPr>
      <w:r w:rsidRPr="00F461B3">
        <w:rPr>
          <w:rFonts w:ascii="Verdana" w:hAnsi="Verdana"/>
          <w:sz w:val="18"/>
          <w:szCs w:val="18"/>
        </w:rPr>
        <w:t xml:space="preserve">Voortbouwend op de uitkomsten van de informele Raad van 12 februari jl. sprak de Europese Raad over het versterken van het Europese concurrentievermogen en de interne markt. De Raad riep de </w:t>
      </w:r>
      <w:r w:rsidRPr="00F461B3">
        <w:rPr>
          <w:rFonts w:ascii="Verdana" w:hAnsi="Verdana"/>
          <w:sz w:val="18"/>
          <w:szCs w:val="18"/>
        </w:rPr>
        <w:lastRenderedPageBreak/>
        <w:t xml:space="preserve">Europese Commissie op spoedig de aangekondigde </w:t>
      </w:r>
      <w:r w:rsidRPr="00F461B3">
        <w:rPr>
          <w:rFonts w:ascii="Verdana" w:hAnsi="Verdana"/>
          <w:i/>
          <w:iCs/>
          <w:sz w:val="18"/>
          <w:szCs w:val="18"/>
        </w:rPr>
        <w:t xml:space="preserve">One Europe, One Market Roadmap </w:t>
      </w:r>
      <w:r w:rsidRPr="00F461B3">
        <w:rPr>
          <w:rFonts w:ascii="Verdana" w:hAnsi="Verdana"/>
          <w:sz w:val="18"/>
          <w:szCs w:val="18"/>
        </w:rPr>
        <w:t xml:space="preserve">te presenteren, en deze spoedig (uiterlijk eind 2027) te implementeren. Ook riep de Raad de lidstaten en de Europese instellingen op om belemmeringen op de interne markt weg te nemen en spoedig met concrete resultaten te komen. </w:t>
      </w:r>
      <w:r w:rsidRPr="00F461B3" w:rsidR="00AE00DC">
        <w:rPr>
          <w:rFonts w:ascii="Verdana" w:hAnsi="Verdana"/>
          <w:sz w:val="18"/>
          <w:szCs w:val="18"/>
        </w:rPr>
        <w:t xml:space="preserve">Voortgang op de volgende dossiers wordt hierbij als prioriteit gezien: </w:t>
      </w:r>
      <w:r w:rsidRPr="00F461B3">
        <w:rPr>
          <w:rFonts w:ascii="Verdana" w:hAnsi="Verdana"/>
          <w:sz w:val="18"/>
          <w:szCs w:val="18"/>
        </w:rPr>
        <w:t>het 28</w:t>
      </w:r>
      <w:r w:rsidRPr="00F461B3">
        <w:rPr>
          <w:rFonts w:ascii="Verdana" w:hAnsi="Verdana"/>
          <w:sz w:val="18"/>
          <w:szCs w:val="18"/>
          <w:vertAlign w:val="superscript"/>
        </w:rPr>
        <w:t>e</w:t>
      </w:r>
      <w:r w:rsidRPr="00F461B3">
        <w:rPr>
          <w:rFonts w:ascii="Verdana" w:hAnsi="Verdana"/>
          <w:sz w:val="18"/>
          <w:szCs w:val="18"/>
        </w:rPr>
        <w:t xml:space="preserve"> regime, e-declaraties, beroepskwalificaties, de EU </w:t>
      </w:r>
      <w:r w:rsidRPr="00F461B3">
        <w:rPr>
          <w:rFonts w:ascii="Verdana" w:hAnsi="Verdana"/>
          <w:i/>
          <w:iCs/>
          <w:sz w:val="18"/>
          <w:szCs w:val="18"/>
        </w:rPr>
        <w:t>business wallet</w:t>
      </w:r>
      <w:r w:rsidRPr="00F461B3">
        <w:rPr>
          <w:rFonts w:ascii="Verdana" w:hAnsi="Verdana"/>
          <w:sz w:val="18"/>
          <w:szCs w:val="18"/>
        </w:rPr>
        <w:t>,</w:t>
      </w:r>
      <w:r w:rsidRPr="00F461B3" w:rsidR="00AE00DC">
        <w:rPr>
          <w:rFonts w:ascii="Verdana" w:hAnsi="Verdana"/>
          <w:sz w:val="18"/>
          <w:szCs w:val="18"/>
        </w:rPr>
        <w:t xml:space="preserve"> productstandaarden i</w:t>
      </w:r>
      <w:r w:rsidR="00465F8F">
        <w:rPr>
          <w:rFonts w:ascii="Verdana" w:hAnsi="Verdana"/>
          <w:sz w:val="18"/>
          <w:szCs w:val="18"/>
        </w:rPr>
        <w:t xml:space="preserve">n het kader van </w:t>
      </w:r>
      <w:r w:rsidRPr="00F461B3" w:rsidR="00AE00DC">
        <w:rPr>
          <w:rFonts w:ascii="Verdana" w:hAnsi="Verdana"/>
          <w:sz w:val="18"/>
          <w:szCs w:val="18"/>
        </w:rPr>
        <w:t>consumentenbescherming, etikettering en verpakkingsvereisten, incl</w:t>
      </w:r>
      <w:r w:rsidR="00465F8F">
        <w:rPr>
          <w:rFonts w:ascii="Verdana" w:hAnsi="Verdana"/>
          <w:sz w:val="18"/>
          <w:szCs w:val="18"/>
        </w:rPr>
        <w:t>usief</w:t>
      </w:r>
      <w:r w:rsidRPr="00F461B3" w:rsidR="00AE00DC">
        <w:rPr>
          <w:rFonts w:ascii="Verdana" w:hAnsi="Verdana"/>
          <w:sz w:val="18"/>
          <w:szCs w:val="18"/>
        </w:rPr>
        <w:t xml:space="preserve"> territoriale leveringsbeperkingen. </w:t>
      </w:r>
      <w:r w:rsidRPr="00F461B3" w:rsidR="005E133D">
        <w:rPr>
          <w:rFonts w:ascii="Verdana" w:hAnsi="Verdana"/>
          <w:sz w:val="18"/>
          <w:szCs w:val="18"/>
        </w:rPr>
        <w:t>De aangekondigde</w:t>
      </w:r>
      <w:r w:rsidRPr="00F461B3" w:rsidR="00AE00DC">
        <w:rPr>
          <w:rFonts w:ascii="Verdana" w:hAnsi="Verdana"/>
          <w:sz w:val="18"/>
          <w:szCs w:val="18"/>
        </w:rPr>
        <w:t xml:space="preserve"> herziening van de fusierichtlijnen - met behoud van een effectief mededingingskader - </w:t>
      </w:r>
      <w:r w:rsidRPr="00F461B3" w:rsidR="005E133D">
        <w:rPr>
          <w:rFonts w:ascii="Verdana" w:hAnsi="Verdana"/>
          <w:sz w:val="18"/>
          <w:szCs w:val="18"/>
        </w:rPr>
        <w:t>moet bij</w:t>
      </w:r>
      <w:r w:rsidRPr="00F461B3" w:rsidR="00AE00DC">
        <w:rPr>
          <w:rFonts w:ascii="Verdana" w:hAnsi="Verdana"/>
          <w:sz w:val="18"/>
          <w:szCs w:val="18"/>
        </w:rPr>
        <w:t xml:space="preserve">dragen </w:t>
      </w:r>
      <w:r w:rsidRPr="00F461B3" w:rsidR="005E133D">
        <w:rPr>
          <w:rFonts w:ascii="Verdana" w:hAnsi="Verdana"/>
          <w:sz w:val="18"/>
          <w:szCs w:val="18"/>
        </w:rPr>
        <w:t xml:space="preserve">aan opschaling en mondiaal concurrerende Europese bedrijven. Ook werd de Commissie opgeroepen interne marktregels op een robuuste en tijdige manier </w:t>
      </w:r>
      <w:r w:rsidRPr="00F461B3" w:rsidR="003C57EB">
        <w:rPr>
          <w:rFonts w:ascii="Verdana" w:hAnsi="Verdana"/>
          <w:sz w:val="18"/>
          <w:szCs w:val="18"/>
        </w:rPr>
        <w:t>te handhaven</w:t>
      </w:r>
      <w:r w:rsidRPr="00F461B3" w:rsidR="005E133D">
        <w:rPr>
          <w:rFonts w:ascii="Verdana" w:hAnsi="Verdana"/>
          <w:sz w:val="18"/>
          <w:szCs w:val="18"/>
        </w:rPr>
        <w:t xml:space="preserve">. </w:t>
      </w:r>
      <w:r w:rsidRPr="00F461B3" w:rsidR="00021759">
        <w:rPr>
          <w:rFonts w:ascii="Verdana" w:hAnsi="Verdana"/>
          <w:sz w:val="18"/>
          <w:szCs w:val="18"/>
        </w:rPr>
        <w:t xml:space="preserve">Voortzetting van een ambitieuze simplificatieagenda van de EU werd breed gesteund door de lidstaten, inclusief spoedige afronding van de lopende omnibus-onderhandelingen. Daarbij werd opgemerkt dat dit niet de Europese beleidsdoelstellingen, voorspelbaarheid, hoge standaarden en integriteit van de interne markt moet ondermijnen. Ook moet met zorgvuldigheid gekeken worden naar regeldruk bij de vormgeving van nieuwe regelgeving. Voorbeelden die hierbij werden genoemd zijn o.a. het voorkeur verlenen aan </w:t>
      </w:r>
      <w:r w:rsidRPr="00DC72BB" w:rsidR="00021759">
        <w:rPr>
          <w:rFonts w:ascii="Verdana" w:hAnsi="Verdana"/>
          <w:sz w:val="18"/>
          <w:szCs w:val="18"/>
        </w:rPr>
        <w:t xml:space="preserve">verordeningen </w:t>
      </w:r>
      <w:r w:rsidRPr="00DC72BB" w:rsidR="00135FF2">
        <w:rPr>
          <w:rFonts w:ascii="Verdana" w:hAnsi="Verdana"/>
          <w:sz w:val="18"/>
          <w:szCs w:val="18"/>
        </w:rPr>
        <w:t xml:space="preserve">in plaats van </w:t>
      </w:r>
      <w:r w:rsidRPr="00DC72BB" w:rsidR="00021759">
        <w:rPr>
          <w:rFonts w:ascii="Verdana" w:hAnsi="Verdana"/>
          <w:sz w:val="18"/>
          <w:szCs w:val="18"/>
        </w:rPr>
        <w:t xml:space="preserve">richtlijnen </w:t>
      </w:r>
      <w:r w:rsidRPr="00DC72BB" w:rsidR="00135FF2">
        <w:rPr>
          <w:rFonts w:ascii="Verdana" w:hAnsi="Verdana"/>
          <w:sz w:val="18"/>
          <w:szCs w:val="18"/>
        </w:rPr>
        <w:t xml:space="preserve">om </w:t>
      </w:r>
      <w:r w:rsidRPr="00DC72BB" w:rsidR="00021759">
        <w:rPr>
          <w:rFonts w:ascii="Verdana" w:hAnsi="Verdana"/>
          <w:sz w:val="18"/>
          <w:szCs w:val="18"/>
        </w:rPr>
        <w:t xml:space="preserve">harmonisatie van Europese regelgeving </w:t>
      </w:r>
      <w:r w:rsidRPr="00DC72BB" w:rsidR="00135FF2">
        <w:rPr>
          <w:rFonts w:ascii="Verdana" w:hAnsi="Verdana"/>
          <w:sz w:val="18"/>
          <w:szCs w:val="18"/>
        </w:rPr>
        <w:t xml:space="preserve">te versterken </w:t>
      </w:r>
      <w:r w:rsidRPr="00DC72BB" w:rsidR="00021759">
        <w:rPr>
          <w:rFonts w:ascii="Verdana" w:hAnsi="Verdana"/>
          <w:sz w:val="18"/>
          <w:szCs w:val="18"/>
        </w:rPr>
        <w:t xml:space="preserve">en </w:t>
      </w:r>
      <w:r w:rsidRPr="00DC72BB" w:rsidR="00135FF2">
        <w:rPr>
          <w:rFonts w:ascii="Verdana" w:hAnsi="Verdana"/>
          <w:sz w:val="18"/>
          <w:szCs w:val="18"/>
        </w:rPr>
        <w:t xml:space="preserve">te </w:t>
      </w:r>
      <w:r w:rsidRPr="00DC72BB" w:rsidR="00021759">
        <w:rPr>
          <w:rFonts w:ascii="Verdana" w:hAnsi="Verdana"/>
          <w:sz w:val="18"/>
          <w:szCs w:val="18"/>
        </w:rPr>
        <w:t>voorkomen dat nationale regelgeving verder gaat dan Europese regelgeving (</w:t>
      </w:r>
      <w:r w:rsidRPr="00DC72BB" w:rsidR="00021759">
        <w:rPr>
          <w:rFonts w:ascii="Verdana" w:hAnsi="Verdana"/>
          <w:i/>
          <w:iCs/>
          <w:sz w:val="18"/>
          <w:szCs w:val="18"/>
        </w:rPr>
        <w:t>‘goldplating’</w:t>
      </w:r>
      <w:r w:rsidRPr="00DC72BB" w:rsidR="00021759">
        <w:rPr>
          <w:rFonts w:ascii="Verdana" w:hAnsi="Verdana"/>
          <w:sz w:val="18"/>
          <w:szCs w:val="18"/>
        </w:rPr>
        <w:t xml:space="preserve">). </w:t>
      </w:r>
      <w:bookmarkStart w:name="_Hlk225347371" w:id="6"/>
      <w:r w:rsidRPr="00DC72BB" w:rsidR="00EF6CE8">
        <w:rPr>
          <w:rFonts w:ascii="Verdana" w:hAnsi="Verdana"/>
          <w:sz w:val="18"/>
          <w:szCs w:val="18"/>
        </w:rPr>
        <w:t xml:space="preserve">Het kabinet is hierbij, waar nodig, voorstander van het benutten van kopgroepen om extra </w:t>
      </w:r>
      <w:bookmarkStart w:name="_Hlk225347330" w:id="7"/>
      <w:r w:rsidRPr="00DC72BB" w:rsidR="00EF6CE8">
        <w:rPr>
          <w:rFonts w:ascii="Verdana" w:hAnsi="Verdana"/>
          <w:sz w:val="18"/>
          <w:szCs w:val="18"/>
        </w:rPr>
        <w:t>tempo te maken.</w:t>
      </w:r>
      <w:bookmarkEnd w:id="7"/>
    </w:p>
    <w:bookmarkEnd w:id="6"/>
    <w:p w:rsidRPr="00DC72BB" w:rsidR="00021759" w:rsidP="009735B3" w:rsidRDefault="00021759" w14:paraId="09734A2A" w14:textId="77777777">
      <w:pPr>
        <w:spacing w:after="0"/>
        <w:rPr>
          <w:rFonts w:ascii="Verdana" w:hAnsi="Verdana"/>
          <w:sz w:val="18"/>
          <w:szCs w:val="18"/>
        </w:rPr>
      </w:pPr>
    </w:p>
    <w:p w:rsidRPr="00F461B3" w:rsidR="003C57EB" w:rsidP="0011266D" w:rsidRDefault="003C57EB" w14:paraId="56B42358" w14:textId="49D1454D">
      <w:pPr>
        <w:tabs>
          <w:tab w:val="left" w:pos="4740"/>
        </w:tabs>
        <w:spacing w:after="0"/>
        <w:rPr>
          <w:rFonts w:ascii="Verdana" w:hAnsi="Verdana"/>
          <w:sz w:val="18"/>
          <w:szCs w:val="18"/>
        </w:rPr>
      </w:pPr>
      <w:r w:rsidRPr="00DC72BB">
        <w:rPr>
          <w:rFonts w:ascii="Verdana" w:hAnsi="Verdana"/>
          <w:sz w:val="18"/>
          <w:szCs w:val="18"/>
        </w:rPr>
        <w:t>De Europese Raad benadrukte het belang van het verminderen van strategische afhankelijkheden en het versterken van het geopolitieke en commerciële</w:t>
      </w:r>
      <w:r w:rsidRPr="00F461B3">
        <w:rPr>
          <w:rFonts w:ascii="Verdana" w:hAnsi="Verdana"/>
          <w:sz w:val="18"/>
          <w:szCs w:val="18"/>
        </w:rPr>
        <w:t xml:space="preserve"> gewicht van de EU, als voorwaarde voor weerbaarheid, groei en werkgelegenheid. Dit vergt investeringen in nieuwe technologieën, versnelling van innovatie, vooruitgang op het gebied van digitale technologieën en infrastructuur en een duurzame en productieve industriële basis, met aandacht voor het MKB. </w:t>
      </w:r>
      <w:r w:rsidRPr="00F461B3" w:rsidR="0011266D">
        <w:rPr>
          <w:rFonts w:ascii="Verdana" w:hAnsi="Verdana"/>
          <w:sz w:val="18"/>
          <w:szCs w:val="18"/>
        </w:rPr>
        <w:t xml:space="preserve">Om dit te realiseren roept de Raad de Commissie en lidstaten op om strategische afhankelijkheden in kaart te brengen (uiterlijk eind 2026) en gebruik te maken van het handelsinstrumentarium om oneerlijke concurrentie tegen te gaan. Diversificatie van partnerschappen is van belang om toegang tot essentiële grondstoffen, toeleveringsketens, markten en technologieën te waarborgen. Ook wordt verwezen naar het technologische soevereiniteitspakket dat de Commissie naar verwachting op korte termijn zal presenteren. De meeste discussie vond plaats bij de inkadering van het Europese voorkeursinstrument als onderdeel van het Commissievoorstel voor een </w:t>
      </w:r>
      <w:r w:rsidRPr="00F461B3" w:rsidR="0011266D">
        <w:rPr>
          <w:rFonts w:ascii="Verdana" w:hAnsi="Verdana"/>
          <w:i/>
          <w:iCs/>
          <w:sz w:val="18"/>
          <w:szCs w:val="18"/>
        </w:rPr>
        <w:t>Industrial Accelerator Act</w:t>
      </w:r>
      <w:r w:rsidRPr="00F461B3" w:rsidR="0011266D">
        <w:rPr>
          <w:rFonts w:ascii="Verdana" w:hAnsi="Verdana"/>
          <w:sz w:val="18"/>
          <w:szCs w:val="18"/>
        </w:rPr>
        <w:t>.</w:t>
      </w:r>
      <w:r w:rsidRPr="00F461B3" w:rsidR="0011266D">
        <w:rPr>
          <w:rStyle w:val="FootnoteReference"/>
          <w:rFonts w:ascii="Verdana" w:hAnsi="Verdana"/>
          <w:sz w:val="18"/>
          <w:szCs w:val="18"/>
        </w:rPr>
        <w:footnoteReference w:id="9"/>
      </w:r>
      <w:r w:rsidRPr="00F461B3" w:rsidR="0011266D">
        <w:rPr>
          <w:rFonts w:ascii="Verdana" w:hAnsi="Verdana"/>
          <w:sz w:val="18"/>
          <w:szCs w:val="18"/>
        </w:rPr>
        <w:t xml:space="preserve"> </w:t>
      </w:r>
      <w:bookmarkStart w:name="_Hlk225243346" w:id="8"/>
      <w:r w:rsidRPr="00F461B3" w:rsidR="0011266D">
        <w:rPr>
          <w:rFonts w:ascii="Verdana" w:hAnsi="Verdana"/>
          <w:sz w:val="18"/>
          <w:szCs w:val="18"/>
        </w:rPr>
        <w:t>Conform motie Hoogeveen</w:t>
      </w:r>
      <w:r w:rsidRPr="00F461B3" w:rsidR="0011266D">
        <w:rPr>
          <w:rStyle w:val="FootnoteReference"/>
          <w:rFonts w:ascii="Verdana" w:hAnsi="Verdana"/>
          <w:sz w:val="18"/>
          <w:szCs w:val="18"/>
        </w:rPr>
        <w:footnoteReference w:id="10"/>
      </w:r>
      <w:r w:rsidRPr="00F461B3" w:rsidR="0011266D">
        <w:rPr>
          <w:rFonts w:ascii="Verdana" w:hAnsi="Verdana"/>
          <w:sz w:val="18"/>
          <w:szCs w:val="18"/>
        </w:rPr>
        <w:t xml:space="preserve"> heeft Nederland zich </w:t>
      </w:r>
      <w:r w:rsidR="00BF62B9">
        <w:rPr>
          <w:rFonts w:ascii="Verdana" w:hAnsi="Verdana"/>
          <w:sz w:val="18"/>
          <w:szCs w:val="18"/>
        </w:rPr>
        <w:t>ingezet</w:t>
      </w:r>
      <w:r w:rsidRPr="00F461B3" w:rsidR="0011266D">
        <w:rPr>
          <w:rFonts w:ascii="Verdana" w:hAnsi="Verdana"/>
          <w:sz w:val="18"/>
          <w:szCs w:val="18"/>
        </w:rPr>
        <w:t xml:space="preserve"> voor duidelijke inkadering van het </w:t>
      </w:r>
      <w:bookmarkStart w:name="_Hlk225244225" w:id="9"/>
      <w:r w:rsidRPr="00F461B3" w:rsidR="0011266D">
        <w:rPr>
          <w:rFonts w:ascii="Verdana" w:hAnsi="Verdana"/>
          <w:sz w:val="18"/>
          <w:szCs w:val="18"/>
        </w:rPr>
        <w:t>Europese voorkeursprincipe</w:t>
      </w:r>
      <w:bookmarkEnd w:id="9"/>
      <w:r w:rsidRPr="00F461B3" w:rsidR="0011266D">
        <w:rPr>
          <w:rFonts w:ascii="Verdana" w:hAnsi="Verdana"/>
          <w:sz w:val="18"/>
          <w:szCs w:val="18"/>
        </w:rPr>
        <w:t>, mede vanwege het belang van open markten en een gelijk speelveld, en om onnodige protectionis</w:t>
      </w:r>
      <w:r w:rsidRPr="00F461B3" w:rsidR="005D5BC0">
        <w:rPr>
          <w:rFonts w:ascii="Verdana" w:hAnsi="Verdana"/>
          <w:sz w:val="18"/>
          <w:szCs w:val="18"/>
        </w:rPr>
        <w:t>tis</w:t>
      </w:r>
      <w:r w:rsidRPr="00F461B3" w:rsidR="0011266D">
        <w:rPr>
          <w:rFonts w:ascii="Verdana" w:hAnsi="Verdana"/>
          <w:sz w:val="18"/>
          <w:szCs w:val="18"/>
        </w:rPr>
        <w:t>che eisen en nieuwe handelsbelemmeringen te voorkomen.</w:t>
      </w:r>
    </w:p>
    <w:bookmarkEnd w:id="8"/>
    <w:p w:rsidRPr="00F461B3" w:rsidR="003C57EB" w:rsidP="009735B3" w:rsidRDefault="003C57EB" w14:paraId="781899DD" w14:textId="77777777">
      <w:pPr>
        <w:spacing w:after="0"/>
        <w:rPr>
          <w:rFonts w:ascii="Verdana" w:hAnsi="Verdana"/>
          <w:sz w:val="18"/>
          <w:szCs w:val="18"/>
        </w:rPr>
      </w:pPr>
    </w:p>
    <w:p w:rsidRPr="00F461B3" w:rsidR="003C57EB" w:rsidP="009735B3" w:rsidRDefault="007A3AB0" w14:paraId="07C0364C" w14:textId="5CDD57F4">
      <w:pPr>
        <w:spacing w:after="0"/>
        <w:rPr>
          <w:rFonts w:ascii="Verdana" w:hAnsi="Verdana"/>
          <w:sz w:val="18"/>
          <w:szCs w:val="18"/>
        </w:rPr>
      </w:pPr>
      <w:r w:rsidRPr="00F461B3">
        <w:rPr>
          <w:rFonts w:ascii="Verdana" w:hAnsi="Verdana"/>
          <w:sz w:val="18"/>
          <w:szCs w:val="18"/>
        </w:rPr>
        <w:t xml:space="preserve">Voor het mobiliseren van de nodige investeringen werd het belang van de Europese </w:t>
      </w:r>
      <w:r w:rsidR="00F07A76">
        <w:rPr>
          <w:rFonts w:ascii="Verdana" w:hAnsi="Verdana"/>
          <w:sz w:val="18"/>
          <w:szCs w:val="18"/>
        </w:rPr>
        <w:t>Spaar- en Investeringsunie (SI</w:t>
      </w:r>
      <w:r w:rsidR="00963047">
        <w:rPr>
          <w:rFonts w:ascii="Verdana" w:hAnsi="Verdana"/>
          <w:sz w:val="18"/>
          <w:szCs w:val="18"/>
        </w:rPr>
        <w:t>U</w:t>
      </w:r>
      <w:r w:rsidR="00F07A76">
        <w:rPr>
          <w:rFonts w:ascii="Verdana" w:hAnsi="Verdana"/>
          <w:sz w:val="18"/>
          <w:szCs w:val="18"/>
        </w:rPr>
        <w:t xml:space="preserve">) </w:t>
      </w:r>
      <w:r w:rsidRPr="00F461B3">
        <w:rPr>
          <w:rFonts w:ascii="Verdana" w:hAnsi="Verdana"/>
          <w:sz w:val="18"/>
          <w:szCs w:val="18"/>
        </w:rPr>
        <w:t xml:space="preserve">benadrukt. Hiertoe werd onder andere gepleit voor snelle aanname van het kapitaalmarktintegratie- en toezichtscentralisatiepakket (KTP), het spoedig afronden van de onderhandelingen over de digitale euro, het in kaart brengen van het concurrentievermogen van de </w:t>
      </w:r>
      <w:r w:rsidR="00F07A76">
        <w:rPr>
          <w:rFonts w:ascii="Verdana" w:hAnsi="Verdana"/>
          <w:sz w:val="18"/>
          <w:szCs w:val="18"/>
        </w:rPr>
        <w:t>Europese</w:t>
      </w:r>
      <w:r>
        <w:rPr>
          <w:rFonts w:ascii="Verdana" w:hAnsi="Verdana"/>
          <w:sz w:val="18"/>
          <w:szCs w:val="18"/>
        </w:rPr>
        <w:t xml:space="preserve"> </w:t>
      </w:r>
      <w:r w:rsidRPr="00F461B3">
        <w:rPr>
          <w:rFonts w:ascii="Verdana" w:hAnsi="Verdana"/>
          <w:sz w:val="18"/>
          <w:szCs w:val="18"/>
        </w:rPr>
        <w:t xml:space="preserve">bankensector en het vervolmaken van de bankenunie. </w:t>
      </w:r>
      <w:r w:rsidR="00F07A76">
        <w:rPr>
          <w:rFonts w:ascii="Verdana" w:hAnsi="Verdana"/>
          <w:sz w:val="18"/>
          <w:szCs w:val="18"/>
        </w:rPr>
        <w:t>Nederland heeft met vijf grote lidstaten recent al opgeroepen tot ambitieuze voortgang bij de SIU.</w:t>
      </w:r>
      <w:r w:rsidR="00F07A76">
        <w:rPr>
          <w:rStyle w:val="FootnoteReference"/>
          <w:rFonts w:ascii="Verdana" w:hAnsi="Verdana"/>
          <w:sz w:val="18"/>
          <w:szCs w:val="18"/>
        </w:rPr>
        <w:footnoteReference w:id="11"/>
      </w:r>
    </w:p>
    <w:p w:rsidRPr="00F461B3" w:rsidR="007A3AB0" w:rsidP="009735B3" w:rsidRDefault="007A3AB0" w14:paraId="081BE6C1" w14:textId="77777777">
      <w:pPr>
        <w:spacing w:after="0"/>
        <w:rPr>
          <w:rFonts w:ascii="Verdana" w:hAnsi="Verdana"/>
          <w:sz w:val="18"/>
          <w:szCs w:val="18"/>
        </w:rPr>
      </w:pPr>
    </w:p>
    <w:p w:rsidRPr="00F461B3" w:rsidR="00021759" w:rsidP="009735B3" w:rsidRDefault="007A3AB0" w14:paraId="004C7099" w14:textId="01B18759">
      <w:pPr>
        <w:spacing w:after="0"/>
        <w:rPr>
          <w:rFonts w:ascii="Verdana" w:hAnsi="Verdana"/>
          <w:b/>
          <w:iCs/>
          <w:sz w:val="18"/>
          <w:szCs w:val="18"/>
        </w:rPr>
      </w:pPr>
      <w:r w:rsidRPr="00F461B3">
        <w:rPr>
          <w:rFonts w:ascii="Verdana" w:hAnsi="Verdana"/>
          <w:b/>
          <w:iCs/>
          <w:sz w:val="18"/>
          <w:szCs w:val="18"/>
        </w:rPr>
        <w:t>Energie</w:t>
      </w:r>
      <w:r w:rsidRPr="00F461B3" w:rsidR="009673E8">
        <w:rPr>
          <w:rFonts w:ascii="Verdana" w:hAnsi="Verdana"/>
          <w:b/>
          <w:iCs/>
          <w:sz w:val="18"/>
          <w:szCs w:val="18"/>
        </w:rPr>
        <w:t>prijzen en ETS</w:t>
      </w:r>
    </w:p>
    <w:bookmarkEnd w:id="5"/>
    <w:p w:rsidR="008A7448" w:rsidP="009673E8" w:rsidRDefault="009673E8" w14:paraId="42FEA4B0" w14:textId="16043A58">
      <w:pPr>
        <w:spacing w:after="0"/>
        <w:rPr>
          <w:rFonts w:ascii="Verdana" w:hAnsi="Verdana"/>
          <w:sz w:val="18"/>
          <w:szCs w:val="18"/>
        </w:rPr>
      </w:pPr>
      <w:r w:rsidRPr="00F461B3">
        <w:rPr>
          <w:rFonts w:ascii="Verdana" w:hAnsi="Verdana"/>
          <w:sz w:val="18"/>
          <w:szCs w:val="18"/>
        </w:rPr>
        <w:t xml:space="preserve">Tijdens de vergadering kwamen de zorgen van verschillende lidstaten over de betaalbaarheid van energie nadrukkelijk aan de orde. Deze zorgen zijn verder toegenomen door de huidige geopolitieke ontwikkelingen. </w:t>
      </w:r>
      <w:r w:rsidR="00850A94">
        <w:rPr>
          <w:rFonts w:ascii="Verdana" w:hAnsi="Verdana"/>
          <w:sz w:val="18"/>
          <w:szCs w:val="18"/>
        </w:rPr>
        <w:t>De</w:t>
      </w:r>
      <w:r w:rsidRPr="00F461B3">
        <w:rPr>
          <w:rFonts w:ascii="Verdana" w:hAnsi="Verdana"/>
          <w:sz w:val="18"/>
          <w:szCs w:val="18"/>
        </w:rPr>
        <w:t xml:space="preserve"> Voorzitter van de Europese Commissie </w:t>
      </w:r>
      <w:r w:rsidR="00850A94">
        <w:rPr>
          <w:rFonts w:ascii="Verdana" w:hAnsi="Verdana"/>
          <w:sz w:val="18"/>
          <w:szCs w:val="18"/>
        </w:rPr>
        <w:t xml:space="preserve">stuurde </w:t>
      </w:r>
      <w:r w:rsidRPr="00F461B3">
        <w:rPr>
          <w:rFonts w:ascii="Verdana" w:hAnsi="Verdana"/>
          <w:sz w:val="18"/>
          <w:szCs w:val="18"/>
        </w:rPr>
        <w:t xml:space="preserve">voorafgaand aan de Europese Raad een brief met </w:t>
      </w:r>
      <w:r w:rsidR="00A3424F">
        <w:rPr>
          <w:rFonts w:ascii="Verdana" w:hAnsi="Verdana"/>
          <w:sz w:val="18"/>
          <w:szCs w:val="18"/>
        </w:rPr>
        <w:t>daarin een</w:t>
      </w:r>
      <w:r w:rsidR="00850A94">
        <w:rPr>
          <w:rFonts w:ascii="Verdana" w:hAnsi="Verdana"/>
          <w:sz w:val="18"/>
          <w:szCs w:val="18"/>
        </w:rPr>
        <w:t xml:space="preserve"> overzicht van </w:t>
      </w:r>
      <w:r w:rsidR="00A3424F">
        <w:rPr>
          <w:rFonts w:ascii="Verdana" w:hAnsi="Verdana"/>
          <w:sz w:val="18"/>
          <w:szCs w:val="18"/>
        </w:rPr>
        <w:t>maatregelen om de Europese concurrentiekracht te vergroten en</w:t>
      </w:r>
      <w:r w:rsidR="00850A94">
        <w:rPr>
          <w:rFonts w:ascii="Verdana" w:hAnsi="Verdana"/>
          <w:sz w:val="18"/>
          <w:szCs w:val="18"/>
        </w:rPr>
        <w:t xml:space="preserve"> de </w:t>
      </w:r>
      <w:r w:rsidR="00A3424F">
        <w:rPr>
          <w:rFonts w:ascii="Verdana" w:hAnsi="Verdana"/>
          <w:sz w:val="18"/>
          <w:szCs w:val="18"/>
        </w:rPr>
        <w:t xml:space="preserve">weerbaarheid van de Unie te versterken. </w:t>
      </w:r>
    </w:p>
    <w:p w:rsidR="008A7448" w:rsidP="009673E8" w:rsidRDefault="008A7448" w14:paraId="0E1248A7" w14:textId="77777777">
      <w:pPr>
        <w:spacing w:after="0"/>
        <w:rPr>
          <w:rFonts w:ascii="Verdana" w:hAnsi="Verdana"/>
          <w:sz w:val="18"/>
          <w:szCs w:val="18"/>
        </w:rPr>
      </w:pPr>
    </w:p>
    <w:p w:rsidR="00D64395" w:rsidP="009673E8" w:rsidRDefault="009673E8" w14:paraId="0476A32C" w14:textId="00A6274A">
      <w:pPr>
        <w:spacing w:after="0"/>
        <w:rPr>
          <w:rFonts w:ascii="Verdana" w:hAnsi="Verdana"/>
          <w:sz w:val="18"/>
          <w:szCs w:val="18"/>
        </w:rPr>
      </w:pPr>
      <w:r w:rsidRPr="00F461B3">
        <w:rPr>
          <w:rFonts w:ascii="Verdana" w:hAnsi="Verdana"/>
          <w:sz w:val="18"/>
          <w:szCs w:val="18"/>
        </w:rPr>
        <w:t xml:space="preserve">Tijdens de Europese Raad </w:t>
      </w:r>
      <w:r w:rsidRPr="00F461B3" w:rsidR="003309B6">
        <w:rPr>
          <w:rFonts w:ascii="Verdana" w:hAnsi="Verdana"/>
          <w:sz w:val="18"/>
          <w:szCs w:val="18"/>
        </w:rPr>
        <w:t xml:space="preserve">werd </w:t>
      </w:r>
      <w:r w:rsidR="00850A94">
        <w:rPr>
          <w:rFonts w:ascii="Verdana" w:hAnsi="Verdana"/>
          <w:sz w:val="18"/>
          <w:szCs w:val="18"/>
        </w:rPr>
        <w:t>dan ook</w:t>
      </w:r>
      <w:r w:rsidRPr="00F461B3" w:rsidR="003309B6">
        <w:rPr>
          <w:rFonts w:ascii="Verdana" w:hAnsi="Verdana"/>
          <w:sz w:val="18"/>
          <w:szCs w:val="18"/>
        </w:rPr>
        <w:t xml:space="preserve"> lang gesproken over de gestegen energieprijzen, mede in het licht van de crisis in het </w:t>
      </w:r>
      <w:r w:rsidR="00661EDE">
        <w:rPr>
          <w:rFonts w:ascii="Verdana" w:hAnsi="Verdana"/>
          <w:sz w:val="18"/>
          <w:szCs w:val="18"/>
        </w:rPr>
        <w:t>Midden</w:t>
      </w:r>
      <w:r w:rsidRPr="00F461B3" w:rsidR="003309B6">
        <w:rPr>
          <w:rFonts w:ascii="Verdana" w:hAnsi="Verdana"/>
          <w:sz w:val="18"/>
          <w:szCs w:val="18"/>
        </w:rPr>
        <w:t xml:space="preserve">-Oosten. Een aantal lidstaten ging in op de koppeling tussen de hoge energieprijzen en het ETS-systeem en riep op tot herziening hiervan. Andere lidstaten, waaronder Nederland, wezen </w:t>
      </w:r>
      <w:r w:rsidR="008A7448">
        <w:rPr>
          <w:rFonts w:ascii="Verdana" w:hAnsi="Verdana"/>
          <w:sz w:val="18"/>
          <w:szCs w:val="18"/>
        </w:rPr>
        <w:t>expliciet</w:t>
      </w:r>
      <w:r w:rsidRPr="00F461B3" w:rsidR="003309B6">
        <w:rPr>
          <w:rFonts w:ascii="Verdana" w:hAnsi="Verdana"/>
          <w:sz w:val="18"/>
          <w:szCs w:val="18"/>
        </w:rPr>
        <w:t xml:space="preserve"> op het belang van het ETS-systeem als </w:t>
      </w:r>
      <w:r w:rsidR="004A1060">
        <w:rPr>
          <w:rFonts w:ascii="Verdana" w:hAnsi="Verdana"/>
          <w:sz w:val="18"/>
          <w:szCs w:val="18"/>
        </w:rPr>
        <w:t xml:space="preserve">centraal </w:t>
      </w:r>
      <w:r w:rsidRPr="00F461B3" w:rsidR="003309B6">
        <w:rPr>
          <w:rFonts w:ascii="Verdana" w:hAnsi="Verdana"/>
          <w:sz w:val="18"/>
          <w:szCs w:val="18"/>
        </w:rPr>
        <w:t xml:space="preserve">instrument </w:t>
      </w:r>
      <w:r w:rsidR="004A1060">
        <w:rPr>
          <w:rFonts w:ascii="Verdana" w:hAnsi="Verdana"/>
          <w:sz w:val="18"/>
          <w:szCs w:val="18"/>
        </w:rPr>
        <w:lastRenderedPageBreak/>
        <w:t>voor koste</w:t>
      </w:r>
      <w:r w:rsidR="002923F9">
        <w:rPr>
          <w:rFonts w:ascii="Verdana" w:hAnsi="Verdana"/>
          <w:sz w:val="18"/>
          <w:szCs w:val="18"/>
        </w:rPr>
        <w:t>n</w:t>
      </w:r>
      <w:r w:rsidR="004A1060">
        <w:rPr>
          <w:rFonts w:ascii="Verdana" w:hAnsi="Verdana"/>
          <w:sz w:val="18"/>
          <w:szCs w:val="18"/>
        </w:rPr>
        <w:t xml:space="preserve"> efficiënte decarbonisatie en als motor voor </w:t>
      </w:r>
      <w:r w:rsidRPr="00F461B3" w:rsidR="003309B6">
        <w:rPr>
          <w:rFonts w:ascii="Verdana" w:hAnsi="Verdana"/>
          <w:sz w:val="18"/>
          <w:szCs w:val="18"/>
        </w:rPr>
        <w:t>duurzame economische groei</w:t>
      </w:r>
      <w:r w:rsidR="004A1060">
        <w:rPr>
          <w:rFonts w:ascii="Verdana" w:hAnsi="Verdana"/>
          <w:sz w:val="18"/>
          <w:szCs w:val="18"/>
        </w:rPr>
        <w:t>, conform de motie van de leden Bushoff en Oosterhout</w:t>
      </w:r>
      <w:r w:rsidR="00946345">
        <w:rPr>
          <w:rFonts w:ascii="Verdana" w:hAnsi="Verdana"/>
          <w:sz w:val="18"/>
          <w:szCs w:val="18"/>
        </w:rPr>
        <w:t>.</w:t>
      </w:r>
      <w:r w:rsidR="00B0129F">
        <w:rPr>
          <w:rStyle w:val="FootnoteReference"/>
          <w:rFonts w:ascii="Verdana" w:hAnsi="Verdana"/>
          <w:sz w:val="18"/>
          <w:szCs w:val="18"/>
        </w:rPr>
        <w:footnoteReference w:id="12"/>
      </w:r>
      <w:r w:rsidRPr="00F461B3" w:rsidR="003309B6">
        <w:rPr>
          <w:rFonts w:ascii="Verdana" w:hAnsi="Verdana"/>
          <w:sz w:val="18"/>
          <w:szCs w:val="18"/>
        </w:rPr>
        <w:t xml:space="preserve"> Deze lidstaten wezen er</w:t>
      </w:r>
      <w:r w:rsidR="00FF3C17">
        <w:rPr>
          <w:rFonts w:ascii="Verdana" w:hAnsi="Verdana"/>
          <w:sz w:val="18"/>
          <w:szCs w:val="18"/>
        </w:rPr>
        <w:t xml:space="preserve"> tevens </w:t>
      </w:r>
      <w:r w:rsidRPr="00F461B3" w:rsidR="003309B6">
        <w:rPr>
          <w:rFonts w:ascii="Verdana" w:hAnsi="Verdana"/>
          <w:sz w:val="18"/>
          <w:szCs w:val="18"/>
        </w:rPr>
        <w:t xml:space="preserve">op dat </w:t>
      </w:r>
      <w:r w:rsidRPr="00F461B3">
        <w:rPr>
          <w:rFonts w:ascii="Verdana" w:hAnsi="Verdana"/>
          <w:sz w:val="18"/>
          <w:szCs w:val="18"/>
        </w:rPr>
        <w:t>de energietransitie, met name via versnelde uitrol van hernieuwbare en koolstofarme energie en energieopslag, essentieel is om de afhankelijkheid van volatiele fossiele energie te verminderen</w:t>
      </w:r>
      <w:r w:rsidR="00F07A76">
        <w:rPr>
          <w:rFonts w:ascii="Verdana" w:hAnsi="Verdana"/>
          <w:sz w:val="18"/>
          <w:szCs w:val="18"/>
        </w:rPr>
        <w:t xml:space="preserve">, </w:t>
      </w:r>
      <w:r w:rsidRPr="00F461B3">
        <w:rPr>
          <w:rFonts w:ascii="Verdana" w:hAnsi="Verdana"/>
          <w:sz w:val="18"/>
          <w:szCs w:val="18"/>
        </w:rPr>
        <w:t>energieprijzen structureel te verlagen</w:t>
      </w:r>
      <w:r w:rsidR="00F07A76">
        <w:rPr>
          <w:rFonts w:ascii="Verdana" w:hAnsi="Verdana"/>
          <w:sz w:val="18"/>
          <w:szCs w:val="18"/>
        </w:rPr>
        <w:t xml:space="preserve"> en daarmee de strategische autonomie en de weerbaarheid van de EU te vergroten</w:t>
      </w:r>
      <w:r w:rsidRPr="009673E8">
        <w:rPr>
          <w:rFonts w:ascii="Verdana" w:hAnsi="Verdana"/>
          <w:sz w:val="18"/>
          <w:szCs w:val="18"/>
        </w:rPr>
        <w:t>.</w:t>
      </w:r>
      <w:r w:rsidRPr="00F461B3">
        <w:rPr>
          <w:rFonts w:ascii="Verdana" w:hAnsi="Verdana"/>
          <w:sz w:val="18"/>
          <w:szCs w:val="18"/>
        </w:rPr>
        <w:t xml:space="preserve"> </w:t>
      </w:r>
      <w:r w:rsidR="004A1060">
        <w:rPr>
          <w:rFonts w:ascii="Verdana" w:hAnsi="Verdana"/>
          <w:sz w:val="18"/>
          <w:szCs w:val="18"/>
        </w:rPr>
        <w:t xml:space="preserve">Nederland </w:t>
      </w:r>
      <w:r w:rsidR="00470E34">
        <w:rPr>
          <w:rFonts w:ascii="Verdana" w:hAnsi="Verdana"/>
          <w:sz w:val="18"/>
          <w:szCs w:val="18"/>
        </w:rPr>
        <w:t>benadrukte</w:t>
      </w:r>
      <w:r w:rsidR="004A1060">
        <w:rPr>
          <w:rFonts w:ascii="Verdana" w:hAnsi="Verdana"/>
          <w:sz w:val="18"/>
          <w:szCs w:val="18"/>
        </w:rPr>
        <w:t xml:space="preserve"> in dit licht het belang van investeringszekerheid en van voorspelbare en stabiele randvoorwaarden voor de verduurzaming van de industrie.</w:t>
      </w:r>
    </w:p>
    <w:p w:rsidR="00E70635" w:rsidP="009673E8" w:rsidRDefault="004A1060" w14:paraId="52FCAA7E" w14:textId="54656550">
      <w:pPr>
        <w:spacing w:after="0"/>
        <w:rPr>
          <w:rFonts w:ascii="Verdana" w:hAnsi="Verdana"/>
          <w:sz w:val="18"/>
          <w:szCs w:val="18"/>
        </w:rPr>
      </w:pPr>
      <w:r>
        <w:rPr>
          <w:rFonts w:ascii="Verdana" w:hAnsi="Verdana"/>
          <w:sz w:val="18"/>
          <w:szCs w:val="18"/>
        </w:rPr>
        <w:t xml:space="preserve"> </w:t>
      </w:r>
    </w:p>
    <w:p w:rsidRPr="00F461B3" w:rsidR="009673E8" w:rsidP="009673E8" w:rsidRDefault="003309B6" w14:paraId="3AADF03B" w14:textId="55B157C7">
      <w:pPr>
        <w:spacing w:after="0"/>
        <w:rPr>
          <w:rFonts w:ascii="Verdana" w:hAnsi="Verdana"/>
          <w:sz w:val="18"/>
          <w:szCs w:val="18"/>
        </w:rPr>
      </w:pPr>
      <w:r w:rsidRPr="00F461B3">
        <w:rPr>
          <w:rFonts w:ascii="Verdana" w:hAnsi="Verdana"/>
          <w:sz w:val="18"/>
          <w:szCs w:val="18"/>
        </w:rPr>
        <w:t xml:space="preserve">Uiteindelijk heeft de </w:t>
      </w:r>
      <w:r w:rsidRPr="00F461B3" w:rsidR="009673E8">
        <w:rPr>
          <w:rFonts w:ascii="Verdana" w:hAnsi="Verdana"/>
          <w:sz w:val="18"/>
          <w:szCs w:val="18"/>
        </w:rPr>
        <w:t xml:space="preserve">Europese Raad de Commissie opgeroepen om op korte termijn met een toolbox van tijdelijke, gerichte maatregelen te komen om prijspieken </w:t>
      </w:r>
      <w:r w:rsidR="00F07A76">
        <w:rPr>
          <w:rFonts w:ascii="Verdana" w:hAnsi="Verdana"/>
          <w:sz w:val="18"/>
          <w:szCs w:val="18"/>
        </w:rPr>
        <w:t>als gevolg van de crisis in het Midden-Oosten</w:t>
      </w:r>
      <w:r w:rsidRPr="009673E8" w:rsidR="009673E8">
        <w:rPr>
          <w:rFonts w:ascii="Verdana" w:hAnsi="Verdana"/>
          <w:sz w:val="18"/>
          <w:szCs w:val="18"/>
        </w:rPr>
        <w:t xml:space="preserve"> </w:t>
      </w:r>
      <w:r w:rsidRPr="00F461B3" w:rsidR="009673E8">
        <w:rPr>
          <w:rFonts w:ascii="Verdana" w:hAnsi="Verdana"/>
          <w:sz w:val="18"/>
          <w:szCs w:val="18"/>
        </w:rPr>
        <w:t>te adresseren</w:t>
      </w:r>
      <w:r w:rsidR="00F07A76">
        <w:rPr>
          <w:rFonts w:ascii="Verdana" w:hAnsi="Verdana"/>
          <w:sz w:val="18"/>
          <w:szCs w:val="18"/>
        </w:rPr>
        <w:t>.</w:t>
      </w:r>
      <w:r w:rsidRPr="009673E8" w:rsidR="009673E8">
        <w:rPr>
          <w:rFonts w:ascii="Verdana" w:hAnsi="Verdana"/>
          <w:sz w:val="18"/>
          <w:szCs w:val="18"/>
        </w:rPr>
        <w:t xml:space="preserve"> </w:t>
      </w:r>
      <w:r w:rsidR="004802CF">
        <w:rPr>
          <w:rFonts w:ascii="Verdana" w:hAnsi="Verdana"/>
          <w:sz w:val="18"/>
          <w:szCs w:val="18"/>
        </w:rPr>
        <w:t xml:space="preserve">Daarnaast heeft de Europese Raad de Commissie verzocht </w:t>
      </w:r>
      <w:r w:rsidR="004A1060">
        <w:rPr>
          <w:rFonts w:ascii="Verdana" w:hAnsi="Verdana"/>
          <w:sz w:val="18"/>
          <w:szCs w:val="18"/>
        </w:rPr>
        <w:t>om in juli 2026 met de reeds voorziene herziening van het ETS te komen, gericht op het beperken van prijsvolatiliteit, en het verminderen van de impact op elektriciteitsprijzen, waarbij de essentiële rol van het ETS in de klimaat- en energietransitie gewaarborgd blijft.</w:t>
      </w:r>
      <w:r w:rsidRPr="009673E8" w:rsidR="009673E8">
        <w:rPr>
          <w:rFonts w:ascii="Verdana" w:hAnsi="Verdana"/>
          <w:sz w:val="18"/>
          <w:szCs w:val="18"/>
        </w:rPr>
        <w:t xml:space="preserve"> </w:t>
      </w:r>
      <w:r w:rsidR="00F07A76">
        <w:rPr>
          <w:rFonts w:ascii="Verdana" w:hAnsi="Verdana"/>
          <w:sz w:val="18"/>
          <w:szCs w:val="18"/>
        </w:rPr>
        <w:t xml:space="preserve">Daarnaast riep de Raad de Commissie </w:t>
      </w:r>
      <w:r w:rsidR="00FA4BFE">
        <w:rPr>
          <w:rFonts w:ascii="Verdana" w:hAnsi="Verdana"/>
          <w:sz w:val="18"/>
          <w:szCs w:val="18"/>
        </w:rPr>
        <w:t>op om, op basis van de brief van de Voorzitter van de Europese Commissie,</w:t>
      </w:r>
      <w:r w:rsidRPr="00F461B3" w:rsidR="009673E8">
        <w:rPr>
          <w:rFonts w:ascii="Verdana" w:hAnsi="Verdana"/>
          <w:sz w:val="18"/>
          <w:szCs w:val="18"/>
        </w:rPr>
        <w:t xml:space="preserve"> </w:t>
      </w:r>
      <w:r w:rsidR="00C6799F">
        <w:rPr>
          <w:rFonts w:ascii="Verdana" w:hAnsi="Verdana"/>
          <w:sz w:val="18"/>
          <w:szCs w:val="18"/>
        </w:rPr>
        <w:t xml:space="preserve">concrete </w:t>
      </w:r>
      <w:r w:rsidRPr="00F461B3" w:rsidR="009673E8">
        <w:rPr>
          <w:rFonts w:ascii="Verdana" w:hAnsi="Verdana"/>
          <w:sz w:val="18"/>
          <w:szCs w:val="18"/>
        </w:rPr>
        <w:t>aanvullende maatregelen voor te stellen om elektriciteitsprijzen op korte termijn te verlagen</w:t>
      </w:r>
      <w:r w:rsidR="00C6799F">
        <w:rPr>
          <w:rFonts w:ascii="Verdana" w:hAnsi="Verdana"/>
          <w:sz w:val="18"/>
          <w:szCs w:val="18"/>
        </w:rPr>
        <w:t>, ook voor energie-intensieve industrie.</w:t>
      </w:r>
      <w:r w:rsidR="00661EDE">
        <w:rPr>
          <w:rFonts w:ascii="Verdana" w:hAnsi="Verdana"/>
          <w:sz w:val="18"/>
          <w:szCs w:val="18"/>
        </w:rPr>
        <w:t xml:space="preserve"> De Raad heeft de Commissie </w:t>
      </w:r>
      <w:r w:rsidR="00C6799F">
        <w:rPr>
          <w:rFonts w:ascii="Verdana" w:hAnsi="Verdana"/>
          <w:sz w:val="18"/>
          <w:szCs w:val="18"/>
        </w:rPr>
        <w:t>tevens</w:t>
      </w:r>
      <w:r w:rsidR="00661EDE">
        <w:rPr>
          <w:rFonts w:ascii="Verdana" w:hAnsi="Verdana"/>
          <w:sz w:val="18"/>
          <w:szCs w:val="18"/>
        </w:rPr>
        <w:t xml:space="preserve"> </w:t>
      </w:r>
      <w:r w:rsidR="00CA2756">
        <w:rPr>
          <w:rFonts w:ascii="Verdana" w:hAnsi="Verdana"/>
          <w:sz w:val="18"/>
          <w:szCs w:val="18"/>
        </w:rPr>
        <w:t>gevraagd</w:t>
      </w:r>
      <w:r w:rsidR="00661EDE">
        <w:rPr>
          <w:rFonts w:ascii="Verdana" w:hAnsi="Verdana"/>
          <w:sz w:val="18"/>
          <w:szCs w:val="18"/>
        </w:rPr>
        <w:t xml:space="preserve"> om samen met lidstaten te werken aan gerichte, nationale maatregelen om kosten te dempen. </w:t>
      </w:r>
      <w:r w:rsidR="00FA4BFE">
        <w:rPr>
          <w:rFonts w:ascii="Verdana" w:hAnsi="Verdana"/>
          <w:sz w:val="18"/>
          <w:szCs w:val="18"/>
        </w:rPr>
        <w:t>Belangrijk</w:t>
      </w:r>
      <w:r w:rsidR="00686E05">
        <w:rPr>
          <w:rFonts w:ascii="Verdana" w:hAnsi="Verdana"/>
          <w:sz w:val="18"/>
          <w:szCs w:val="18"/>
        </w:rPr>
        <w:t>e</w:t>
      </w:r>
      <w:r w:rsidR="00FA4BFE">
        <w:rPr>
          <w:rFonts w:ascii="Verdana" w:hAnsi="Verdana"/>
          <w:sz w:val="18"/>
          <w:szCs w:val="18"/>
        </w:rPr>
        <w:t xml:space="preserve"> waarborg daarbij is dat investeringsprikkels voor duurzame energie en een gelijk speelveld in de interne markt behouden moeten blijven.</w:t>
      </w:r>
      <w:r w:rsidRPr="00F461B3" w:rsidR="009673E8">
        <w:rPr>
          <w:rFonts w:ascii="Verdana" w:hAnsi="Verdana"/>
          <w:sz w:val="18"/>
          <w:szCs w:val="18"/>
        </w:rPr>
        <w:t xml:space="preserve"> Ten aanzien van energie-infrastructuur heeft de Europese Raad de co-wetgevers opgeroepen om in 2026 overeenstemming te bereiken over een ambitieus </w:t>
      </w:r>
      <w:r w:rsidRPr="002863FB" w:rsidR="009673E8">
        <w:rPr>
          <w:rFonts w:ascii="Verdana" w:hAnsi="Verdana"/>
          <w:i/>
          <w:iCs/>
          <w:sz w:val="18"/>
          <w:szCs w:val="18"/>
        </w:rPr>
        <w:t>Grids package</w:t>
      </w:r>
      <w:r w:rsidRPr="00F461B3" w:rsidR="009673E8">
        <w:rPr>
          <w:rFonts w:ascii="Verdana" w:hAnsi="Verdana"/>
          <w:sz w:val="18"/>
          <w:szCs w:val="18"/>
        </w:rPr>
        <w:t xml:space="preserve">, gericht op het versneld realiseren van de benodigde netinfrastructuur, het versterken van interconnecties en het stroomlijnen van vergunningprocedures. Ook heeft de Europese Raad de lidstaten en de Commissie opgeroepen om de uitvoering van de </w:t>
      </w:r>
      <w:r w:rsidRPr="002863FB" w:rsidR="009673E8">
        <w:rPr>
          <w:rFonts w:ascii="Verdana" w:hAnsi="Verdana"/>
          <w:i/>
          <w:iCs/>
          <w:sz w:val="18"/>
          <w:szCs w:val="18"/>
        </w:rPr>
        <w:t>Energy Union 2030</w:t>
      </w:r>
      <w:r w:rsidRPr="00F461B3" w:rsidR="009673E8">
        <w:rPr>
          <w:rFonts w:ascii="Verdana" w:hAnsi="Verdana"/>
          <w:sz w:val="18"/>
          <w:szCs w:val="18"/>
        </w:rPr>
        <w:t>-agenda te versnellen, teneinde verdere elektrificatie mogelijk te maken en bij te dragen aan betaalbare energie.</w:t>
      </w:r>
    </w:p>
    <w:p w:rsidRPr="00F461B3" w:rsidR="009673E8" w:rsidP="009735B3" w:rsidRDefault="009673E8" w14:paraId="69792A59" w14:textId="77777777">
      <w:pPr>
        <w:spacing w:after="0"/>
        <w:rPr>
          <w:rFonts w:ascii="Verdana" w:hAnsi="Verdana"/>
          <w:b/>
          <w:bCs/>
          <w:sz w:val="18"/>
          <w:szCs w:val="18"/>
        </w:rPr>
      </w:pPr>
    </w:p>
    <w:p w:rsidRPr="00F461B3" w:rsidR="003D466E" w:rsidP="009735B3" w:rsidRDefault="003D466E" w14:paraId="5176B469" w14:textId="61B7F685">
      <w:pPr>
        <w:spacing w:after="0"/>
        <w:rPr>
          <w:rFonts w:ascii="Verdana" w:hAnsi="Verdana"/>
          <w:b/>
          <w:bCs/>
          <w:sz w:val="18"/>
          <w:szCs w:val="18"/>
        </w:rPr>
      </w:pPr>
      <w:r w:rsidRPr="00F461B3">
        <w:rPr>
          <w:rFonts w:ascii="Verdana" w:hAnsi="Verdana"/>
          <w:b/>
          <w:bCs/>
          <w:sz w:val="18"/>
          <w:szCs w:val="18"/>
        </w:rPr>
        <w:t xml:space="preserve">Meerjarig Financieel Kader </w:t>
      </w:r>
    </w:p>
    <w:p w:rsidRPr="00F461B3" w:rsidR="003D466E" w:rsidP="009735B3" w:rsidRDefault="003D466E" w14:paraId="18C13F19" w14:textId="2136E8E7">
      <w:pPr>
        <w:spacing w:after="0"/>
        <w:rPr>
          <w:rFonts w:ascii="Verdana" w:hAnsi="Verdana"/>
          <w:sz w:val="18"/>
          <w:szCs w:val="18"/>
        </w:rPr>
      </w:pPr>
      <w:r w:rsidRPr="00F461B3">
        <w:rPr>
          <w:rFonts w:ascii="Verdana" w:hAnsi="Verdana"/>
          <w:sz w:val="18"/>
          <w:szCs w:val="18"/>
        </w:rPr>
        <w:t xml:space="preserve">Tijdens de Europese Raad </w:t>
      </w:r>
      <w:r w:rsidR="008A5FF2">
        <w:rPr>
          <w:rFonts w:ascii="Verdana" w:hAnsi="Verdana"/>
          <w:sz w:val="18"/>
          <w:szCs w:val="18"/>
        </w:rPr>
        <w:t>heeft uiteindelijk g</w:t>
      </w:r>
      <w:r>
        <w:rPr>
          <w:rFonts w:ascii="Verdana" w:hAnsi="Verdana"/>
          <w:sz w:val="18"/>
          <w:szCs w:val="18"/>
        </w:rPr>
        <w:t>een</w:t>
      </w:r>
      <w:r w:rsidRPr="00F461B3">
        <w:rPr>
          <w:rFonts w:ascii="Verdana" w:hAnsi="Verdana"/>
          <w:sz w:val="18"/>
          <w:szCs w:val="18"/>
        </w:rPr>
        <w:t xml:space="preserve"> gedachtenuitwisseling </w:t>
      </w:r>
      <w:r>
        <w:rPr>
          <w:rFonts w:ascii="Verdana" w:hAnsi="Verdana"/>
          <w:sz w:val="18"/>
          <w:szCs w:val="18"/>
        </w:rPr>
        <w:t>plaats</w:t>
      </w:r>
      <w:r w:rsidR="008A5FF2">
        <w:rPr>
          <w:rFonts w:ascii="Verdana" w:hAnsi="Verdana"/>
          <w:sz w:val="18"/>
          <w:szCs w:val="18"/>
        </w:rPr>
        <w:t>gevonden</w:t>
      </w:r>
      <w:r w:rsidRPr="00F461B3">
        <w:rPr>
          <w:rFonts w:ascii="Verdana" w:hAnsi="Verdana"/>
          <w:sz w:val="18"/>
          <w:szCs w:val="18"/>
        </w:rPr>
        <w:t xml:space="preserve"> over het nieuwe Meerjarig Financieel Kader (2028-2034). </w:t>
      </w:r>
      <w:r w:rsidR="008A5FF2">
        <w:rPr>
          <w:rFonts w:ascii="Verdana" w:hAnsi="Verdana"/>
          <w:sz w:val="18"/>
          <w:szCs w:val="18"/>
        </w:rPr>
        <w:t xml:space="preserve">Dit agendaonderwerp is doorgeschoven naar de informele Europese Raad van 23 en 24 april 2026. </w:t>
      </w:r>
    </w:p>
    <w:p w:rsidRPr="00F461B3" w:rsidR="00473D14" w:rsidP="00AF067D" w:rsidRDefault="00473D14" w14:paraId="76AC9804" w14:textId="6A430480">
      <w:pPr>
        <w:spacing w:after="0"/>
        <w:rPr>
          <w:rFonts w:ascii="Verdana" w:hAnsi="Verdana"/>
          <w:i/>
          <w:iCs/>
          <w:sz w:val="18"/>
          <w:szCs w:val="18"/>
        </w:rPr>
      </w:pPr>
    </w:p>
    <w:p w:rsidRPr="00F461B3" w:rsidR="00473D14" w:rsidP="009735B3" w:rsidRDefault="00473D14" w14:paraId="4A9D745A" w14:textId="00669551">
      <w:pPr>
        <w:spacing w:after="0"/>
        <w:rPr>
          <w:rFonts w:ascii="Verdana" w:hAnsi="Verdana"/>
          <w:b/>
          <w:bCs/>
          <w:sz w:val="18"/>
          <w:szCs w:val="18"/>
        </w:rPr>
      </w:pPr>
      <w:r w:rsidRPr="00F461B3">
        <w:rPr>
          <w:rFonts w:ascii="Verdana" w:hAnsi="Verdana"/>
          <w:b/>
          <w:bCs/>
          <w:sz w:val="18"/>
          <w:szCs w:val="18"/>
        </w:rPr>
        <w:t>Europese veiligheid en Defensie</w:t>
      </w:r>
    </w:p>
    <w:p w:rsidRPr="00F461B3" w:rsidR="00926C3C" w:rsidP="00926C3C" w:rsidRDefault="00926C3C" w14:paraId="71E05655" w14:textId="77777777">
      <w:pPr>
        <w:spacing w:after="0" w:line="240" w:lineRule="auto"/>
        <w:rPr>
          <w:rFonts w:ascii="Verdana" w:hAnsi="Verdana" w:eastAsia="Aptos" w:cs="Aptos"/>
          <w:sz w:val="18"/>
          <w:szCs w:val="18"/>
          <w:lang w:bidi="ne-NP"/>
        </w:rPr>
      </w:pPr>
      <w:r w:rsidRPr="00F461B3">
        <w:rPr>
          <w:rFonts w:ascii="Verdana" w:hAnsi="Verdana" w:eastAsia="Aptos" w:cs="Aptos"/>
          <w:kern w:val="0"/>
          <w:sz w:val="18"/>
          <w:szCs w:val="18"/>
          <w:lang w:bidi="ne-NP"/>
        </w:rPr>
        <w:t xml:space="preserve">De ER herbevestigde het streven om defensiegereedheid significant op te schalen richting 2030, strategische afhankelijkheden verder af te bouwen en kritieke </w:t>
      </w:r>
      <w:proofErr w:type="spellStart"/>
      <w:r w:rsidRPr="00F461B3">
        <w:rPr>
          <w:rFonts w:ascii="Verdana" w:hAnsi="Verdana" w:eastAsia="Aptos" w:cs="Aptos"/>
          <w:i/>
          <w:iCs/>
          <w:kern w:val="0"/>
          <w:sz w:val="18"/>
          <w:szCs w:val="18"/>
          <w:lang w:bidi="ne-NP"/>
        </w:rPr>
        <w:t>capability</w:t>
      </w:r>
      <w:proofErr w:type="spellEnd"/>
      <w:r w:rsidRPr="00F461B3">
        <w:rPr>
          <w:rFonts w:ascii="Verdana" w:hAnsi="Verdana" w:eastAsia="Aptos" w:cs="Aptos"/>
          <w:i/>
          <w:iCs/>
          <w:kern w:val="0"/>
          <w:sz w:val="18"/>
          <w:szCs w:val="18"/>
          <w:lang w:bidi="ne-NP"/>
        </w:rPr>
        <w:t xml:space="preserve"> </w:t>
      </w:r>
      <w:proofErr w:type="spellStart"/>
      <w:r w:rsidRPr="00F461B3">
        <w:rPr>
          <w:rFonts w:ascii="Verdana" w:hAnsi="Verdana" w:eastAsia="Aptos" w:cs="Aptos"/>
          <w:i/>
          <w:iCs/>
          <w:kern w:val="0"/>
          <w:sz w:val="18"/>
          <w:szCs w:val="18"/>
          <w:lang w:bidi="ne-NP"/>
        </w:rPr>
        <w:t>gaps</w:t>
      </w:r>
      <w:proofErr w:type="spellEnd"/>
      <w:r w:rsidRPr="00F461B3">
        <w:rPr>
          <w:rFonts w:ascii="Verdana" w:hAnsi="Verdana" w:eastAsia="Aptos" w:cs="Aptos"/>
          <w:kern w:val="0"/>
          <w:sz w:val="18"/>
          <w:szCs w:val="18"/>
          <w:lang w:bidi="ne-NP"/>
        </w:rPr>
        <w:t xml:space="preserve"> te adresseren. In deze context benadrukte de Raad het belang van het voortzetten van het werk op de </w:t>
      </w:r>
      <w:r w:rsidRPr="00F461B3">
        <w:rPr>
          <w:rFonts w:ascii="Verdana" w:hAnsi="Verdana" w:eastAsia="Aptos" w:cs="Aptos"/>
          <w:i/>
          <w:iCs/>
          <w:kern w:val="0"/>
          <w:sz w:val="18"/>
          <w:szCs w:val="18"/>
          <w:lang w:bidi="ne-NP"/>
        </w:rPr>
        <w:t>priority capability areas</w:t>
      </w:r>
      <w:r w:rsidRPr="00F461B3">
        <w:rPr>
          <w:rFonts w:ascii="Verdana" w:hAnsi="Verdana" w:eastAsia="Aptos" w:cs="Aptos"/>
          <w:kern w:val="0"/>
          <w:sz w:val="18"/>
          <w:szCs w:val="18"/>
          <w:lang w:bidi="ne-NP"/>
        </w:rPr>
        <w:t xml:space="preserve"> (PCA’s), en riep lidstaten op om concrete projecten te lanceren en daarbij volledig gebruik te maken van het </w:t>
      </w:r>
      <w:r w:rsidRPr="00F461B3">
        <w:rPr>
          <w:rFonts w:ascii="Verdana" w:hAnsi="Verdana" w:eastAsia="Aptos" w:cs="Aptos"/>
          <w:i/>
          <w:iCs/>
          <w:kern w:val="0"/>
          <w:sz w:val="18"/>
          <w:szCs w:val="18"/>
          <w:lang w:bidi="ne-NP"/>
        </w:rPr>
        <w:t>Security Action for Europe</w:t>
      </w:r>
      <w:r w:rsidRPr="00F461B3">
        <w:rPr>
          <w:rFonts w:ascii="Verdana" w:hAnsi="Verdana" w:eastAsia="Aptos" w:cs="Aptos"/>
          <w:kern w:val="0"/>
          <w:sz w:val="18"/>
          <w:szCs w:val="18"/>
          <w:lang w:bidi="ne-NP"/>
        </w:rPr>
        <w:t xml:space="preserve">-instrument (SAFE) en het Europese defensie-industrie programma (EDIP). Dit moet ook bijdragen aan de verdere versterking van de Europese technologische en industriële defensiebasis (EDTIB). De Raad benadrukte het belang van de verdere integratie van de gezamenlijke Europese defensiemarkt. Tegelijkertijd bepleitten meerdere lidstaten waaronder Nederland het belang van samenwerking met derde landen. Tot slot verwelkomde de Raad de voortgang op het militaire mobiliteitspakket, alsmede het werk van de Europese Investeringsbank op het gebied van veiligheid en defensie. </w:t>
      </w:r>
    </w:p>
    <w:p w:rsidRPr="00F461B3" w:rsidR="00926C3C" w:rsidP="009735B3" w:rsidRDefault="00926C3C" w14:paraId="75220060" w14:textId="77777777">
      <w:pPr>
        <w:spacing w:after="0"/>
        <w:rPr>
          <w:rFonts w:ascii="Verdana" w:hAnsi="Verdana"/>
          <w:sz w:val="18"/>
          <w:szCs w:val="18"/>
        </w:rPr>
      </w:pPr>
    </w:p>
    <w:p w:rsidRPr="00F461B3" w:rsidR="00473D14" w:rsidP="009735B3" w:rsidRDefault="00473D14" w14:paraId="4FD18441" w14:textId="748FCF42">
      <w:pPr>
        <w:spacing w:after="0"/>
        <w:rPr>
          <w:rFonts w:ascii="Verdana" w:hAnsi="Verdana"/>
          <w:b/>
          <w:bCs/>
          <w:sz w:val="18"/>
          <w:szCs w:val="18"/>
        </w:rPr>
      </w:pPr>
      <w:r w:rsidRPr="00F461B3">
        <w:rPr>
          <w:rFonts w:ascii="Verdana" w:hAnsi="Verdana"/>
          <w:b/>
          <w:bCs/>
          <w:sz w:val="18"/>
          <w:szCs w:val="18"/>
        </w:rPr>
        <w:t>Migratie</w:t>
      </w:r>
    </w:p>
    <w:p w:rsidRPr="00F461B3" w:rsidR="00B83ED2" w:rsidP="00B83ED2" w:rsidRDefault="00B83ED2" w14:paraId="7ECF6AA8" w14:textId="076022F5">
      <w:pPr>
        <w:spacing w:after="0"/>
        <w:rPr>
          <w:rFonts w:ascii="Verdana" w:hAnsi="Verdana"/>
          <w:sz w:val="18"/>
          <w:szCs w:val="18"/>
        </w:rPr>
      </w:pPr>
      <w:r w:rsidRPr="00F461B3">
        <w:rPr>
          <w:rFonts w:ascii="Verdana" w:hAnsi="Verdana"/>
          <w:sz w:val="18"/>
          <w:szCs w:val="18"/>
        </w:rPr>
        <w:t>De ER nam kennis van de reguliere migratievoortgangsbrief van Commissievoorzitter Von der Leyen. De ER riep op om het werk aan de verschillende wetgevende voorstellen met prioriteit voort te zetten. Nederland heeft in het bijzonder aandacht gevraagd voor de afronding van de implementatie van het Asiel- en Migratiepact uiterlijk op 12 juni 2026.</w:t>
      </w:r>
    </w:p>
    <w:p w:rsidRPr="00F461B3" w:rsidR="00B83ED2" w:rsidP="00B83ED2" w:rsidRDefault="00B83ED2" w14:paraId="763B9FF2" w14:textId="77777777">
      <w:pPr>
        <w:spacing w:after="0"/>
        <w:rPr>
          <w:rFonts w:ascii="Verdana" w:hAnsi="Verdana"/>
          <w:sz w:val="18"/>
          <w:szCs w:val="18"/>
        </w:rPr>
      </w:pPr>
    </w:p>
    <w:p w:rsidRPr="00F461B3" w:rsidR="00B83ED2" w:rsidP="00B83ED2" w:rsidRDefault="00B83ED2" w14:paraId="6873FCED" w14:textId="69D12B97">
      <w:pPr>
        <w:spacing w:after="0"/>
        <w:rPr>
          <w:rFonts w:ascii="Verdana" w:hAnsi="Verdana"/>
          <w:sz w:val="18"/>
          <w:szCs w:val="18"/>
        </w:rPr>
      </w:pPr>
      <w:r w:rsidRPr="00F461B3">
        <w:rPr>
          <w:rFonts w:ascii="Verdana" w:hAnsi="Verdana"/>
          <w:sz w:val="18"/>
          <w:szCs w:val="18"/>
        </w:rPr>
        <w:t xml:space="preserve">Voorafgaand aan de ER kwam een groep leiders, </w:t>
      </w:r>
      <w:r w:rsidR="009A6D2F">
        <w:rPr>
          <w:rFonts w:ascii="Verdana" w:hAnsi="Verdana"/>
          <w:sz w:val="18"/>
          <w:szCs w:val="18"/>
        </w:rPr>
        <w:t>op uitnodiging van Nederland,</w:t>
      </w:r>
      <w:r w:rsidR="008E6F8B">
        <w:rPr>
          <w:rFonts w:ascii="Verdana" w:hAnsi="Verdana"/>
          <w:sz w:val="18"/>
          <w:szCs w:val="18"/>
        </w:rPr>
        <w:t xml:space="preserve"> </w:t>
      </w:r>
      <w:r w:rsidRPr="00F461B3" w:rsidR="008E6F8B">
        <w:rPr>
          <w:rFonts w:ascii="Verdana" w:hAnsi="Verdana"/>
          <w:sz w:val="18"/>
          <w:szCs w:val="18"/>
        </w:rPr>
        <w:t>Itali</w:t>
      </w:r>
      <w:r w:rsidR="008E6F8B">
        <w:rPr>
          <w:rFonts w:ascii="Verdana" w:hAnsi="Verdana"/>
          <w:sz w:val="18"/>
          <w:szCs w:val="18"/>
        </w:rPr>
        <w:t>ë</w:t>
      </w:r>
      <w:r w:rsidRPr="00F461B3">
        <w:rPr>
          <w:rFonts w:ascii="Verdana" w:hAnsi="Verdana"/>
          <w:sz w:val="18"/>
          <w:szCs w:val="18"/>
        </w:rPr>
        <w:t xml:space="preserve"> en </w:t>
      </w:r>
      <w:r w:rsidR="008E6F8B">
        <w:rPr>
          <w:rFonts w:ascii="Verdana" w:hAnsi="Verdana"/>
          <w:sz w:val="18"/>
          <w:szCs w:val="18"/>
        </w:rPr>
        <w:t>Denemarken</w:t>
      </w:r>
      <w:r w:rsidRPr="00F461B3">
        <w:rPr>
          <w:rFonts w:ascii="Verdana" w:hAnsi="Verdana"/>
          <w:sz w:val="18"/>
          <w:szCs w:val="18"/>
        </w:rPr>
        <w:t>, bijeen voor het inmiddels reguliere migratieoverleg. Hierbij werd aandacht besteed aan de</w:t>
      </w:r>
      <w:r w:rsidRPr="00F461B3">
        <w:rPr>
          <w:rFonts w:ascii="Verdana" w:hAnsi="Verdana"/>
          <w:i/>
          <w:iCs/>
          <w:sz w:val="18"/>
          <w:szCs w:val="18"/>
        </w:rPr>
        <w:t xml:space="preserve"> </w:t>
      </w:r>
      <w:r w:rsidRPr="00F461B3">
        <w:rPr>
          <w:rFonts w:ascii="Verdana" w:hAnsi="Verdana"/>
          <w:sz w:val="18"/>
          <w:szCs w:val="18"/>
        </w:rPr>
        <w:t>mogelijke impact van het</w:t>
      </w:r>
      <w:r w:rsidRPr="00F461B3">
        <w:rPr>
          <w:rFonts w:ascii="Verdana" w:hAnsi="Verdana"/>
          <w:i/>
          <w:iCs/>
          <w:sz w:val="18"/>
          <w:szCs w:val="18"/>
        </w:rPr>
        <w:t xml:space="preserve"> </w:t>
      </w:r>
      <w:r w:rsidRPr="00F461B3">
        <w:rPr>
          <w:rFonts w:ascii="Verdana" w:hAnsi="Verdana"/>
          <w:sz w:val="18"/>
          <w:szCs w:val="18"/>
        </w:rPr>
        <w:t xml:space="preserve">conflict in het Midden-Oosten, de stand van verschillende Europese wetgevingstrajecten, migratieknelpunten in relatie tot de Verdragen en de EU-coördinatie op migratie in VN-verband. </w:t>
      </w:r>
    </w:p>
    <w:p w:rsidRPr="00F461B3" w:rsidR="008D2CA2" w:rsidP="009735B3" w:rsidRDefault="008D2CA2" w14:paraId="688EC698" w14:textId="44A71A84">
      <w:pPr>
        <w:spacing w:after="0"/>
        <w:rPr>
          <w:rFonts w:ascii="Verdana" w:hAnsi="Verdana"/>
          <w:i/>
          <w:iCs/>
          <w:sz w:val="18"/>
          <w:szCs w:val="18"/>
        </w:rPr>
      </w:pPr>
    </w:p>
    <w:p w:rsidRPr="00F461B3" w:rsidR="00AF067D" w:rsidP="00AF067D" w:rsidRDefault="00AF067D" w14:paraId="311454B7" w14:textId="77777777">
      <w:pPr>
        <w:spacing w:after="0"/>
        <w:rPr>
          <w:rFonts w:ascii="Verdana" w:hAnsi="Verdana"/>
          <w:b/>
          <w:bCs/>
          <w:sz w:val="18"/>
          <w:szCs w:val="18"/>
        </w:rPr>
      </w:pPr>
      <w:r w:rsidRPr="00F461B3">
        <w:rPr>
          <w:rFonts w:ascii="Verdana" w:hAnsi="Verdana"/>
          <w:b/>
          <w:bCs/>
          <w:sz w:val="18"/>
          <w:szCs w:val="18"/>
        </w:rPr>
        <w:lastRenderedPageBreak/>
        <w:t>Lunch met de Secretaris-Generaal van de Verenigde Naties</w:t>
      </w:r>
    </w:p>
    <w:p w:rsidRPr="00F461B3" w:rsidR="00AF067D" w:rsidP="00AF067D" w:rsidRDefault="00AF067D" w14:paraId="2B157215" w14:textId="487DCBB2">
      <w:pPr>
        <w:spacing w:after="0"/>
        <w:rPr>
          <w:rFonts w:ascii="Verdana" w:hAnsi="Verdana"/>
          <w:sz w:val="18"/>
          <w:szCs w:val="18"/>
        </w:rPr>
      </w:pPr>
      <w:r w:rsidRPr="00F461B3">
        <w:rPr>
          <w:rFonts w:ascii="Verdana" w:hAnsi="Verdana"/>
          <w:sz w:val="18"/>
          <w:szCs w:val="18"/>
        </w:rPr>
        <w:t>De Secretaris-Generaal van de Verenigde Naties, Ant</w:t>
      </w:r>
      <w:r w:rsidR="00963047">
        <w:rPr>
          <w:rFonts w:ascii="Verdana" w:hAnsi="Verdana"/>
          <w:sz w:val="18"/>
          <w:szCs w:val="18"/>
        </w:rPr>
        <w:t>ó</w:t>
      </w:r>
      <w:r w:rsidRPr="00F461B3">
        <w:rPr>
          <w:rFonts w:ascii="Verdana" w:hAnsi="Verdana"/>
          <w:sz w:val="18"/>
          <w:szCs w:val="18"/>
        </w:rPr>
        <w:t>nio Guterres, deelde zijn zorgen over de positie van de VN in de veranderende wereldorde, inclusief de nijpende financiële situatie</w:t>
      </w:r>
      <w:r w:rsidR="00292D47">
        <w:rPr>
          <w:rFonts w:ascii="Verdana" w:hAnsi="Verdana"/>
          <w:sz w:val="18"/>
          <w:szCs w:val="18"/>
        </w:rPr>
        <w:t xml:space="preserve"> van multilaterale </w:t>
      </w:r>
      <w:r w:rsidRPr="00DC72BB" w:rsidR="00292D47">
        <w:rPr>
          <w:rFonts w:ascii="Verdana" w:hAnsi="Verdana"/>
          <w:sz w:val="18"/>
          <w:szCs w:val="18"/>
        </w:rPr>
        <w:t>instellingen zoals de VN en ging specifiek in op de situatie in onder andere Libanon, de straat van Hormuz, Gaza en Cuba</w:t>
      </w:r>
      <w:r w:rsidRPr="00DC72BB" w:rsidR="00963047">
        <w:rPr>
          <w:rFonts w:ascii="Verdana" w:hAnsi="Verdana"/>
          <w:sz w:val="18"/>
          <w:szCs w:val="18"/>
        </w:rPr>
        <w:t>.</w:t>
      </w:r>
      <w:r w:rsidRPr="00DC72BB" w:rsidR="00974D04">
        <w:rPr>
          <w:rFonts w:ascii="Verdana" w:hAnsi="Verdana"/>
          <w:sz w:val="18"/>
          <w:szCs w:val="18"/>
        </w:rPr>
        <w:t xml:space="preserve"> </w:t>
      </w:r>
      <w:bookmarkStart w:name="_Hlk225349727" w:id="10"/>
      <w:r w:rsidRPr="00DC72BB" w:rsidR="00337D93">
        <w:rPr>
          <w:rFonts w:ascii="Verdana" w:hAnsi="Verdana"/>
          <w:sz w:val="18"/>
          <w:szCs w:val="18"/>
        </w:rPr>
        <w:t xml:space="preserve">Guterres onderstreepte het belang van vrije scheepvaart in de Straat van Hormuz, niet alleen voor Europa maar ook voor het Mondiale Zuiden. </w:t>
      </w:r>
      <w:bookmarkEnd w:id="10"/>
      <w:r w:rsidRPr="00DC72BB" w:rsidR="00292D47">
        <w:rPr>
          <w:rFonts w:ascii="Verdana" w:hAnsi="Verdana"/>
          <w:sz w:val="18"/>
          <w:szCs w:val="18"/>
        </w:rPr>
        <w:t>Daarnaast deed Guterres een oproep aan de EU lidstaten om in een multipolaire wereld te blijven zoeken naar een verdeling van evenwicht, waarbij ook meer moet worden samengewerkt met landen zoals Japan en India.</w:t>
      </w:r>
      <w:r w:rsidRPr="00DC72BB">
        <w:rPr>
          <w:rFonts w:ascii="Verdana" w:hAnsi="Verdana"/>
          <w:sz w:val="18"/>
          <w:szCs w:val="18"/>
        </w:rPr>
        <w:t xml:space="preserve"> De Europese Raad sprak unaniem zijn steun uit voor het beschermen van de VN Charter en de fundamentele beginselen die hieraan ten grondslag liggen, waaronder soevereiniteit en territoriale integriteit, en het recht op zelfbeschikking. Ook het belang van de </w:t>
      </w:r>
      <w:r w:rsidRPr="00DC72BB" w:rsidR="000772AE">
        <w:rPr>
          <w:rFonts w:ascii="Verdana" w:hAnsi="Verdana"/>
          <w:sz w:val="18"/>
          <w:szCs w:val="18"/>
        </w:rPr>
        <w:t>internationale</w:t>
      </w:r>
      <w:r w:rsidRPr="00F461B3">
        <w:rPr>
          <w:rFonts w:ascii="Verdana" w:hAnsi="Verdana"/>
          <w:sz w:val="18"/>
          <w:szCs w:val="18"/>
        </w:rPr>
        <w:t xml:space="preserve"> hoven als hoeksteen hiervan werd expliciet benoemd. De Raad onderstreepte dat de EU een voorspelbare en</w:t>
      </w:r>
      <w:r w:rsidR="00966424">
        <w:rPr>
          <w:rFonts w:ascii="Verdana" w:hAnsi="Verdana"/>
          <w:sz w:val="18"/>
          <w:szCs w:val="18"/>
        </w:rPr>
        <w:t xml:space="preserve"> </w:t>
      </w:r>
      <w:r w:rsidRPr="00F461B3">
        <w:rPr>
          <w:rFonts w:ascii="Verdana" w:hAnsi="Verdana"/>
          <w:sz w:val="18"/>
          <w:szCs w:val="18"/>
        </w:rPr>
        <w:t>geloofwaardige partner wil blijven, en sprak daarbij zijn steun uit voor de hervormingen die moeten bijdragen aan een effectief, efficiënt en responsief multilateraal systeem.</w:t>
      </w:r>
    </w:p>
    <w:p w:rsidRPr="00F461B3" w:rsidR="00473D14" w:rsidP="009735B3" w:rsidRDefault="00473D14" w14:paraId="17945DD2" w14:textId="77777777">
      <w:pPr>
        <w:spacing w:after="0"/>
        <w:rPr>
          <w:rFonts w:ascii="Verdana" w:hAnsi="Verdana"/>
          <w:i/>
          <w:iCs/>
          <w:sz w:val="18"/>
          <w:szCs w:val="18"/>
        </w:rPr>
      </w:pPr>
    </w:p>
    <w:p w:rsidRPr="00963047" w:rsidR="0023265A" w:rsidP="009735B3" w:rsidRDefault="0023265A" w14:paraId="554CB6BC" w14:textId="0DE42DE5">
      <w:pPr>
        <w:spacing w:after="0"/>
        <w:rPr>
          <w:rFonts w:ascii="Verdana" w:hAnsi="Verdana"/>
          <w:b/>
          <w:bCs/>
          <w:sz w:val="18"/>
          <w:szCs w:val="18"/>
        </w:rPr>
      </w:pPr>
      <w:r>
        <w:rPr>
          <w:rFonts w:ascii="Verdana" w:hAnsi="Verdana"/>
          <w:b/>
          <w:bCs/>
          <w:sz w:val="18"/>
          <w:szCs w:val="18"/>
        </w:rPr>
        <w:t>Overige agendapunten</w:t>
      </w:r>
    </w:p>
    <w:p w:rsidRPr="00963047" w:rsidR="0023265A" w:rsidP="0023265A" w:rsidRDefault="0023265A" w14:paraId="596E402A" w14:textId="6434C847">
      <w:pPr>
        <w:spacing w:after="0"/>
        <w:rPr>
          <w:rFonts w:ascii="Verdana" w:hAnsi="Verdana"/>
          <w:sz w:val="18"/>
          <w:szCs w:val="18"/>
        </w:rPr>
      </w:pPr>
      <w:r w:rsidRPr="00963047">
        <w:rPr>
          <w:rFonts w:ascii="Verdana" w:hAnsi="Verdana"/>
          <w:sz w:val="18"/>
          <w:szCs w:val="18"/>
        </w:rPr>
        <w:t xml:space="preserve">De Raad stond stil bij het versterken van de democratische weerbaarheid van de EU en de verantwoordelijkheid van online platforms om desinformatie en illegale inhoud tegen te gaan. De Europese Raad riep de Commissie op om de instrumenten onder de </w:t>
      </w:r>
      <w:r w:rsidRPr="00963047">
        <w:rPr>
          <w:rFonts w:ascii="Verdana" w:hAnsi="Verdana"/>
          <w:i/>
          <w:iCs/>
          <w:sz w:val="18"/>
          <w:szCs w:val="18"/>
        </w:rPr>
        <w:t>Digital Services Act</w:t>
      </w:r>
      <w:r w:rsidRPr="00963047">
        <w:rPr>
          <w:rFonts w:ascii="Verdana" w:hAnsi="Verdana"/>
          <w:sz w:val="18"/>
          <w:szCs w:val="18"/>
        </w:rPr>
        <w:t xml:space="preserve"> die hiervoor dienen ten volle te benutten. De Raad riep de lidstaten en de Commissie op om de weerbaarheid tegen hybride activiteiten te beschermen, met name in de vorm van informatievervalsing en -ondermijning en pogingen om de democratie te ondermijnen. Tot slot benadrukte de Raad het belang van het beschermen van jongeren online, onder meer door het implementeren van de </w:t>
      </w:r>
      <w:r w:rsidRPr="00963047">
        <w:rPr>
          <w:rFonts w:ascii="Verdana" w:hAnsi="Verdana"/>
          <w:i/>
          <w:iCs/>
          <w:sz w:val="18"/>
          <w:szCs w:val="18"/>
        </w:rPr>
        <w:t>Digital Services Act</w:t>
      </w:r>
      <w:r w:rsidRPr="00963047">
        <w:rPr>
          <w:rFonts w:ascii="Verdana" w:hAnsi="Verdana"/>
          <w:sz w:val="18"/>
          <w:szCs w:val="18"/>
        </w:rPr>
        <w:t xml:space="preserve"> en de bijbehorende richtlijnen inzake de bescherming van minderjarigen; en het aanmerken van door kunstmatige intelligentie gegenereerde content en het verbieden van AI-systemen die het maken van non-consensuele intieme beelden (waaronder kinderpornografisch materiaal) mogelijk maken.</w:t>
      </w:r>
      <w:r w:rsidR="003C121C">
        <w:rPr>
          <w:rFonts w:ascii="Verdana" w:hAnsi="Verdana"/>
          <w:sz w:val="18"/>
          <w:szCs w:val="18"/>
        </w:rPr>
        <w:t xml:space="preserve"> Ook </w:t>
      </w:r>
      <w:r w:rsidR="00BA4EA5">
        <w:rPr>
          <w:rFonts w:ascii="Verdana" w:hAnsi="Verdana"/>
          <w:sz w:val="18"/>
          <w:szCs w:val="18"/>
        </w:rPr>
        <w:t>verwelkomt</w:t>
      </w:r>
      <w:r w:rsidR="003C121C">
        <w:rPr>
          <w:rFonts w:ascii="Verdana" w:hAnsi="Verdana"/>
          <w:sz w:val="18"/>
          <w:szCs w:val="18"/>
        </w:rPr>
        <w:t xml:space="preserve"> het kabinet </w:t>
      </w:r>
      <w:r w:rsidR="00BA4EA5">
        <w:rPr>
          <w:rFonts w:ascii="Verdana" w:hAnsi="Verdana"/>
          <w:sz w:val="18"/>
          <w:szCs w:val="18"/>
        </w:rPr>
        <w:t xml:space="preserve">dat de Europese Raad aandacht heeft gevraagd voor </w:t>
      </w:r>
      <w:r w:rsidRPr="00BD209D" w:rsidR="003C121C">
        <w:rPr>
          <w:rFonts w:ascii="Verdana" w:hAnsi="Verdana"/>
          <w:sz w:val="18"/>
          <w:szCs w:val="18"/>
        </w:rPr>
        <w:t>een digitale meerderjarigheidsleeftijd voor toegang tot sociale media, met respect voor nationale bevoegdheden</w:t>
      </w:r>
      <w:r w:rsidR="00BA4EA5">
        <w:rPr>
          <w:rFonts w:ascii="Verdana" w:hAnsi="Verdana"/>
          <w:sz w:val="18"/>
          <w:szCs w:val="18"/>
        </w:rPr>
        <w:t>.</w:t>
      </w:r>
    </w:p>
    <w:p w:rsidR="0023265A" w:rsidP="009735B3" w:rsidRDefault="0023265A" w14:paraId="4D7EB80C" w14:textId="77777777">
      <w:pPr>
        <w:spacing w:after="0"/>
        <w:rPr>
          <w:rFonts w:ascii="Verdana" w:hAnsi="Verdana"/>
          <w:i/>
          <w:sz w:val="18"/>
          <w:szCs w:val="18"/>
        </w:rPr>
      </w:pPr>
    </w:p>
    <w:p w:rsidRPr="0034797D" w:rsidR="001421E0" w:rsidP="001421E0" w:rsidRDefault="00E23103" w14:paraId="5B2F8FD5" w14:textId="5124563B">
      <w:pPr>
        <w:spacing w:after="0"/>
        <w:rPr>
          <w:rFonts w:ascii="Verdana" w:hAnsi="Verdana"/>
          <w:b/>
          <w:bCs/>
          <w:sz w:val="18"/>
          <w:szCs w:val="18"/>
        </w:rPr>
      </w:pPr>
      <w:r w:rsidRPr="0034797D">
        <w:rPr>
          <w:rFonts w:ascii="Verdana" w:hAnsi="Verdana"/>
          <w:b/>
          <w:bCs/>
          <w:sz w:val="18"/>
          <w:szCs w:val="18"/>
        </w:rPr>
        <w:t>Eurotop</w:t>
      </w:r>
    </w:p>
    <w:p w:rsidRPr="0034797D" w:rsidR="0034797D" w:rsidP="0034797D" w:rsidRDefault="0034797D" w14:paraId="0759384B" w14:textId="3C5B7FA8">
      <w:pPr>
        <w:rPr>
          <w:rFonts w:ascii="Verdana" w:hAnsi="Verdana"/>
          <w:sz w:val="18"/>
          <w:szCs w:val="18"/>
        </w:rPr>
      </w:pPr>
      <w:bookmarkStart w:name="_Hlk224766096" w:id="11"/>
      <w:r w:rsidRPr="0034797D">
        <w:rPr>
          <w:rFonts w:ascii="Verdana" w:hAnsi="Verdana"/>
          <w:sz w:val="18"/>
          <w:szCs w:val="18"/>
        </w:rPr>
        <w:t>Tijdens de Eurotop, de bijeenkomst van de regeringsleiders van de eurozone en marge van de ER, werd gesproken over de huidige economische en financiële situatie, ook in het kader van recente gebeurtenissen in het Midden-Oosten. De voorzitter van de Europese Commissie, de president van de Europese Centrale Bank en de voorzitter van de Eurogroep waren bij deze bespreking aanwezig. De aanwezigen constateerden dat de eurozone tot nu weerbaar is gebleken, door een relatief hoog niveau van consumentenuitgaven en investeringen door relatief gunstige financiële voorwaarden. Ook presteerde de arbeidsmarkt goed. Tegelijkertijd zijn er aanzienlijke onzekerheden die zwaar kunnen wegen op het vertrouwen en impact kunnen hebben op groei en inflatie, vooral door stijgende energieprijzen als gevolg van geopolitieke onrust. De president van de ECB en de voorzitter van de Europese Commissie onderstreepten dat eventuele steunmaatregelen door overheden om de negatieve gevolgen van de geopolitieke ontwikkelingen te dempen toegespitst, gericht en tijdelijk moeten zijn.</w:t>
      </w:r>
    </w:p>
    <w:p w:rsidR="0034797D" w:rsidP="00A50168" w:rsidRDefault="0034797D" w14:paraId="04D13DC9" w14:textId="77777777">
      <w:pPr>
        <w:spacing w:after="0"/>
        <w:contextualSpacing/>
        <w:rPr>
          <w:rFonts w:ascii="Verdana" w:hAnsi="Verdana"/>
          <w:sz w:val="18"/>
          <w:szCs w:val="18"/>
        </w:rPr>
      </w:pPr>
      <w:r w:rsidRPr="0034797D">
        <w:rPr>
          <w:rFonts w:ascii="Verdana" w:hAnsi="Verdana"/>
          <w:sz w:val="18"/>
          <w:szCs w:val="18"/>
        </w:rPr>
        <w:t>De voorzitter van de Eurogroep gaf een overzicht van het werk dat de Eurogroep heeft verricht en van de prioriteiten voor de komende tijd.</w:t>
      </w:r>
      <w:r w:rsidRPr="0034797D">
        <w:rPr>
          <w:rFonts w:ascii="Verdana" w:hAnsi="Verdana"/>
          <w:sz w:val="18"/>
          <w:szCs w:val="18"/>
          <w:vertAlign w:val="superscript"/>
        </w:rPr>
        <w:footnoteReference w:id="13"/>
      </w:r>
      <w:r w:rsidRPr="0034797D">
        <w:rPr>
          <w:rFonts w:ascii="Verdana" w:hAnsi="Verdana"/>
          <w:sz w:val="18"/>
          <w:szCs w:val="18"/>
        </w:rPr>
        <w:t xml:space="preserve"> Hij gaf aan dat de Eurogroep zich onder andere richt op mondiale onevenwichtigheden, de ontwikkelingen en risico’s voor de macro</w:t>
      </w:r>
      <w:r w:rsidRPr="0034797D">
        <w:rPr>
          <w:rFonts w:ascii="Verdana" w:hAnsi="Verdana"/>
          <w:sz w:val="18"/>
          <w:szCs w:val="18"/>
        </w:rPr>
        <w:noBreakHyphen/>
        <w:t xml:space="preserve">financiële stabiliteit en het belang van effectieve coördinatie van het economisch beleid en het begrotingsbeleid. De regeringsleiders brachten na afloop van de Eurotop een gezamenlijke verklaring uit. Daarin onderstreepten zij het belang van verdere voortgang op de Spaar- en Investeringsunie voor diepere en meer geïntegreerde Europese kapitaalmarkten. Tevens werd het werk van de Commissie voor het versterken van de internationale rol van de euro verwelkomd. Daarnaast riepen regeringsleiders op tot het spoedig afronden van het wetgevingsproces rond de digitale euro. Tot slot spraken regeringsleiders steun uit voor het bespreken van kansen en risico’s in de ontwikkelingen van </w:t>
      </w:r>
      <w:r w:rsidRPr="0034797D">
        <w:rPr>
          <w:rFonts w:ascii="Verdana" w:hAnsi="Verdana"/>
          <w:i/>
          <w:iCs/>
          <w:sz w:val="18"/>
          <w:szCs w:val="18"/>
        </w:rPr>
        <w:t>digital finance</w:t>
      </w:r>
      <w:r w:rsidRPr="0034797D">
        <w:rPr>
          <w:rFonts w:ascii="Verdana" w:hAnsi="Verdana"/>
          <w:sz w:val="18"/>
          <w:szCs w:val="18"/>
        </w:rPr>
        <w:t xml:space="preserve"> in de Eurogroep, waaronder het weerbaar maken van Europese betaalsystemen. </w:t>
      </w:r>
      <w:bookmarkEnd w:id="11"/>
    </w:p>
    <w:p w:rsidRPr="0034797D" w:rsidR="00A50168" w:rsidP="00A50168" w:rsidRDefault="00A50168" w14:paraId="697E4B4C" w14:textId="77777777">
      <w:pPr>
        <w:spacing w:after="0"/>
        <w:contextualSpacing/>
        <w:rPr>
          <w:rFonts w:ascii="Verdana" w:hAnsi="Verdana"/>
          <w:sz w:val="18"/>
          <w:szCs w:val="18"/>
        </w:rPr>
      </w:pPr>
    </w:p>
    <w:p w:rsidRPr="008F274A" w:rsidR="008F274A" w:rsidP="00A50168" w:rsidRDefault="008F274A" w14:paraId="3F1DBA44" w14:textId="5A43877D">
      <w:pPr>
        <w:spacing w:after="0"/>
        <w:contextualSpacing/>
        <w:rPr>
          <w:rFonts w:ascii="Verdana" w:hAnsi="Verdana"/>
          <w:b/>
          <w:bCs/>
          <w:sz w:val="18"/>
          <w:szCs w:val="18"/>
        </w:rPr>
      </w:pPr>
      <w:r w:rsidRPr="008F274A">
        <w:rPr>
          <w:rFonts w:ascii="Verdana" w:hAnsi="Verdana"/>
          <w:b/>
          <w:bCs/>
          <w:sz w:val="18"/>
          <w:szCs w:val="18"/>
        </w:rPr>
        <w:t xml:space="preserve">Overig: verplaatsing </w:t>
      </w:r>
      <w:r w:rsidR="0062333D">
        <w:rPr>
          <w:rFonts w:ascii="Verdana" w:hAnsi="Verdana"/>
          <w:b/>
          <w:bCs/>
          <w:sz w:val="18"/>
          <w:szCs w:val="18"/>
        </w:rPr>
        <w:t xml:space="preserve">missiepersoneel </w:t>
      </w:r>
      <w:r w:rsidRPr="008F274A">
        <w:rPr>
          <w:rFonts w:ascii="Verdana" w:hAnsi="Verdana"/>
          <w:b/>
          <w:bCs/>
          <w:sz w:val="18"/>
          <w:szCs w:val="18"/>
        </w:rPr>
        <w:t>NAVO-missie in Irak (NMI)</w:t>
      </w:r>
    </w:p>
    <w:p w:rsidRPr="008F274A" w:rsidR="008F274A" w:rsidP="00A50168" w:rsidRDefault="008F274A" w14:paraId="4ED37C57" w14:textId="0B77D72C">
      <w:pPr>
        <w:spacing w:after="0"/>
        <w:contextualSpacing/>
        <w:rPr>
          <w:rFonts w:ascii="Verdana" w:hAnsi="Verdana"/>
          <w:sz w:val="18"/>
          <w:szCs w:val="18"/>
        </w:rPr>
      </w:pPr>
      <w:r w:rsidRPr="008F274A">
        <w:rPr>
          <w:rFonts w:ascii="Verdana" w:hAnsi="Verdana"/>
          <w:sz w:val="18"/>
          <w:szCs w:val="18"/>
        </w:rPr>
        <w:t xml:space="preserve">Naar aanleiding van het voortdurende conflict in het Midden-Oosten en de als gevolg daarvan zorgelijke situatie in Irak, heeft de </w:t>
      </w:r>
      <w:proofErr w:type="spellStart"/>
      <w:r w:rsidRPr="008F274A">
        <w:rPr>
          <w:rFonts w:ascii="Verdana" w:hAnsi="Verdana"/>
          <w:i/>
          <w:iCs/>
          <w:sz w:val="18"/>
          <w:szCs w:val="18"/>
        </w:rPr>
        <w:t>Supreme</w:t>
      </w:r>
      <w:proofErr w:type="spellEnd"/>
      <w:r w:rsidRPr="008F274A">
        <w:rPr>
          <w:rFonts w:ascii="Verdana" w:hAnsi="Verdana"/>
          <w:i/>
          <w:iCs/>
          <w:sz w:val="18"/>
          <w:szCs w:val="18"/>
        </w:rPr>
        <w:t xml:space="preserve"> </w:t>
      </w:r>
      <w:proofErr w:type="spellStart"/>
      <w:r w:rsidRPr="008F274A">
        <w:rPr>
          <w:rFonts w:ascii="Verdana" w:hAnsi="Verdana"/>
          <w:i/>
          <w:iCs/>
          <w:sz w:val="18"/>
          <w:szCs w:val="18"/>
        </w:rPr>
        <w:t>Allied</w:t>
      </w:r>
      <w:proofErr w:type="spellEnd"/>
      <w:r w:rsidRPr="008F274A">
        <w:rPr>
          <w:rFonts w:ascii="Verdana" w:hAnsi="Verdana"/>
          <w:i/>
          <w:iCs/>
          <w:sz w:val="18"/>
          <w:szCs w:val="18"/>
        </w:rPr>
        <w:t xml:space="preserve"> Commander Europe</w:t>
      </w:r>
      <w:r w:rsidRPr="008F274A">
        <w:rPr>
          <w:rFonts w:ascii="Verdana" w:hAnsi="Verdana"/>
          <w:sz w:val="18"/>
          <w:szCs w:val="18"/>
        </w:rPr>
        <w:t xml:space="preserve"> (SACEUR) van de NAVO op 13 maart jl. besloten de NAVO-missie in Irak (NMI) te pauzeren en over te gaan tot een ‘</w:t>
      </w:r>
      <w:r w:rsidRPr="008F274A">
        <w:rPr>
          <w:rFonts w:ascii="Verdana" w:hAnsi="Verdana"/>
          <w:i/>
          <w:iCs/>
          <w:sz w:val="18"/>
          <w:szCs w:val="18"/>
        </w:rPr>
        <w:t>non-</w:t>
      </w:r>
      <w:proofErr w:type="spellStart"/>
      <w:r w:rsidRPr="008F274A">
        <w:rPr>
          <w:rFonts w:ascii="Verdana" w:hAnsi="Verdana"/>
          <w:i/>
          <w:iCs/>
          <w:sz w:val="18"/>
          <w:szCs w:val="18"/>
        </w:rPr>
        <w:t>emergency</w:t>
      </w:r>
      <w:proofErr w:type="spellEnd"/>
      <w:r w:rsidRPr="008F274A">
        <w:rPr>
          <w:rFonts w:ascii="Verdana" w:hAnsi="Verdana"/>
          <w:i/>
          <w:iCs/>
          <w:sz w:val="18"/>
          <w:szCs w:val="18"/>
        </w:rPr>
        <w:t xml:space="preserve"> </w:t>
      </w:r>
      <w:proofErr w:type="spellStart"/>
      <w:r w:rsidRPr="008F274A">
        <w:rPr>
          <w:rFonts w:ascii="Verdana" w:hAnsi="Verdana"/>
          <w:i/>
          <w:iCs/>
          <w:sz w:val="18"/>
          <w:szCs w:val="18"/>
        </w:rPr>
        <w:t>departure</w:t>
      </w:r>
      <w:proofErr w:type="spellEnd"/>
      <w:r w:rsidRPr="008F274A">
        <w:rPr>
          <w:rFonts w:ascii="Verdana" w:hAnsi="Verdana"/>
          <w:sz w:val="18"/>
          <w:szCs w:val="18"/>
        </w:rPr>
        <w:t xml:space="preserve">’ van alle missieleden. Dit betreft ook de Nederlandse militairen en Nederlandse civiele experts in de missie. Het kabinet acht deze maatregel noodzakelijk, omdat de missieleden hun werkzaamheden niet langer </w:t>
      </w:r>
      <w:r w:rsidR="00EA2515">
        <w:rPr>
          <w:rFonts w:ascii="Verdana" w:hAnsi="Verdana"/>
          <w:sz w:val="18"/>
          <w:szCs w:val="18"/>
        </w:rPr>
        <w:t xml:space="preserve">effectief en </w:t>
      </w:r>
      <w:r w:rsidRPr="008F274A">
        <w:rPr>
          <w:rFonts w:ascii="Verdana" w:hAnsi="Verdana"/>
          <w:sz w:val="18"/>
          <w:szCs w:val="18"/>
        </w:rPr>
        <w:t xml:space="preserve">veilig kunnen uitvoeren. De veiligheid van het Nederlandse militaire en civiele personeel heeft voor het kabinet voortdurende aandacht en prioriteit. </w:t>
      </w:r>
      <w:r w:rsidR="00EA2515">
        <w:rPr>
          <w:rFonts w:ascii="Verdana" w:hAnsi="Verdana"/>
          <w:sz w:val="18"/>
          <w:szCs w:val="18"/>
        </w:rPr>
        <w:t>O</w:t>
      </w:r>
      <w:r w:rsidRPr="008F274A">
        <w:rPr>
          <w:rFonts w:ascii="Verdana" w:hAnsi="Verdana"/>
          <w:sz w:val="18"/>
          <w:szCs w:val="18"/>
        </w:rPr>
        <w:t xml:space="preserve">p uitdrukkelijk verzoek van de NAVO, informeert het kabinet uw Kamer </w:t>
      </w:r>
      <w:r w:rsidR="00313D69">
        <w:rPr>
          <w:rFonts w:ascii="Verdana" w:hAnsi="Verdana"/>
          <w:sz w:val="18"/>
          <w:szCs w:val="18"/>
        </w:rPr>
        <w:t xml:space="preserve">via dit verslag </w:t>
      </w:r>
      <w:r w:rsidRPr="008F274A">
        <w:rPr>
          <w:rFonts w:ascii="Verdana" w:hAnsi="Verdana"/>
          <w:sz w:val="18"/>
          <w:szCs w:val="18"/>
        </w:rPr>
        <w:t xml:space="preserve">achteraf over het vertrek van de Nederlandse missieleden. De NAVO geeft aan dat de missie voorlopig in afgeslankte vorm doorgaat met aansturing vanuit het </w:t>
      </w:r>
      <w:r w:rsidRPr="008F274A">
        <w:rPr>
          <w:rFonts w:ascii="Verdana" w:hAnsi="Verdana"/>
          <w:i/>
          <w:iCs/>
          <w:sz w:val="18"/>
          <w:szCs w:val="18"/>
        </w:rPr>
        <w:t>Joint Force Command</w:t>
      </w:r>
      <w:r w:rsidRPr="008F274A">
        <w:rPr>
          <w:rFonts w:ascii="Verdana" w:hAnsi="Verdana"/>
          <w:sz w:val="18"/>
          <w:szCs w:val="18"/>
        </w:rPr>
        <w:t xml:space="preserve"> in Napels. De komende periode wordt bezien hoe Nederland zal blijven bijdragen aan NMI.</w:t>
      </w:r>
    </w:p>
    <w:p w:rsidRPr="00F461B3" w:rsidR="003D466E" w:rsidP="009735B3" w:rsidRDefault="003D466E" w14:paraId="7DC1A6AE" w14:textId="77777777">
      <w:pPr>
        <w:spacing w:after="0"/>
        <w:rPr>
          <w:rFonts w:ascii="Verdana" w:hAnsi="Verdana"/>
          <w:sz w:val="18"/>
          <w:szCs w:val="18"/>
        </w:rPr>
      </w:pPr>
    </w:p>
    <w:sectPr w:rsidRPr="00F461B3" w:rsidR="003D466E" w:rsidSect="004F2F54">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B89F0" w14:textId="77777777" w:rsidR="003834E3" w:rsidRDefault="003834E3" w:rsidP="00671575">
      <w:pPr>
        <w:spacing w:after="0" w:line="240" w:lineRule="auto"/>
      </w:pPr>
      <w:r>
        <w:separator/>
      </w:r>
    </w:p>
  </w:endnote>
  <w:endnote w:type="continuationSeparator" w:id="0">
    <w:p w14:paraId="2AE5A901" w14:textId="77777777" w:rsidR="003834E3" w:rsidRDefault="003834E3" w:rsidP="00671575">
      <w:pPr>
        <w:spacing w:after="0" w:line="240" w:lineRule="auto"/>
      </w:pPr>
      <w:r>
        <w:continuationSeparator/>
      </w:r>
    </w:p>
  </w:endnote>
  <w:endnote w:type="continuationNotice" w:id="1">
    <w:p w14:paraId="2CB9B209" w14:textId="77777777" w:rsidR="003834E3" w:rsidRDefault="003834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85F26" w14:textId="77777777" w:rsidR="00A17128" w:rsidRDefault="00A171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8802907"/>
      <w:docPartObj>
        <w:docPartGallery w:val="Page Numbers (Bottom of Page)"/>
        <w:docPartUnique/>
      </w:docPartObj>
    </w:sdtPr>
    <w:sdtEndPr/>
    <w:sdtContent>
      <w:p w14:paraId="3324A415" w14:textId="1E631086" w:rsidR="00A17128" w:rsidRDefault="00A17128">
        <w:pPr>
          <w:pStyle w:val="Footer"/>
          <w:jc w:val="center"/>
        </w:pPr>
        <w:r>
          <w:fldChar w:fldCharType="begin"/>
        </w:r>
        <w:r>
          <w:instrText>PAGE   \* MERGEFORMAT</w:instrText>
        </w:r>
        <w:r>
          <w:fldChar w:fldCharType="separate"/>
        </w:r>
        <w:r>
          <w:t>2</w:t>
        </w:r>
        <w:r>
          <w:fldChar w:fldCharType="end"/>
        </w:r>
      </w:p>
    </w:sdtContent>
  </w:sdt>
  <w:p w14:paraId="4970093E" w14:textId="77777777" w:rsidR="00A17128" w:rsidRDefault="00A171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6947B" w14:textId="77777777" w:rsidR="00A17128" w:rsidRDefault="00A171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1F408" w14:textId="77777777" w:rsidR="003834E3" w:rsidRDefault="003834E3" w:rsidP="00671575">
      <w:pPr>
        <w:spacing w:after="0" w:line="240" w:lineRule="auto"/>
      </w:pPr>
      <w:r>
        <w:separator/>
      </w:r>
    </w:p>
  </w:footnote>
  <w:footnote w:type="continuationSeparator" w:id="0">
    <w:p w14:paraId="7B7374B6" w14:textId="77777777" w:rsidR="003834E3" w:rsidRDefault="003834E3" w:rsidP="00671575">
      <w:pPr>
        <w:spacing w:after="0" w:line="240" w:lineRule="auto"/>
      </w:pPr>
      <w:r>
        <w:continuationSeparator/>
      </w:r>
    </w:p>
  </w:footnote>
  <w:footnote w:type="continuationNotice" w:id="1">
    <w:p w14:paraId="2B3A4896" w14:textId="77777777" w:rsidR="003834E3" w:rsidRDefault="003834E3">
      <w:pPr>
        <w:spacing w:after="0" w:line="240" w:lineRule="auto"/>
      </w:pPr>
    </w:p>
  </w:footnote>
  <w:footnote w:id="2">
    <w:p w14:paraId="6204FF51" w14:textId="52818F2E" w:rsidR="009D7909" w:rsidRPr="009817D6" w:rsidRDefault="009D7909">
      <w:pPr>
        <w:pStyle w:val="FootnoteText"/>
        <w:rPr>
          <w:rFonts w:ascii="Verdana" w:hAnsi="Verdana"/>
          <w:sz w:val="16"/>
          <w:szCs w:val="16"/>
        </w:rPr>
      </w:pPr>
      <w:r w:rsidRPr="009817D6">
        <w:rPr>
          <w:rStyle w:val="FootnoteReference"/>
          <w:rFonts w:ascii="Verdana" w:hAnsi="Verdana"/>
          <w:sz w:val="16"/>
          <w:szCs w:val="16"/>
        </w:rPr>
        <w:footnoteRef/>
      </w:r>
      <w:r w:rsidRPr="009817D6">
        <w:rPr>
          <w:rFonts w:ascii="Verdana" w:hAnsi="Verdana"/>
          <w:sz w:val="16"/>
          <w:szCs w:val="16"/>
        </w:rPr>
        <w:t xml:space="preserve"> </w:t>
      </w:r>
      <w:r w:rsidR="001D5DB1">
        <w:rPr>
          <w:rFonts w:ascii="Verdana" w:hAnsi="Verdana"/>
          <w:sz w:val="16"/>
          <w:szCs w:val="16"/>
        </w:rPr>
        <w:t xml:space="preserve">Kamerstuk </w:t>
      </w:r>
      <w:r w:rsidR="001D5DB1" w:rsidRPr="001D5DB1">
        <w:rPr>
          <w:rFonts w:ascii="Verdana" w:hAnsi="Verdana"/>
          <w:sz w:val="16"/>
          <w:szCs w:val="16"/>
        </w:rPr>
        <w:t>21501-02</w:t>
      </w:r>
      <w:r w:rsidR="001D5DB1">
        <w:rPr>
          <w:rFonts w:ascii="Verdana" w:hAnsi="Verdana"/>
          <w:sz w:val="16"/>
          <w:szCs w:val="16"/>
        </w:rPr>
        <w:t xml:space="preserve">, nr. </w:t>
      </w:r>
      <w:r w:rsidR="001D5DB1" w:rsidRPr="001D5DB1">
        <w:rPr>
          <w:rFonts w:ascii="Verdana" w:hAnsi="Verdana"/>
          <w:sz w:val="16"/>
          <w:szCs w:val="16"/>
        </w:rPr>
        <w:t>3366</w:t>
      </w:r>
    </w:p>
  </w:footnote>
  <w:footnote w:id="3">
    <w:p w14:paraId="5E3CA2B0" w14:textId="019DB176" w:rsidR="00A313FB" w:rsidRPr="00A313FB" w:rsidRDefault="00A313FB">
      <w:pPr>
        <w:pStyle w:val="FootnoteText"/>
        <w:rPr>
          <w:rFonts w:ascii="Verdana" w:hAnsi="Verdana"/>
        </w:rPr>
      </w:pPr>
      <w:r w:rsidRPr="00A313FB">
        <w:rPr>
          <w:rStyle w:val="FootnoteReference"/>
          <w:rFonts w:ascii="Verdana" w:hAnsi="Verdana"/>
          <w:sz w:val="16"/>
          <w:szCs w:val="16"/>
        </w:rPr>
        <w:footnoteRef/>
      </w:r>
      <w:r w:rsidRPr="00A313FB">
        <w:rPr>
          <w:rFonts w:ascii="Verdana" w:hAnsi="Verdana"/>
          <w:sz w:val="16"/>
          <w:szCs w:val="16"/>
        </w:rPr>
        <w:t xml:space="preserve"> Kamerstuk</w:t>
      </w:r>
      <w:r>
        <w:rPr>
          <w:rFonts w:ascii="Verdana" w:hAnsi="Verdana"/>
          <w:sz w:val="16"/>
          <w:szCs w:val="16"/>
        </w:rPr>
        <w:t xml:space="preserve"> </w:t>
      </w:r>
      <w:r w:rsidRPr="00A313FB">
        <w:rPr>
          <w:rFonts w:ascii="Verdana" w:hAnsi="Verdana"/>
          <w:sz w:val="16"/>
          <w:szCs w:val="16"/>
        </w:rPr>
        <w:t>23</w:t>
      </w:r>
      <w:r>
        <w:rPr>
          <w:rFonts w:ascii="Verdana" w:hAnsi="Verdana"/>
          <w:sz w:val="16"/>
          <w:szCs w:val="16"/>
        </w:rPr>
        <w:t xml:space="preserve"> </w:t>
      </w:r>
      <w:r w:rsidRPr="00A313FB">
        <w:rPr>
          <w:rFonts w:ascii="Verdana" w:hAnsi="Verdana"/>
          <w:sz w:val="16"/>
          <w:szCs w:val="16"/>
        </w:rPr>
        <w:t>432</w:t>
      </w:r>
      <w:r>
        <w:rPr>
          <w:rFonts w:ascii="Verdana" w:hAnsi="Verdana"/>
          <w:sz w:val="16"/>
          <w:szCs w:val="16"/>
        </w:rPr>
        <w:t xml:space="preserve">, nr. </w:t>
      </w:r>
      <w:r w:rsidRPr="00A313FB">
        <w:rPr>
          <w:rFonts w:ascii="Verdana" w:hAnsi="Verdana"/>
          <w:sz w:val="16"/>
          <w:szCs w:val="16"/>
        </w:rPr>
        <w:t>669</w:t>
      </w:r>
    </w:p>
  </w:footnote>
  <w:footnote w:id="4">
    <w:p w14:paraId="1A088061" w14:textId="06EFF89D" w:rsidR="00925CEB" w:rsidRPr="00F461B3" w:rsidRDefault="00925CEB">
      <w:pPr>
        <w:pStyle w:val="FootnoteText"/>
        <w:rPr>
          <w:rFonts w:ascii="Verdana" w:hAnsi="Verdana"/>
          <w:sz w:val="16"/>
          <w:szCs w:val="16"/>
        </w:rPr>
      </w:pPr>
      <w:r w:rsidRPr="00F461B3">
        <w:rPr>
          <w:rStyle w:val="FootnoteReference"/>
          <w:rFonts w:ascii="Verdana" w:hAnsi="Verdana"/>
          <w:sz w:val="16"/>
          <w:szCs w:val="16"/>
        </w:rPr>
        <w:footnoteRef/>
      </w:r>
      <w:r w:rsidRPr="00F461B3">
        <w:rPr>
          <w:rFonts w:ascii="Verdana" w:hAnsi="Verdana"/>
          <w:sz w:val="16"/>
          <w:szCs w:val="16"/>
        </w:rPr>
        <w:t xml:space="preserve"> Conform </w:t>
      </w:r>
      <w:r w:rsidRPr="00F461B3">
        <w:rPr>
          <w:rFonts w:ascii="Verdana" w:hAnsi="Verdana" w:cs="Times New Roman"/>
          <w:sz w:val="16"/>
          <w:szCs w:val="16"/>
        </w:rPr>
        <w:t>Motie Dobbe,</w:t>
      </w:r>
      <w:r w:rsidR="00963047">
        <w:rPr>
          <w:rFonts w:ascii="Verdana" w:hAnsi="Verdana" w:cs="Times New Roman"/>
          <w:sz w:val="16"/>
          <w:szCs w:val="16"/>
        </w:rPr>
        <w:t xml:space="preserve"> </w:t>
      </w:r>
      <w:r w:rsidR="000D005B">
        <w:rPr>
          <w:rFonts w:ascii="Verdana" w:hAnsi="Verdana" w:cs="Times New Roman"/>
          <w:sz w:val="16"/>
          <w:szCs w:val="16"/>
        </w:rPr>
        <w:t>K</w:t>
      </w:r>
      <w:r w:rsidR="00963047">
        <w:rPr>
          <w:rFonts w:ascii="Verdana" w:hAnsi="Verdana" w:cs="Times New Roman"/>
          <w:sz w:val="16"/>
          <w:szCs w:val="16"/>
        </w:rPr>
        <w:t>amerstuk</w:t>
      </w:r>
      <w:r w:rsidRPr="00F461B3">
        <w:rPr>
          <w:rFonts w:ascii="Verdana" w:hAnsi="Verdana" w:cs="Times New Roman"/>
          <w:sz w:val="16"/>
          <w:szCs w:val="16"/>
        </w:rPr>
        <w:t xml:space="preserve"> 23 432, nr. 640 en Motie Dassen/Dobbe</w:t>
      </w:r>
      <w:r w:rsidR="00963047">
        <w:rPr>
          <w:rFonts w:ascii="Verdana" w:hAnsi="Verdana" w:cs="Times New Roman"/>
          <w:sz w:val="16"/>
          <w:szCs w:val="16"/>
        </w:rPr>
        <w:t xml:space="preserve">, </w:t>
      </w:r>
      <w:r w:rsidR="000D005B">
        <w:rPr>
          <w:rFonts w:ascii="Verdana" w:hAnsi="Verdana" w:cs="Times New Roman"/>
          <w:sz w:val="16"/>
          <w:szCs w:val="16"/>
        </w:rPr>
        <w:t>K</w:t>
      </w:r>
      <w:r w:rsidR="00963047">
        <w:rPr>
          <w:rFonts w:ascii="Verdana" w:hAnsi="Verdana" w:cs="Times New Roman"/>
          <w:sz w:val="16"/>
          <w:szCs w:val="16"/>
        </w:rPr>
        <w:t>amerstuk</w:t>
      </w:r>
      <w:r w:rsidRPr="00F461B3">
        <w:rPr>
          <w:rFonts w:ascii="Verdana" w:hAnsi="Verdana" w:cs="Times New Roman"/>
          <w:sz w:val="16"/>
          <w:szCs w:val="16"/>
        </w:rPr>
        <w:t xml:space="preserve"> 23 432, nr.</w:t>
      </w:r>
      <w:r w:rsidR="009817D6" w:rsidRPr="00F461B3">
        <w:rPr>
          <w:rFonts w:ascii="Verdana" w:hAnsi="Verdana" w:cs="Times New Roman"/>
          <w:sz w:val="16"/>
          <w:szCs w:val="16"/>
        </w:rPr>
        <w:t xml:space="preserve"> </w:t>
      </w:r>
      <w:r w:rsidRPr="00F461B3">
        <w:rPr>
          <w:rFonts w:ascii="Verdana" w:hAnsi="Verdana" w:cs="Times New Roman"/>
          <w:sz w:val="16"/>
          <w:szCs w:val="16"/>
        </w:rPr>
        <w:t>648</w:t>
      </w:r>
    </w:p>
  </w:footnote>
  <w:footnote w:id="5">
    <w:p w14:paraId="4DE33F84" w14:textId="7D5E7223" w:rsidR="00EE63D6" w:rsidRPr="00F461B3" w:rsidRDefault="00EE63D6" w:rsidP="00EE63D6">
      <w:pPr>
        <w:pStyle w:val="FootnoteText"/>
        <w:rPr>
          <w:rFonts w:ascii="Verdana" w:hAnsi="Verdana"/>
          <w:sz w:val="16"/>
          <w:szCs w:val="16"/>
        </w:rPr>
      </w:pPr>
      <w:r w:rsidRPr="00F461B3">
        <w:rPr>
          <w:rStyle w:val="FootnoteReference"/>
          <w:rFonts w:ascii="Verdana" w:hAnsi="Verdana"/>
          <w:sz w:val="16"/>
          <w:szCs w:val="16"/>
        </w:rPr>
        <w:footnoteRef/>
      </w:r>
      <w:r w:rsidRPr="00F461B3">
        <w:rPr>
          <w:rFonts w:ascii="Verdana" w:hAnsi="Verdana"/>
          <w:sz w:val="16"/>
          <w:szCs w:val="16"/>
        </w:rPr>
        <w:t xml:space="preserve"> </w:t>
      </w:r>
      <w:r>
        <w:rPr>
          <w:rFonts w:ascii="Verdana" w:hAnsi="Verdana"/>
          <w:sz w:val="16"/>
          <w:szCs w:val="16"/>
        </w:rPr>
        <w:t>M</w:t>
      </w:r>
      <w:r w:rsidRPr="00F461B3">
        <w:rPr>
          <w:rFonts w:ascii="Verdana" w:hAnsi="Verdana"/>
          <w:sz w:val="16"/>
          <w:szCs w:val="16"/>
        </w:rPr>
        <w:t>otie Van Baarle,</w:t>
      </w:r>
      <w:r>
        <w:rPr>
          <w:rFonts w:ascii="Verdana" w:hAnsi="Verdana"/>
          <w:sz w:val="16"/>
          <w:szCs w:val="16"/>
        </w:rPr>
        <w:t xml:space="preserve"> </w:t>
      </w:r>
      <w:r w:rsidR="000D005B">
        <w:rPr>
          <w:rFonts w:ascii="Verdana" w:hAnsi="Verdana"/>
          <w:sz w:val="16"/>
          <w:szCs w:val="16"/>
        </w:rPr>
        <w:t>K</w:t>
      </w:r>
      <w:r>
        <w:rPr>
          <w:rFonts w:ascii="Verdana" w:hAnsi="Verdana"/>
          <w:sz w:val="16"/>
          <w:szCs w:val="16"/>
        </w:rPr>
        <w:t>amerstuk</w:t>
      </w:r>
      <w:r w:rsidRPr="00F461B3">
        <w:rPr>
          <w:rFonts w:ascii="Verdana" w:hAnsi="Verdana"/>
          <w:sz w:val="16"/>
          <w:szCs w:val="16"/>
        </w:rPr>
        <w:t xml:space="preserve"> 23 432, nr. 637</w:t>
      </w:r>
    </w:p>
  </w:footnote>
  <w:footnote w:id="6">
    <w:p w14:paraId="30C31B53" w14:textId="5BE621AC" w:rsidR="005F10CF" w:rsidRPr="005F10CF" w:rsidRDefault="005F10CF">
      <w:pPr>
        <w:pStyle w:val="FootnoteText"/>
      </w:pPr>
      <w:r w:rsidRPr="00F461B3">
        <w:rPr>
          <w:rStyle w:val="FootnoteReference"/>
          <w:rFonts w:ascii="Verdana" w:hAnsi="Verdana"/>
          <w:sz w:val="16"/>
          <w:szCs w:val="16"/>
        </w:rPr>
        <w:footnoteRef/>
      </w:r>
      <w:r w:rsidRPr="00F461B3">
        <w:rPr>
          <w:rFonts w:ascii="Verdana" w:hAnsi="Verdana"/>
          <w:sz w:val="16"/>
          <w:szCs w:val="16"/>
        </w:rPr>
        <w:t xml:space="preserve"> Motie Dassen</w:t>
      </w:r>
      <w:r w:rsidR="00963047">
        <w:rPr>
          <w:rFonts w:ascii="Verdana" w:hAnsi="Verdana"/>
          <w:sz w:val="16"/>
          <w:szCs w:val="16"/>
        </w:rPr>
        <w:t xml:space="preserve">, </w:t>
      </w:r>
      <w:r w:rsidR="000D005B">
        <w:rPr>
          <w:rFonts w:ascii="Verdana" w:hAnsi="Verdana"/>
          <w:sz w:val="16"/>
          <w:szCs w:val="16"/>
        </w:rPr>
        <w:t>K</w:t>
      </w:r>
      <w:r w:rsidR="00963047">
        <w:rPr>
          <w:rFonts w:ascii="Verdana" w:hAnsi="Verdana"/>
          <w:sz w:val="16"/>
          <w:szCs w:val="16"/>
        </w:rPr>
        <w:t>amerstuk</w:t>
      </w:r>
      <w:r w:rsidRPr="00F461B3">
        <w:rPr>
          <w:rFonts w:ascii="Verdana" w:hAnsi="Verdana"/>
          <w:sz w:val="16"/>
          <w:szCs w:val="16"/>
        </w:rPr>
        <w:t xml:space="preserve"> 23 432</w:t>
      </w:r>
      <w:r w:rsidR="004503B0">
        <w:rPr>
          <w:rFonts w:ascii="Verdana" w:hAnsi="Verdana"/>
          <w:sz w:val="16"/>
          <w:szCs w:val="16"/>
        </w:rPr>
        <w:t>,</w:t>
      </w:r>
      <w:r w:rsidRPr="00F461B3">
        <w:rPr>
          <w:rFonts w:ascii="Verdana" w:hAnsi="Verdana"/>
          <w:sz w:val="16"/>
          <w:szCs w:val="16"/>
        </w:rPr>
        <w:t xml:space="preserve"> nr</w:t>
      </w:r>
      <w:r w:rsidR="004503B0">
        <w:rPr>
          <w:rFonts w:ascii="Verdana" w:hAnsi="Verdana"/>
          <w:sz w:val="16"/>
          <w:szCs w:val="16"/>
        </w:rPr>
        <w:t>.</w:t>
      </w:r>
      <w:r w:rsidRPr="00F461B3">
        <w:rPr>
          <w:rFonts w:ascii="Verdana" w:hAnsi="Verdana"/>
          <w:sz w:val="16"/>
          <w:szCs w:val="16"/>
        </w:rPr>
        <w:t xml:space="preserve"> 647</w:t>
      </w:r>
    </w:p>
  </w:footnote>
  <w:footnote w:id="7">
    <w:p w14:paraId="5A39BC3F" w14:textId="60787020" w:rsidR="00781BCD" w:rsidRPr="007B1FE6" w:rsidRDefault="00781BCD" w:rsidP="00781BCD">
      <w:pPr>
        <w:pStyle w:val="FootnoteText"/>
        <w:rPr>
          <w:rFonts w:ascii="Verdana" w:hAnsi="Verdana"/>
          <w:sz w:val="16"/>
          <w:szCs w:val="16"/>
        </w:rPr>
      </w:pPr>
      <w:r w:rsidRPr="007B1FE6">
        <w:rPr>
          <w:rStyle w:val="FootnoteReference"/>
          <w:rFonts w:ascii="Verdana" w:hAnsi="Verdana"/>
          <w:sz w:val="16"/>
          <w:szCs w:val="16"/>
        </w:rPr>
        <w:footnoteRef/>
      </w:r>
      <w:r w:rsidRPr="007B1FE6">
        <w:rPr>
          <w:rFonts w:ascii="Verdana" w:hAnsi="Verdana"/>
          <w:sz w:val="16"/>
          <w:szCs w:val="16"/>
        </w:rPr>
        <w:t xml:space="preserve"> </w:t>
      </w:r>
      <w:r w:rsidR="004503B0">
        <w:rPr>
          <w:rFonts w:ascii="Verdana" w:hAnsi="Verdana"/>
          <w:sz w:val="16"/>
          <w:szCs w:val="16"/>
        </w:rPr>
        <w:t>Motie Piri</w:t>
      </w:r>
      <w:r w:rsidR="00963047">
        <w:rPr>
          <w:rFonts w:ascii="Verdana" w:hAnsi="Verdana"/>
          <w:sz w:val="16"/>
          <w:szCs w:val="16"/>
        </w:rPr>
        <w:t xml:space="preserve">, </w:t>
      </w:r>
      <w:r w:rsidR="000D005B">
        <w:rPr>
          <w:rFonts w:ascii="Verdana" w:hAnsi="Verdana"/>
          <w:sz w:val="16"/>
          <w:szCs w:val="16"/>
        </w:rPr>
        <w:t>K</w:t>
      </w:r>
      <w:r w:rsidR="00963047">
        <w:rPr>
          <w:rFonts w:ascii="Verdana" w:hAnsi="Verdana"/>
          <w:sz w:val="16"/>
          <w:szCs w:val="16"/>
        </w:rPr>
        <w:t>amerstuk</w:t>
      </w:r>
      <w:r w:rsidR="004503B0">
        <w:rPr>
          <w:rFonts w:ascii="Verdana" w:hAnsi="Verdana"/>
          <w:sz w:val="16"/>
          <w:szCs w:val="16"/>
        </w:rPr>
        <w:t xml:space="preserve"> 32 623, nr. 369</w:t>
      </w:r>
    </w:p>
  </w:footnote>
  <w:footnote w:id="8">
    <w:p w14:paraId="73F7B4EB" w14:textId="4A874DE8" w:rsidR="00781BCD" w:rsidRPr="00B36C12" w:rsidRDefault="00781BCD" w:rsidP="00781BCD">
      <w:pPr>
        <w:pStyle w:val="FootnoteText"/>
      </w:pPr>
      <w:r w:rsidRPr="007B1FE6">
        <w:rPr>
          <w:rStyle w:val="FootnoteReference"/>
          <w:rFonts w:ascii="Verdana" w:hAnsi="Verdana"/>
          <w:sz w:val="16"/>
          <w:szCs w:val="16"/>
        </w:rPr>
        <w:footnoteRef/>
      </w:r>
      <w:r w:rsidRPr="007B1FE6">
        <w:rPr>
          <w:rFonts w:ascii="Verdana" w:hAnsi="Verdana"/>
          <w:sz w:val="16"/>
          <w:szCs w:val="16"/>
        </w:rPr>
        <w:t xml:space="preserve"> </w:t>
      </w:r>
      <w:r w:rsidR="004503B0">
        <w:rPr>
          <w:rFonts w:ascii="Verdana" w:hAnsi="Verdana"/>
          <w:sz w:val="16"/>
          <w:szCs w:val="16"/>
        </w:rPr>
        <w:t>Motie Klaver</w:t>
      </w:r>
      <w:r w:rsidR="00963047">
        <w:rPr>
          <w:rFonts w:ascii="Verdana" w:hAnsi="Verdana"/>
          <w:sz w:val="16"/>
          <w:szCs w:val="16"/>
        </w:rPr>
        <w:t xml:space="preserve">, </w:t>
      </w:r>
      <w:r w:rsidR="000D005B">
        <w:rPr>
          <w:rFonts w:ascii="Verdana" w:hAnsi="Verdana"/>
          <w:sz w:val="16"/>
          <w:szCs w:val="16"/>
        </w:rPr>
        <w:t>K</w:t>
      </w:r>
      <w:r w:rsidR="00963047">
        <w:rPr>
          <w:rFonts w:ascii="Verdana" w:hAnsi="Verdana"/>
          <w:sz w:val="16"/>
          <w:szCs w:val="16"/>
        </w:rPr>
        <w:t xml:space="preserve">amerstuk </w:t>
      </w:r>
      <w:r w:rsidR="004503B0">
        <w:rPr>
          <w:rFonts w:ascii="Verdana" w:hAnsi="Verdana"/>
          <w:sz w:val="16"/>
          <w:szCs w:val="16"/>
        </w:rPr>
        <w:t>23 432, nr. 645</w:t>
      </w:r>
    </w:p>
  </w:footnote>
  <w:footnote w:id="9">
    <w:p w14:paraId="78BB08FA" w14:textId="74549039" w:rsidR="0011266D" w:rsidRPr="00963047" w:rsidRDefault="0011266D">
      <w:pPr>
        <w:pStyle w:val="FootnoteText"/>
        <w:rPr>
          <w:rFonts w:ascii="Verdana" w:hAnsi="Verdana"/>
          <w:sz w:val="16"/>
          <w:szCs w:val="16"/>
        </w:rPr>
      </w:pPr>
      <w:r w:rsidRPr="00963047">
        <w:rPr>
          <w:rStyle w:val="FootnoteReference"/>
          <w:rFonts w:ascii="Verdana" w:hAnsi="Verdana"/>
          <w:sz w:val="16"/>
          <w:szCs w:val="16"/>
        </w:rPr>
        <w:footnoteRef/>
      </w:r>
      <w:r w:rsidRPr="00963047">
        <w:rPr>
          <w:rFonts w:ascii="Verdana" w:hAnsi="Verdana"/>
          <w:sz w:val="16"/>
          <w:szCs w:val="16"/>
        </w:rPr>
        <w:t xml:space="preserve"> De Kamer wordt hier middels een BNC fiche over geïnformeerd. </w:t>
      </w:r>
    </w:p>
  </w:footnote>
  <w:footnote w:id="10">
    <w:p w14:paraId="6E37F711" w14:textId="68CE3F95" w:rsidR="0011266D" w:rsidRPr="00963047" w:rsidRDefault="0011266D">
      <w:pPr>
        <w:pStyle w:val="FootnoteText"/>
        <w:rPr>
          <w:rFonts w:ascii="Verdana" w:hAnsi="Verdana"/>
          <w:sz w:val="16"/>
          <w:szCs w:val="16"/>
        </w:rPr>
      </w:pPr>
      <w:r w:rsidRPr="00963047">
        <w:rPr>
          <w:rStyle w:val="FootnoteReference"/>
          <w:rFonts w:ascii="Verdana" w:hAnsi="Verdana"/>
          <w:sz w:val="16"/>
          <w:szCs w:val="16"/>
        </w:rPr>
        <w:footnoteRef/>
      </w:r>
      <w:r w:rsidRPr="00963047">
        <w:rPr>
          <w:rFonts w:ascii="Verdana" w:hAnsi="Verdana"/>
          <w:sz w:val="16"/>
          <w:szCs w:val="16"/>
        </w:rPr>
        <w:t xml:space="preserve"> Kamerstuk</w:t>
      </w:r>
      <w:r w:rsidR="00F461B3" w:rsidRPr="00963047">
        <w:rPr>
          <w:rFonts w:ascii="Verdana" w:hAnsi="Verdana"/>
          <w:sz w:val="16"/>
          <w:szCs w:val="16"/>
        </w:rPr>
        <w:t xml:space="preserve"> </w:t>
      </w:r>
      <w:r w:rsidRPr="00963047">
        <w:rPr>
          <w:rFonts w:ascii="Verdana" w:hAnsi="Verdana"/>
          <w:sz w:val="16"/>
          <w:szCs w:val="16"/>
        </w:rPr>
        <w:t>21</w:t>
      </w:r>
      <w:r w:rsidR="000D005B">
        <w:rPr>
          <w:rFonts w:ascii="Verdana" w:hAnsi="Verdana"/>
          <w:sz w:val="16"/>
          <w:szCs w:val="16"/>
        </w:rPr>
        <w:t xml:space="preserve"> </w:t>
      </w:r>
      <w:r w:rsidRPr="00963047">
        <w:rPr>
          <w:rFonts w:ascii="Verdana" w:hAnsi="Verdana"/>
          <w:sz w:val="16"/>
          <w:szCs w:val="16"/>
        </w:rPr>
        <w:t>501</w:t>
      </w:r>
      <w:r w:rsidR="000D005B">
        <w:rPr>
          <w:rFonts w:ascii="Verdana" w:hAnsi="Verdana"/>
          <w:sz w:val="16"/>
          <w:szCs w:val="16"/>
        </w:rPr>
        <w:t>-</w:t>
      </w:r>
      <w:r w:rsidRPr="00963047">
        <w:rPr>
          <w:rFonts w:ascii="Verdana" w:hAnsi="Verdana"/>
          <w:sz w:val="16"/>
          <w:szCs w:val="16"/>
        </w:rPr>
        <w:t>20, nr. 2391</w:t>
      </w:r>
    </w:p>
  </w:footnote>
  <w:footnote w:id="11">
    <w:p w14:paraId="34E27177" w14:textId="4B6A33E2" w:rsidR="00F07A76" w:rsidRDefault="00F07A76" w:rsidP="00F07A76">
      <w:pPr>
        <w:pStyle w:val="FootnoteText"/>
      </w:pPr>
      <w:r w:rsidRPr="00963047">
        <w:rPr>
          <w:rStyle w:val="FootnoteReference"/>
          <w:rFonts w:ascii="Verdana" w:hAnsi="Verdana"/>
          <w:sz w:val="16"/>
          <w:szCs w:val="16"/>
        </w:rPr>
        <w:footnoteRef/>
      </w:r>
      <w:r w:rsidRPr="00963047">
        <w:rPr>
          <w:rFonts w:ascii="Verdana" w:hAnsi="Verdana"/>
          <w:sz w:val="16"/>
          <w:szCs w:val="16"/>
        </w:rPr>
        <w:t xml:space="preserve"> </w:t>
      </w:r>
      <w:r w:rsidR="00963047">
        <w:rPr>
          <w:rFonts w:ascii="Verdana" w:hAnsi="Verdana"/>
          <w:sz w:val="16"/>
          <w:szCs w:val="16"/>
        </w:rPr>
        <w:t xml:space="preserve">Kamerstuk </w:t>
      </w:r>
      <w:r w:rsidRPr="00963047">
        <w:rPr>
          <w:rFonts w:ascii="Verdana" w:hAnsi="Verdana"/>
          <w:sz w:val="16"/>
          <w:szCs w:val="16"/>
        </w:rPr>
        <w:t>22</w:t>
      </w:r>
      <w:r w:rsidR="000D005B">
        <w:rPr>
          <w:rFonts w:ascii="Verdana" w:hAnsi="Verdana"/>
          <w:sz w:val="16"/>
          <w:szCs w:val="16"/>
        </w:rPr>
        <w:t xml:space="preserve"> </w:t>
      </w:r>
      <w:r w:rsidRPr="00963047">
        <w:rPr>
          <w:rFonts w:ascii="Verdana" w:hAnsi="Verdana"/>
          <w:sz w:val="16"/>
          <w:szCs w:val="16"/>
        </w:rPr>
        <w:t>112, nr. 4293</w:t>
      </w:r>
    </w:p>
  </w:footnote>
  <w:footnote w:id="12">
    <w:p w14:paraId="1E30C9F1" w14:textId="44554F80" w:rsidR="00B0129F" w:rsidRPr="005606E1" w:rsidRDefault="00B0129F">
      <w:pPr>
        <w:pStyle w:val="FootnoteText"/>
        <w:rPr>
          <w:rFonts w:ascii="Verdana" w:hAnsi="Verdana"/>
          <w:sz w:val="16"/>
          <w:szCs w:val="16"/>
        </w:rPr>
      </w:pPr>
      <w:r w:rsidRPr="00C7542E">
        <w:rPr>
          <w:rStyle w:val="FootnoteReference"/>
          <w:rFonts w:ascii="Verdana" w:hAnsi="Verdana"/>
          <w:sz w:val="16"/>
          <w:szCs w:val="16"/>
        </w:rPr>
        <w:footnoteRef/>
      </w:r>
      <w:r w:rsidRPr="00C7542E">
        <w:rPr>
          <w:rFonts w:ascii="Verdana" w:hAnsi="Verdana"/>
          <w:sz w:val="16"/>
          <w:szCs w:val="16"/>
        </w:rPr>
        <w:t xml:space="preserve"> </w:t>
      </w:r>
      <w:r w:rsidRPr="005606E1">
        <w:rPr>
          <w:rFonts w:ascii="Verdana" w:hAnsi="Verdana"/>
          <w:sz w:val="16"/>
          <w:szCs w:val="16"/>
        </w:rPr>
        <w:t>Kamerstuk 21</w:t>
      </w:r>
      <w:r w:rsidR="000D005B">
        <w:rPr>
          <w:rFonts w:ascii="Verdana" w:hAnsi="Verdana"/>
          <w:sz w:val="16"/>
          <w:szCs w:val="16"/>
        </w:rPr>
        <w:t xml:space="preserve"> </w:t>
      </w:r>
      <w:r w:rsidRPr="005606E1">
        <w:rPr>
          <w:rFonts w:ascii="Verdana" w:hAnsi="Verdana"/>
          <w:sz w:val="16"/>
          <w:szCs w:val="16"/>
        </w:rPr>
        <w:t>501-07, nr. 2171</w:t>
      </w:r>
    </w:p>
  </w:footnote>
  <w:footnote w:id="13">
    <w:p w14:paraId="6A3C05C2" w14:textId="77777777" w:rsidR="0034797D" w:rsidRPr="00BF62B9" w:rsidRDefault="0034797D" w:rsidP="0034797D">
      <w:pPr>
        <w:pStyle w:val="FootnoteText"/>
        <w:rPr>
          <w:rFonts w:ascii="Verdana" w:hAnsi="Verdana"/>
          <w:sz w:val="16"/>
          <w:szCs w:val="16"/>
        </w:rPr>
      </w:pPr>
      <w:r w:rsidRPr="00BF62B9">
        <w:rPr>
          <w:rStyle w:val="FootnoteReference"/>
          <w:rFonts w:ascii="Verdana" w:hAnsi="Verdana"/>
          <w:sz w:val="16"/>
          <w:szCs w:val="16"/>
        </w:rPr>
        <w:footnoteRef/>
      </w:r>
      <w:r w:rsidRPr="00BF62B9">
        <w:rPr>
          <w:rFonts w:ascii="Verdana" w:hAnsi="Verdana"/>
          <w:sz w:val="16"/>
          <w:szCs w:val="16"/>
        </w:rPr>
        <w:t xml:space="preserve"> Zie ook de brief van de voorzitter van de Eurogroep aan de voorzitter van de Europese Raad d.d. 11 maart 2026, </w:t>
      </w:r>
      <w:hyperlink r:id="rId1" w:history="1">
        <w:proofErr w:type="spellStart"/>
        <w:r w:rsidRPr="00BF62B9">
          <w:rPr>
            <w:rStyle w:val="Hyperlink"/>
            <w:rFonts w:ascii="Verdana" w:hAnsi="Verdana"/>
            <w:sz w:val="16"/>
            <w:szCs w:val="16"/>
          </w:rPr>
          <w:t>Eurogroup</w:t>
        </w:r>
        <w:proofErr w:type="spellEnd"/>
        <w:r w:rsidRPr="00BF62B9">
          <w:rPr>
            <w:rStyle w:val="Hyperlink"/>
            <w:rFonts w:ascii="Verdana" w:hAnsi="Verdana"/>
            <w:sz w:val="16"/>
            <w:szCs w:val="16"/>
          </w:rPr>
          <w:t xml:space="preserve"> President </w:t>
        </w:r>
        <w:proofErr w:type="spellStart"/>
        <w:r w:rsidRPr="00BF62B9">
          <w:rPr>
            <w:rStyle w:val="Hyperlink"/>
            <w:rFonts w:ascii="Verdana" w:hAnsi="Verdana"/>
            <w:sz w:val="16"/>
            <w:szCs w:val="16"/>
          </w:rPr>
          <w:t>Pierrakakis</w:t>
        </w:r>
        <w:proofErr w:type="spellEnd"/>
        <w:r w:rsidRPr="00BF62B9">
          <w:rPr>
            <w:rStyle w:val="Hyperlink"/>
            <w:rFonts w:ascii="Verdana" w:hAnsi="Verdana"/>
            <w:sz w:val="16"/>
            <w:szCs w:val="16"/>
          </w:rPr>
          <w:t xml:space="preserve">' report to the President of the Euro </w:t>
        </w:r>
        <w:proofErr w:type="spellStart"/>
        <w:r w:rsidRPr="00BF62B9">
          <w:rPr>
            <w:rStyle w:val="Hyperlink"/>
            <w:rFonts w:ascii="Verdana" w:hAnsi="Verdana"/>
            <w:sz w:val="16"/>
            <w:szCs w:val="16"/>
          </w:rPr>
          <w:t>Summit</w:t>
        </w:r>
        <w:proofErr w:type="spellEnd"/>
        <w:r w:rsidRPr="00BF62B9">
          <w:rPr>
            <w:rStyle w:val="Hyperlink"/>
            <w:rFonts w:ascii="Verdana" w:hAnsi="Verdana"/>
            <w:sz w:val="16"/>
            <w:szCs w:val="16"/>
          </w:rPr>
          <w:t xml:space="preserve"> - </w:t>
        </w:r>
        <w:proofErr w:type="spellStart"/>
        <w:r w:rsidRPr="00BF62B9">
          <w:rPr>
            <w:rStyle w:val="Hyperlink"/>
            <w:rFonts w:ascii="Verdana" w:hAnsi="Verdana"/>
            <w:sz w:val="16"/>
            <w:szCs w:val="16"/>
          </w:rPr>
          <w:t>Consilium</w:t>
        </w:r>
        <w:proofErr w:type="spellEnd"/>
      </w:hyperlink>
      <w:r w:rsidRPr="00BF62B9">
        <w:rPr>
          <w:rFonts w:ascii="Verdana" w:hAnsi="Verdana"/>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2ABA5" w14:textId="77777777" w:rsidR="00A17128" w:rsidRDefault="00A171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E067D" w14:textId="77777777" w:rsidR="00A17128" w:rsidRDefault="00A171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CD0BB" w14:textId="77777777" w:rsidR="00A17128" w:rsidRDefault="00A171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95604"/>
    <w:multiLevelType w:val="multilevel"/>
    <w:tmpl w:val="9F68F7EE"/>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 w15:restartNumberingAfterBreak="0">
    <w:nsid w:val="57CF7392"/>
    <w:multiLevelType w:val="multilevel"/>
    <w:tmpl w:val="D74AB560"/>
    <w:lvl w:ilvl="0">
      <w:start w:val="1"/>
      <w:numFmt w:val="upperRoman"/>
      <w:lvlRestart w:val="0"/>
      <w:pStyle w:val="HeadingIVX"/>
      <w:lvlText w:val="%1."/>
      <w:lvlJc w:val="left"/>
      <w:pPr>
        <w:tabs>
          <w:tab w:val="num" w:pos="567"/>
        </w:tabs>
        <w:ind w:left="567" w:hanging="567"/>
      </w:pPr>
      <w:rPr>
        <w:i w:val="0"/>
        <w:i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55589573">
    <w:abstractNumId w:val="0"/>
  </w:num>
  <w:num w:numId="2" w16cid:durableId="12777173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5B3"/>
    <w:rsid w:val="00003B2C"/>
    <w:rsid w:val="00021759"/>
    <w:rsid w:val="00030BC8"/>
    <w:rsid w:val="000325FA"/>
    <w:rsid w:val="00042E93"/>
    <w:rsid w:val="00044283"/>
    <w:rsid w:val="00052DA4"/>
    <w:rsid w:val="00053CDD"/>
    <w:rsid w:val="00064C27"/>
    <w:rsid w:val="00064C7D"/>
    <w:rsid w:val="000653CF"/>
    <w:rsid w:val="000772AE"/>
    <w:rsid w:val="000819CC"/>
    <w:rsid w:val="000845E0"/>
    <w:rsid w:val="00087593"/>
    <w:rsid w:val="00091AE2"/>
    <w:rsid w:val="000A21F4"/>
    <w:rsid w:val="000C095B"/>
    <w:rsid w:val="000D005B"/>
    <w:rsid w:val="000D42D5"/>
    <w:rsid w:val="000D614E"/>
    <w:rsid w:val="000E0142"/>
    <w:rsid w:val="000F15C1"/>
    <w:rsid w:val="000F1CDE"/>
    <w:rsid w:val="000F1CE6"/>
    <w:rsid w:val="000F298D"/>
    <w:rsid w:val="000F7D12"/>
    <w:rsid w:val="00103FCA"/>
    <w:rsid w:val="001048B6"/>
    <w:rsid w:val="00105AFF"/>
    <w:rsid w:val="0011266D"/>
    <w:rsid w:val="00123253"/>
    <w:rsid w:val="0012445C"/>
    <w:rsid w:val="001272AE"/>
    <w:rsid w:val="00134EC6"/>
    <w:rsid w:val="001354F8"/>
    <w:rsid w:val="00135ED6"/>
    <w:rsid w:val="00135FF2"/>
    <w:rsid w:val="00136B58"/>
    <w:rsid w:val="001421E0"/>
    <w:rsid w:val="001429AC"/>
    <w:rsid w:val="00151371"/>
    <w:rsid w:val="001552AF"/>
    <w:rsid w:val="001554DB"/>
    <w:rsid w:val="001563B7"/>
    <w:rsid w:val="00166F63"/>
    <w:rsid w:val="00170784"/>
    <w:rsid w:val="001745B8"/>
    <w:rsid w:val="00177696"/>
    <w:rsid w:val="0018025D"/>
    <w:rsid w:val="00194146"/>
    <w:rsid w:val="001A2F1B"/>
    <w:rsid w:val="001A7198"/>
    <w:rsid w:val="001B2335"/>
    <w:rsid w:val="001C2727"/>
    <w:rsid w:val="001C4BEB"/>
    <w:rsid w:val="001D1B25"/>
    <w:rsid w:val="001D5DB1"/>
    <w:rsid w:val="001E33AA"/>
    <w:rsid w:val="001E77C6"/>
    <w:rsid w:val="001F740A"/>
    <w:rsid w:val="00204038"/>
    <w:rsid w:val="00204AA0"/>
    <w:rsid w:val="0023265A"/>
    <w:rsid w:val="00236083"/>
    <w:rsid w:val="0025283C"/>
    <w:rsid w:val="00253DAD"/>
    <w:rsid w:val="002577DA"/>
    <w:rsid w:val="0026018F"/>
    <w:rsid w:val="00261411"/>
    <w:rsid w:val="002658C1"/>
    <w:rsid w:val="002667AD"/>
    <w:rsid w:val="002863FB"/>
    <w:rsid w:val="0029120E"/>
    <w:rsid w:val="00291F6B"/>
    <w:rsid w:val="002923F9"/>
    <w:rsid w:val="00292D47"/>
    <w:rsid w:val="00294B4D"/>
    <w:rsid w:val="002B5AFB"/>
    <w:rsid w:val="002B726D"/>
    <w:rsid w:val="002C1854"/>
    <w:rsid w:val="002C2DC2"/>
    <w:rsid w:val="002C55EA"/>
    <w:rsid w:val="002C7EA8"/>
    <w:rsid w:val="002D3D69"/>
    <w:rsid w:val="002D73B7"/>
    <w:rsid w:val="002F0708"/>
    <w:rsid w:val="002F533D"/>
    <w:rsid w:val="002F764D"/>
    <w:rsid w:val="00302AE2"/>
    <w:rsid w:val="00306F1B"/>
    <w:rsid w:val="003138EF"/>
    <w:rsid w:val="00313D69"/>
    <w:rsid w:val="0031676B"/>
    <w:rsid w:val="00322DE9"/>
    <w:rsid w:val="00325259"/>
    <w:rsid w:val="003309B6"/>
    <w:rsid w:val="003338CD"/>
    <w:rsid w:val="00336385"/>
    <w:rsid w:val="00337D93"/>
    <w:rsid w:val="0034001D"/>
    <w:rsid w:val="0034797D"/>
    <w:rsid w:val="0035116E"/>
    <w:rsid w:val="00355DAE"/>
    <w:rsid w:val="00361A1A"/>
    <w:rsid w:val="00363018"/>
    <w:rsid w:val="003643CF"/>
    <w:rsid w:val="00366C14"/>
    <w:rsid w:val="00367461"/>
    <w:rsid w:val="0037333B"/>
    <w:rsid w:val="0037468C"/>
    <w:rsid w:val="00375B1E"/>
    <w:rsid w:val="00377B03"/>
    <w:rsid w:val="00380B59"/>
    <w:rsid w:val="0038121D"/>
    <w:rsid w:val="00382D69"/>
    <w:rsid w:val="003834E3"/>
    <w:rsid w:val="00384B83"/>
    <w:rsid w:val="00385BCF"/>
    <w:rsid w:val="00397DBC"/>
    <w:rsid w:val="003A104F"/>
    <w:rsid w:val="003A32EF"/>
    <w:rsid w:val="003A7BCC"/>
    <w:rsid w:val="003C121C"/>
    <w:rsid w:val="003C2AA9"/>
    <w:rsid w:val="003C57EB"/>
    <w:rsid w:val="003D466E"/>
    <w:rsid w:val="003D7972"/>
    <w:rsid w:val="003E0FDA"/>
    <w:rsid w:val="003E39B6"/>
    <w:rsid w:val="003E6E49"/>
    <w:rsid w:val="003F1774"/>
    <w:rsid w:val="003F68B3"/>
    <w:rsid w:val="00405268"/>
    <w:rsid w:val="00406632"/>
    <w:rsid w:val="00413BA2"/>
    <w:rsid w:val="00423164"/>
    <w:rsid w:val="00426A5C"/>
    <w:rsid w:val="00426DDB"/>
    <w:rsid w:val="0043043B"/>
    <w:rsid w:val="00431B89"/>
    <w:rsid w:val="00435447"/>
    <w:rsid w:val="004436B7"/>
    <w:rsid w:val="0044718C"/>
    <w:rsid w:val="004502BC"/>
    <w:rsid w:val="004503B0"/>
    <w:rsid w:val="00451138"/>
    <w:rsid w:val="00452687"/>
    <w:rsid w:val="00461B15"/>
    <w:rsid w:val="00461EB0"/>
    <w:rsid w:val="004635CD"/>
    <w:rsid w:val="00465F8F"/>
    <w:rsid w:val="00467FE5"/>
    <w:rsid w:val="00470E34"/>
    <w:rsid w:val="00472F8D"/>
    <w:rsid w:val="00473D14"/>
    <w:rsid w:val="004802CF"/>
    <w:rsid w:val="00483BE6"/>
    <w:rsid w:val="00485C54"/>
    <w:rsid w:val="00486D99"/>
    <w:rsid w:val="00492617"/>
    <w:rsid w:val="004A1060"/>
    <w:rsid w:val="004B6628"/>
    <w:rsid w:val="004B75AC"/>
    <w:rsid w:val="004D1570"/>
    <w:rsid w:val="004D23A8"/>
    <w:rsid w:val="004D32D2"/>
    <w:rsid w:val="004E269D"/>
    <w:rsid w:val="004F2F54"/>
    <w:rsid w:val="004F5290"/>
    <w:rsid w:val="00507F51"/>
    <w:rsid w:val="005165BD"/>
    <w:rsid w:val="0052633E"/>
    <w:rsid w:val="00551FF5"/>
    <w:rsid w:val="005526E2"/>
    <w:rsid w:val="00553042"/>
    <w:rsid w:val="00555731"/>
    <w:rsid w:val="005606E1"/>
    <w:rsid w:val="00571FA2"/>
    <w:rsid w:val="00574AAB"/>
    <w:rsid w:val="00580DE1"/>
    <w:rsid w:val="005834CD"/>
    <w:rsid w:val="00583EC9"/>
    <w:rsid w:val="0059790F"/>
    <w:rsid w:val="005A7B78"/>
    <w:rsid w:val="005B7040"/>
    <w:rsid w:val="005D4365"/>
    <w:rsid w:val="005D440C"/>
    <w:rsid w:val="005D5BC0"/>
    <w:rsid w:val="005D5F61"/>
    <w:rsid w:val="005D7E51"/>
    <w:rsid w:val="005E133D"/>
    <w:rsid w:val="005E45BA"/>
    <w:rsid w:val="005E7915"/>
    <w:rsid w:val="005F10CF"/>
    <w:rsid w:val="005F2F14"/>
    <w:rsid w:val="005F5898"/>
    <w:rsid w:val="005F6370"/>
    <w:rsid w:val="006022EE"/>
    <w:rsid w:val="00603EF2"/>
    <w:rsid w:val="00612104"/>
    <w:rsid w:val="006125DD"/>
    <w:rsid w:val="00612E49"/>
    <w:rsid w:val="006158A4"/>
    <w:rsid w:val="0062333D"/>
    <w:rsid w:val="00625F0E"/>
    <w:rsid w:val="00642491"/>
    <w:rsid w:val="006425A5"/>
    <w:rsid w:val="006463F0"/>
    <w:rsid w:val="006472E3"/>
    <w:rsid w:val="00650EE6"/>
    <w:rsid w:val="00661EDE"/>
    <w:rsid w:val="00665A4E"/>
    <w:rsid w:val="00671575"/>
    <w:rsid w:val="00672656"/>
    <w:rsid w:val="00672941"/>
    <w:rsid w:val="00680B84"/>
    <w:rsid w:val="00681C25"/>
    <w:rsid w:val="0068660D"/>
    <w:rsid w:val="00686E05"/>
    <w:rsid w:val="0069077F"/>
    <w:rsid w:val="00694B15"/>
    <w:rsid w:val="006A25C2"/>
    <w:rsid w:val="006A3E06"/>
    <w:rsid w:val="006A6865"/>
    <w:rsid w:val="006B7B64"/>
    <w:rsid w:val="006C1E37"/>
    <w:rsid w:val="006D440E"/>
    <w:rsid w:val="006E2CFE"/>
    <w:rsid w:val="006E4772"/>
    <w:rsid w:val="006E5C2F"/>
    <w:rsid w:val="006F17E5"/>
    <w:rsid w:val="006F43A6"/>
    <w:rsid w:val="006F7407"/>
    <w:rsid w:val="006F793B"/>
    <w:rsid w:val="00707521"/>
    <w:rsid w:val="007144A9"/>
    <w:rsid w:val="00716AA0"/>
    <w:rsid w:val="00723102"/>
    <w:rsid w:val="00735E61"/>
    <w:rsid w:val="00742555"/>
    <w:rsid w:val="0074707C"/>
    <w:rsid w:val="007509B8"/>
    <w:rsid w:val="007546ED"/>
    <w:rsid w:val="00761F8D"/>
    <w:rsid w:val="00762809"/>
    <w:rsid w:val="00767BDD"/>
    <w:rsid w:val="00774BCF"/>
    <w:rsid w:val="007759BC"/>
    <w:rsid w:val="00780921"/>
    <w:rsid w:val="00781BCD"/>
    <w:rsid w:val="00784AF1"/>
    <w:rsid w:val="007959D0"/>
    <w:rsid w:val="00795B22"/>
    <w:rsid w:val="007963CA"/>
    <w:rsid w:val="007A149F"/>
    <w:rsid w:val="007A3AB0"/>
    <w:rsid w:val="007B1511"/>
    <w:rsid w:val="007B1FE6"/>
    <w:rsid w:val="007B5B7F"/>
    <w:rsid w:val="007B63E5"/>
    <w:rsid w:val="007B772F"/>
    <w:rsid w:val="007D7252"/>
    <w:rsid w:val="007E725B"/>
    <w:rsid w:val="007F7402"/>
    <w:rsid w:val="008168F0"/>
    <w:rsid w:val="00816BFD"/>
    <w:rsid w:val="00826873"/>
    <w:rsid w:val="00840D08"/>
    <w:rsid w:val="00844FB6"/>
    <w:rsid w:val="00846467"/>
    <w:rsid w:val="008473DB"/>
    <w:rsid w:val="008479CE"/>
    <w:rsid w:val="0085057B"/>
    <w:rsid w:val="00850A94"/>
    <w:rsid w:val="00860C36"/>
    <w:rsid w:val="00873C60"/>
    <w:rsid w:val="00873EFF"/>
    <w:rsid w:val="008844CF"/>
    <w:rsid w:val="00884553"/>
    <w:rsid w:val="00892526"/>
    <w:rsid w:val="00894895"/>
    <w:rsid w:val="00896DA7"/>
    <w:rsid w:val="008A0C5C"/>
    <w:rsid w:val="008A34CF"/>
    <w:rsid w:val="008A5FF2"/>
    <w:rsid w:val="008A7448"/>
    <w:rsid w:val="008B675C"/>
    <w:rsid w:val="008C5867"/>
    <w:rsid w:val="008D2CA2"/>
    <w:rsid w:val="008D4D27"/>
    <w:rsid w:val="008E0E2E"/>
    <w:rsid w:val="008E32BE"/>
    <w:rsid w:val="008E6F8B"/>
    <w:rsid w:val="008F2088"/>
    <w:rsid w:val="008F274A"/>
    <w:rsid w:val="008F7779"/>
    <w:rsid w:val="00900692"/>
    <w:rsid w:val="00905C1A"/>
    <w:rsid w:val="00906D28"/>
    <w:rsid w:val="00911F77"/>
    <w:rsid w:val="009132BB"/>
    <w:rsid w:val="00914EB2"/>
    <w:rsid w:val="00917615"/>
    <w:rsid w:val="00924A0E"/>
    <w:rsid w:val="00925CEB"/>
    <w:rsid w:val="00926C3C"/>
    <w:rsid w:val="009332A4"/>
    <w:rsid w:val="00933B91"/>
    <w:rsid w:val="009379B7"/>
    <w:rsid w:val="00946345"/>
    <w:rsid w:val="009525FA"/>
    <w:rsid w:val="0095527A"/>
    <w:rsid w:val="00963047"/>
    <w:rsid w:val="00964981"/>
    <w:rsid w:val="00966424"/>
    <w:rsid w:val="009673E8"/>
    <w:rsid w:val="009715E8"/>
    <w:rsid w:val="00973027"/>
    <w:rsid w:val="009735B3"/>
    <w:rsid w:val="00974D04"/>
    <w:rsid w:val="00975E9A"/>
    <w:rsid w:val="009817D6"/>
    <w:rsid w:val="00992A4B"/>
    <w:rsid w:val="009975BF"/>
    <w:rsid w:val="009A304F"/>
    <w:rsid w:val="009A4370"/>
    <w:rsid w:val="009A6D2F"/>
    <w:rsid w:val="009B1EE0"/>
    <w:rsid w:val="009B270A"/>
    <w:rsid w:val="009B5EE2"/>
    <w:rsid w:val="009D0543"/>
    <w:rsid w:val="009D14B3"/>
    <w:rsid w:val="009D1B9D"/>
    <w:rsid w:val="009D7909"/>
    <w:rsid w:val="009E1400"/>
    <w:rsid w:val="009E3467"/>
    <w:rsid w:val="009E4DD1"/>
    <w:rsid w:val="009E645B"/>
    <w:rsid w:val="009F41B2"/>
    <w:rsid w:val="009F430A"/>
    <w:rsid w:val="009F5FC0"/>
    <w:rsid w:val="00A1023F"/>
    <w:rsid w:val="00A168BC"/>
    <w:rsid w:val="00A17128"/>
    <w:rsid w:val="00A24E57"/>
    <w:rsid w:val="00A3081D"/>
    <w:rsid w:val="00A313FB"/>
    <w:rsid w:val="00A3424F"/>
    <w:rsid w:val="00A408CC"/>
    <w:rsid w:val="00A40CAB"/>
    <w:rsid w:val="00A4237C"/>
    <w:rsid w:val="00A50168"/>
    <w:rsid w:val="00A508FF"/>
    <w:rsid w:val="00A52C5C"/>
    <w:rsid w:val="00A61EBA"/>
    <w:rsid w:val="00A64A52"/>
    <w:rsid w:val="00A74577"/>
    <w:rsid w:val="00A81D5D"/>
    <w:rsid w:val="00A83AD3"/>
    <w:rsid w:val="00A86261"/>
    <w:rsid w:val="00A946C4"/>
    <w:rsid w:val="00AA1795"/>
    <w:rsid w:val="00AA41D7"/>
    <w:rsid w:val="00AA47EF"/>
    <w:rsid w:val="00AA4A3F"/>
    <w:rsid w:val="00AC3F48"/>
    <w:rsid w:val="00AC49F4"/>
    <w:rsid w:val="00AC50F7"/>
    <w:rsid w:val="00AC7FAE"/>
    <w:rsid w:val="00AD1EA8"/>
    <w:rsid w:val="00AD69B1"/>
    <w:rsid w:val="00AE00DC"/>
    <w:rsid w:val="00AE055B"/>
    <w:rsid w:val="00AE5665"/>
    <w:rsid w:val="00AE71A2"/>
    <w:rsid w:val="00AF067D"/>
    <w:rsid w:val="00AF317D"/>
    <w:rsid w:val="00AF3BCC"/>
    <w:rsid w:val="00AF78CC"/>
    <w:rsid w:val="00B0129F"/>
    <w:rsid w:val="00B035AE"/>
    <w:rsid w:val="00B20DC8"/>
    <w:rsid w:val="00B253D9"/>
    <w:rsid w:val="00B255B0"/>
    <w:rsid w:val="00B25F8A"/>
    <w:rsid w:val="00B27C07"/>
    <w:rsid w:val="00B3478F"/>
    <w:rsid w:val="00B36294"/>
    <w:rsid w:val="00B36C12"/>
    <w:rsid w:val="00B4106F"/>
    <w:rsid w:val="00B527A9"/>
    <w:rsid w:val="00B53CC0"/>
    <w:rsid w:val="00B70E31"/>
    <w:rsid w:val="00B74C13"/>
    <w:rsid w:val="00B75C07"/>
    <w:rsid w:val="00B83A77"/>
    <w:rsid w:val="00B83ED2"/>
    <w:rsid w:val="00B863D9"/>
    <w:rsid w:val="00B91A12"/>
    <w:rsid w:val="00BA11D3"/>
    <w:rsid w:val="00BA4EA5"/>
    <w:rsid w:val="00BA4FA0"/>
    <w:rsid w:val="00BA555E"/>
    <w:rsid w:val="00BB3D67"/>
    <w:rsid w:val="00BD6818"/>
    <w:rsid w:val="00BD6F1B"/>
    <w:rsid w:val="00BE11BE"/>
    <w:rsid w:val="00BE3F8F"/>
    <w:rsid w:val="00BE7B26"/>
    <w:rsid w:val="00BF4E8E"/>
    <w:rsid w:val="00BF62B9"/>
    <w:rsid w:val="00C03B94"/>
    <w:rsid w:val="00C07854"/>
    <w:rsid w:val="00C12818"/>
    <w:rsid w:val="00C14CBB"/>
    <w:rsid w:val="00C17F03"/>
    <w:rsid w:val="00C22334"/>
    <w:rsid w:val="00C22721"/>
    <w:rsid w:val="00C32481"/>
    <w:rsid w:val="00C4254C"/>
    <w:rsid w:val="00C53768"/>
    <w:rsid w:val="00C55B9E"/>
    <w:rsid w:val="00C6799F"/>
    <w:rsid w:val="00C7542E"/>
    <w:rsid w:val="00C80F8F"/>
    <w:rsid w:val="00C81B7F"/>
    <w:rsid w:val="00C83206"/>
    <w:rsid w:val="00C835F3"/>
    <w:rsid w:val="00C90B76"/>
    <w:rsid w:val="00C90E46"/>
    <w:rsid w:val="00C955E2"/>
    <w:rsid w:val="00C96ECF"/>
    <w:rsid w:val="00C97886"/>
    <w:rsid w:val="00C97B1E"/>
    <w:rsid w:val="00CA2756"/>
    <w:rsid w:val="00CA42A7"/>
    <w:rsid w:val="00CA741A"/>
    <w:rsid w:val="00CB7856"/>
    <w:rsid w:val="00CC065B"/>
    <w:rsid w:val="00CD52A0"/>
    <w:rsid w:val="00CE2481"/>
    <w:rsid w:val="00CF047F"/>
    <w:rsid w:val="00CF207F"/>
    <w:rsid w:val="00CF50EF"/>
    <w:rsid w:val="00CF5EA4"/>
    <w:rsid w:val="00CF5ECE"/>
    <w:rsid w:val="00CF6E76"/>
    <w:rsid w:val="00D035D9"/>
    <w:rsid w:val="00D03D58"/>
    <w:rsid w:val="00D06777"/>
    <w:rsid w:val="00D0742B"/>
    <w:rsid w:val="00D210F2"/>
    <w:rsid w:val="00D26730"/>
    <w:rsid w:val="00D26BAF"/>
    <w:rsid w:val="00D33411"/>
    <w:rsid w:val="00D43735"/>
    <w:rsid w:val="00D43BE5"/>
    <w:rsid w:val="00D440E2"/>
    <w:rsid w:val="00D453DA"/>
    <w:rsid w:val="00D64395"/>
    <w:rsid w:val="00D762F2"/>
    <w:rsid w:val="00D7686D"/>
    <w:rsid w:val="00D770A3"/>
    <w:rsid w:val="00D94581"/>
    <w:rsid w:val="00D95C13"/>
    <w:rsid w:val="00DA3BDA"/>
    <w:rsid w:val="00DA7BA3"/>
    <w:rsid w:val="00DB58CA"/>
    <w:rsid w:val="00DC5218"/>
    <w:rsid w:val="00DC6742"/>
    <w:rsid w:val="00DC6FFC"/>
    <w:rsid w:val="00DC72BB"/>
    <w:rsid w:val="00DD41BE"/>
    <w:rsid w:val="00DD4C0A"/>
    <w:rsid w:val="00DD7806"/>
    <w:rsid w:val="00DE2E4E"/>
    <w:rsid w:val="00DE5262"/>
    <w:rsid w:val="00DF01F1"/>
    <w:rsid w:val="00DF5503"/>
    <w:rsid w:val="00E12A56"/>
    <w:rsid w:val="00E12F89"/>
    <w:rsid w:val="00E14526"/>
    <w:rsid w:val="00E16B9D"/>
    <w:rsid w:val="00E23103"/>
    <w:rsid w:val="00E25BE9"/>
    <w:rsid w:val="00E33FD7"/>
    <w:rsid w:val="00E45400"/>
    <w:rsid w:val="00E46FC6"/>
    <w:rsid w:val="00E47C6A"/>
    <w:rsid w:val="00E54143"/>
    <w:rsid w:val="00E56FA4"/>
    <w:rsid w:val="00E62A60"/>
    <w:rsid w:val="00E64C14"/>
    <w:rsid w:val="00E65588"/>
    <w:rsid w:val="00E70635"/>
    <w:rsid w:val="00E76515"/>
    <w:rsid w:val="00E80A3B"/>
    <w:rsid w:val="00E874E1"/>
    <w:rsid w:val="00E90161"/>
    <w:rsid w:val="00E97D3E"/>
    <w:rsid w:val="00EA0F6A"/>
    <w:rsid w:val="00EA2515"/>
    <w:rsid w:val="00EB412E"/>
    <w:rsid w:val="00ED6091"/>
    <w:rsid w:val="00ED6F9A"/>
    <w:rsid w:val="00EE4D58"/>
    <w:rsid w:val="00EE63D6"/>
    <w:rsid w:val="00EF69BE"/>
    <w:rsid w:val="00EF6CE8"/>
    <w:rsid w:val="00F025B5"/>
    <w:rsid w:val="00F07A76"/>
    <w:rsid w:val="00F11DAB"/>
    <w:rsid w:val="00F13E68"/>
    <w:rsid w:val="00F158A7"/>
    <w:rsid w:val="00F17498"/>
    <w:rsid w:val="00F26941"/>
    <w:rsid w:val="00F32B87"/>
    <w:rsid w:val="00F32C86"/>
    <w:rsid w:val="00F369B6"/>
    <w:rsid w:val="00F461B3"/>
    <w:rsid w:val="00F4750B"/>
    <w:rsid w:val="00F47FBE"/>
    <w:rsid w:val="00F5058F"/>
    <w:rsid w:val="00F57E0E"/>
    <w:rsid w:val="00F67F67"/>
    <w:rsid w:val="00F716E7"/>
    <w:rsid w:val="00F779BC"/>
    <w:rsid w:val="00F80817"/>
    <w:rsid w:val="00F81139"/>
    <w:rsid w:val="00FA0DBC"/>
    <w:rsid w:val="00FA2FAB"/>
    <w:rsid w:val="00FA4BFE"/>
    <w:rsid w:val="00FA5F97"/>
    <w:rsid w:val="00FB08A6"/>
    <w:rsid w:val="00FB3C2D"/>
    <w:rsid w:val="00FC00CE"/>
    <w:rsid w:val="00FC613B"/>
    <w:rsid w:val="00FD4244"/>
    <w:rsid w:val="00FF24BF"/>
    <w:rsid w:val="00FF3C17"/>
    <w:rsid w:val="00FF40E2"/>
    <w:rsid w:val="00FF4841"/>
    <w:rsid w:val="00FF53EF"/>
    <w:rsid w:val="3AB52C98"/>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D3276"/>
  <w15:chartTrackingRefBased/>
  <w15:docId w15:val="{D77B1A56-E385-4141-B73A-9B8AED5A8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35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35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35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35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35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35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35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35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35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5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35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35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35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35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35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35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35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35B3"/>
    <w:rPr>
      <w:rFonts w:eastAsiaTheme="majorEastAsia" w:cstheme="majorBidi"/>
      <w:color w:val="272727" w:themeColor="text1" w:themeTint="D8"/>
    </w:rPr>
  </w:style>
  <w:style w:type="paragraph" w:styleId="Title">
    <w:name w:val="Title"/>
    <w:basedOn w:val="Normal"/>
    <w:next w:val="Normal"/>
    <w:link w:val="TitleChar"/>
    <w:uiPriority w:val="10"/>
    <w:qFormat/>
    <w:rsid w:val="009735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35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35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35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35B3"/>
    <w:pPr>
      <w:spacing w:before="160"/>
      <w:jc w:val="center"/>
    </w:pPr>
    <w:rPr>
      <w:i/>
      <w:iCs/>
      <w:color w:val="404040" w:themeColor="text1" w:themeTint="BF"/>
    </w:rPr>
  </w:style>
  <w:style w:type="character" w:customStyle="1" w:styleId="QuoteChar">
    <w:name w:val="Quote Char"/>
    <w:basedOn w:val="DefaultParagraphFont"/>
    <w:link w:val="Quote"/>
    <w:uiPriority w:val="29"/>
    <w:rsid w:val="009735B3"/>
    <w:rPr>
      <w:i/>
      <w:iCs/>
      <w:color w:val="404040" w:themeColor="text1" w:themeTint="BF"/>
    </w:rPr>
  </w:style>
  <w:style w:type="paragraph" w:styleId="ListParagraph">
    <w:name w:val="List Paragraph"/>
    <w:basedOn w:val="Normal"/>
    <w:uiPriority w:val="34"/>
    <w:qFormat/>
    <w:rsid w:val="009735B3"/>
    <w:pPr>
      <w:ind w:left="720"/>
      <w:contextualSpacing/>
    </w:pPr>
  </w:style>
  <w:style w:type="character" w:styleId="IntenseEmphasis">
    <w:name w:val="Intense Emphasis"/>
    <w:basedOn w:val="DefaultParagraphFont"/>
    <w:uiPriority w:val="21"/>
    <w:qFormat/>
    <w:rsid w:val="009735B3"/>
    <w:rPr>
      <w:i/>
      <w:iCs/>
      <w:color w:val="0F4761" w:themeColor="accent1" w:themeShade="BF"/>
    </w:rPr>
  </w:style>
  <w:style w:type="paragraph" w:styleId="IntenseQuote">
    <w:name w:val="Intense Quote"/>
    <w:basedOn w:val="Normal"/>
    <w:next w:val="Normal"/>
    <w:link w:val="IntenseQuoteChar"/>
    <w:uiPriority w:val="30"/>
    <w:qFormat/>
    <w:rsid w:val="009735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35B3"/>
    <w:rPr>
      <w:i/>
      <w:iCs/>
      <w:color w:val="0F4761" w:themeColor="accent1" w:themeShade="BF"/>
    </w:rPr>
  </w:style>
  <w:style w:type="character" w:styleId="IntenseReference">
    <w:name w:val="Intense Reference"/>
    <w:basedOn w:val="DefaultParagraphFont"/>
    <w:uiPriority w:val="32"/>
    <w:qFormat/>
    <w:rsid w:val="009735B3"/>
    <w:rPr>
      <w:b/>
      <w:bCs/>
      <w:smallCaps/>
      <w:color w:val="0F4761" w:themeColor="accent1" w:themeShade="BF"/>
      <w:spacing w:val="5"/>
    </w:rPr>
  </w:style>
  <w:style w:type="paragraph" w:customStyle="1" w:styleId="Pointabc">
    <w:name w:val="Point abc"/>
    <w:basedOn w:val="Normal"/>
    <w:rsid w:val="00E80A3B"/>
    <w:pPr>
      <w:numPr>
        <w:ilvl w:val="1"/>
        <w:numId w:val="1"/>
      </w:numPr>
      <w:spacing w:before="120" w:after="120" w:line="360" w:lineRule="auto"/>
    </w:pPr>
    <w:rPr>
      <w:rFonts w:ascii="Times New Roman" w:hAnsi="Times New Roman" w:cs="Times New Roman"/>
      <w:kern w:val="0"/>
      <w:sz w:val="24"/>
      <w:lang w:val="en-GB"/>
      <w14:ligatures w14:val="none"/>
    </w:rPr>
  </w:style>
  <w:style w:type="paragraph" w:customStyle="1" w:styleId="Pointabc1">
    <w:name w:val="Point abc (1)"/>
    <w:basedOn w:val="Normal"/>
    <w:rsid w:val="00E80A3B"/>
    <w:pPr>
      <w:numPr>
        <w:ilvl w:val="3"/>
        <w:numId w:val="1"/>
      </w:numPr>
      <w:spacing w:before="120" w:after="120" w:line="360" w:lineRule="auto"/>
    </w:pPr>
    <w:rPr>
      <w:rFonts w:ascii="Times New Roman" w:hAnsi="Times New Roman" w:cs="Times New Roman"/>
      <w:kern w:val="0"/>
      <w:sz w:val="24"/>
      <w:lang w:val="en-GB"/>
      <w14:ligatures w14:val="none"/>
    </w:rPr>
  </w:style>
  <w:style w:type="paragraph" w:customStyle="1" w:styleId="Pointabc2">
    <w:name w:val="Point abc (2)"/>
    <w:basedOn w:val="Normal"/>
    <w:rsid w:val="00E80A3B"/>
    <w:pPr>
      <w:numPr>
        <w:ilvl w:val="5"/>
        <w:numId w:val="1"/>
      </w:numPr>
      <w:spacing w:before="120" w:after="120" w:line="360" w:lineRule="auto"/>
    </w:pPr>
    <w:rPr>
      <w:rFonts w:ascii="Times New Roman" w:hAnsi="Times New Roman" w:cs="Times New Roman"/>
      <w:kern w:val="0"/>
      <w:sz w:val="24"/>
      <w:lang w:val="en-GB"/>
      <w14:ligatures w14:val="none"/>
    </w:rPr>
  </w:style>
  <w:style w:type="paragraph" w:customStyle="1" w:styleId="Pointabc3">
    <w:name w:val="Point abc (3)"/>
    <w:basedOn w:val="Normal"/>
    <w:rsid w:val="00E80A3B"/>
    <w:pPr>
      <w:numPr>
        <w:ilvl w:val="7"/>
        <w:numId w:val="1"/>
      </w:numPr>
      <w:spacing w:before="120" w:after="120" w:line="360" w:lineRule="auto"/>
    </w:pPr>
    <w:rPr>
      <w:rFonts w:ascii="Times New Roman" w:hAnsi="Times New Roman" w:cs="Times New Roman"/>
      <w:kern w:val="0"/>
      <w:sz w:val="24"/>
      <w:lang w:val="en-GB"/>
      <w14:ligatures w14:val="none"/>
    </w:rPr>
  </w:style>
  <w:style w:type="paragraph" w:customStyle="1" w:styleId="Pointabc4">
    <w:name w:val="Point abc (4)"/>
    <w:basedOn w:val="Normal"/>
    <w:rsid w:val="00E80A3B"/>
    <w:pPr>
      <w:numPr>
        <w:ilvl w:val="8"/>
        <w:numId w:val="1"/>
      </w:numPr>
      <w:spacing w:before="120" w:after="120" w:line="360" w:lineRule="auto"/>
    </w:pPr>
    <w:rPr>
      <w:rFonts w:ascii="Times New Roman" w:hAnsi="Times New Roman" w:cs="Times New Roman"/>
      <w:kern w:val="0"/>
      <w:sz w:val="24"/>
      <w:lang w:val="en-GB"/>
      <w14:ligatures w14:val="none"/>
    </w:rPr>
  </w:style>
  <w:style w:type="paragraph" w:customStyle="1" w:styleId="Point123">
    <w:name w:val="Point 123"/>
    <w:basedOn w:val="Normal"/>
    <w:rsid w:val="00E80A3B"/>
    <w:pPr>
      <w:numPr>
        <w:numId w:val="1"/>
      </w:numPr>
      <w:spacing w:before="120" w:after="120" w:line="360" w:lineRule="auto"/>
    </w:pPr>
    <w:rPr>
      <w:rFonts w:ascii="Times New Roman" w:hAnsi="Times New Roman" w:cs="Times New Roman"/>
      <w:kern w:val="0"/>
      <w:sz w:val="24"/>
      <w:lang w:val="en-GB"/>
      <w14:ligatures w14:val="none"/>
    </w:rPr>
  </w:style>
  <w:style w:type="paragraph" w:customStyle="1" w:styleId="Point1231">
    <w:name w:val="Point 123 (1)"/>
    <w:basedOn w:val="Normal"/>
    <w:rsid w:val="00E80A3B"/>
    <w:pPr>
      <w:numPr>
        <w:ilvl w:val="2"/>
        <w:numId w:val="1"/>
      </w:numPr>
      <w:spacing w:before="120" w:after="120" w:line="360" w:lineRule="auto"/>
    </w:pPr>
    <w:rPr>
      <w:rFonts w:ascii="Times New Roman" w:hAnsi="Times New Roman" w:cs="Times New Roman"/>
      <w:kern w:val="0"/>
      <w:sz w:val="24"/>
      <w:lang w:val="en-GB"/>
      <w14:ligatures w14:val="none"/>
    </w:rPr>
  </w:style>
  <w:style w:type="paragraph" w:customStyle="1" w:styleId="Point1232">
    <w:name w:val="Point 123 (2)"/>
    <w:basedOn w:val="Normal"/>
    <w:rsid w:val="00E80A3B"/>
    <w:pPr>
      <w:numPr>
        <w:ilvl w:val="4"/>
        <w:numId w:val="1"/>
      </w:numPr>
      <w:spacing w:before="120" w:after="120" w:line="360" w:lineRule="auto"/>
    </w:pPr>
    <w:rPr>
      <w:rFonts w:ascii="Times New Roman" w:hAnsi="Times New Roman" w:cs="Times New Roman"/>
      <w:kern w:val="0"/>
      <w:sz w:val="24"/>
      <w:lang w:val="en-GB"/>
      <w14:ligatures w14:val="none"/>
    </w:rPr>
  </w:style>
  <w:style w:type="paragraph" w:customStyle="1" w:styleId="Point1233">
    <w:name w:val="Point 123 (3)"/>
    <w:basedOn w:val="Normal"/>
    <w:rsid w:val="00E80A3B"/>
    <w:pPr>
      <w:numPr>
        <w:ilvl w:val="6"/>
        <w:numId w:val="1"/>
      </w:numPr>
      <w:spacing w:before="120" w:after="120" w:line="360" w:lineRule="auto"/>
    </w:pPr>
    <w:rPr>
      <w:rFonts w:ascii="Times New Roman" w:hAnsi="Times New Roman" w:cs="Times New Roman"/>
      <w:kern w:val="0"/>
      <w:sz w:val="24"/>
      <w:lang w:val="en-GB"/>
      <w14:ligatures w14:val="none"/>
    </w:rPr>
  </w:style>
  <w:style w:type="paragraph" w:customStyle="1" w:styleId="HeadingIVX">
    <w:name w:val="Heading IVX"/>
    <w:basedOn w:val="Normal"/>
    <w:next w:val="Normal"/>
    <w:rsid w:val="00E80A3B"/>
    <w:pPr>
      <w:numPr>
        <w:numId w:val="2"/>
      </w:numPr>
      <w:tabs>
        <w:tab w:val="clear" w:pos="567"/>
        <w:tab w:val="num" w:pos="360"/>
      </w:tabs>
      <w:spacing w:before="360" w:after="120" w:line="360" w:lineRule="auto"/>
      <w:ind w:left="0" w:firstLine="0"/>
      <w:outlineLvl w:val="0"/>
    </w:pPr>
    <w:rPr>
      <w:rFonts w:ascii="Times New Roman" w:hAnsi="Times New Roman" w:cs="Times New Roman"/>
      <w:b/>
      <w:caps/>
      <w:kern w:val="0"/>
      <w:sz w:val="24"/>
      <w:u w:val="single"/>
      <w:lang w:val="en-GB"/>
      <w14:ligatures w14:val="none"/>
    </w:rPr>
  </w:style>
  <w:style w:type="character" w:styleId="CommentReference">
    <w:name w:val="annotation reference"/>
    <w:basedOn w:val="DefaultParagraphFont"/>
    <w:uiPriority w:val="99"/>
    <w:semiHidden/>
    <w:unhideWhenUsed/>
    <w:rsid w:val="00EF69BE"/>
    <w:rPr>
      <w:sz w:val="16"/>
      <w:szCs w:val="16"/>
    </w:rPr>
  </w:style>
  <w:style w:type="paragraph" w:styleId="CommentText">
    <w:name w:val="annotation text"/>
    <w:basedOn w:val="Normal"/>
    <w:link w:val="CommentTextChar"/>
    <w:uiPriority w:val="99"/>
    <w:unhideWhenUsed/>
    <w:rsid w:val="00EF69BE"/>
    <w:pPr>
      <w:spacing w:line="240" w:lineRule="auto"/>
    </w:pPr>
    <w:rPr>
      <w:sz w:val="20"/>
      <w:szCs w:val="20"/>
    </w:rPr>
  </w:style>
  <w:style w:type="character" w:customStyle="1" w:styleId="CommentTextChar">
    <w:name w:val="Comment Text Char"/>
    <w:basedOn w:val="DefaultParagraphFont"/>
    <w:link w:val="CommentText"/>
    <w:uiPriority w:val="99"/>
    <w:rsid w:val="00EF69BE"/>
    <w:rPr>
      <w:sz w:val="20"/>
      <w:szCs w:val="20"/>
    </w:rPr>
  </w:style>
  <w:style w:type="paragraph" w:styleId="CommentSubject">
    <w:name w:val="annotation subject"/>
    <w:basedOn w:val="CommentText"/>
    <w:next w:val="CommentText"/>
    <w:link w:val="CommentSubjectChar"/>
    <w:uiPriority w:val="99"/>
    <w:semiHidden/>
    <w:unhideWhenUsed/>
    <w:rsid w:val="00EF69BE"/>
    <w:rPr>
      <w:b/>
      <w:bCs/>
    </w:rPr>
  </w:style>
  <w:style w:type="character" w:customStyle="1" w:styleId="CommentSubjectChar">
    <w:name w:val="Comment Subject Char"/>
    <w:basedOn w:val="CommentTextChar"/>
    <w:link w:val="CommentSubject"/>
    <w:uiPriority w:val="99"/>
    <w:semiHidden/>
    <w:rsid w:val="00EF69BE"/>
    <w:rPr>
      <w:b/>
      <w:bCs/>
      <w:sz w:val="20"/>
      <w:szCs w:val="20"/>
    </w:rPr>
  </w:style>
  <w:style w:type="paragraph" w:styleId="Header">
    <w:name w:val="header"/>
    <w:basedOn w:val="Normal"/>
    <w:link w:val="HeaderChar"/>
    <w:uiPriority w:val="99"/>
    <w:unhideWhenUsed/>
    <w:rsid w:val="000F1C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1CE6"/>
  </w:style>
  <w:style w:type="paragraph" w:styleId="Footer">
    <w:name w:val="footer"/>
    <w:basedOn w:val="Normal"/>
    <w:link w:val="FooterChar"/>
    <w:uiPriority w:val="99"/>
    <w:unhideWhenUsed/>
    <w:rsid w:val="000F1C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1CE6"/>
  </w:style>
  <w:style w:type="paragraph" w:styleId="FootnoteText">
    <w:name w:val="footnote text"/>
    <w:basedOn w:val="Normal"/>
    <w:link w:val="FootnoteTextChar"/>
    <w:uiPriority w:val="99"/>
    <w:semiHidden/>
    <w:unhideWhenUsed/>
    <w:rsid w:val="001126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266D"/>
    <w:rPr>
      <w:sz w:val="20"/>
      <w:szCs w:val="20"/>
    </w:rPr>
  </w:style>
  <w:style w:type="character" w:styleId="FootnoteReference">
    <w:name w:val="footnote reference"/>
    <w:basedOn w:val="DefaultParagraphFont"/>
    <w:uiPriority w:val="99"/>
    <w:semiHidden/>
    <w:unhideWhenUsed/>
    <w:rsid w:val="0011266D"/>
    <w:rPr>
      <w:vertAlign w:val="superscript"/>
    </w:rPr>
  </w:style>
  <w:style w:type="character" w:styleId="Hyperlink">
    <w:name w:val="Hyperlink"/>
    <w:basedOn w:val="DefaultParagraphFont"/>
    <w:uiPriority w:val="99"/>
    <w:unhideWhenUsed/>
    <w:rsid w:val="00361A1A"/>
    <w:rPr>
      <w:color w:val="467886" w:themeColor="hyperlink"/>
      <w:u w:val="single"/>
    </w:rPr>
  </w:style>
  <w:style w:type="character" w:styleId="UnresolvedMention">
    <w:name w:val="Unresolved Mention"/>
    <w:basedOn w:val="DefaultParagraphFont"/>
    <w:uiPriority w:val="99"/>
    <w:semiHidden/>
    <w:unhideWhenUsed/>
    <w:rsid w:val="00361A1A"/>
    <w:rPr>
      <w:color w:val="605E5C"/>
      <w:shd w:val="clear" w:color="auto" w:fill="E1DFDD"/>
    </w:rPr>
  </w:style>
  <w:style w:type="paragraph" w:styleId="Revision">
    <w:name w:val="Revision"/>
    <w:hidden/>
    <w:uiPriority w:val="99"/>
    <w:semiHidden/>
    <w:rsid w:val="00B74C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50186">
      <w:bodyDiv w:val="1"/>
      <w:marLeft w:val="0"/>
      <w:marRight w:val="0"/>
      <w:marTop w:val="0"/>
      <w:marBottom w:val="0"/>
      <w:divBdr>
        <w:top w:val="none" w:sz="0" w:space="0" w:color="auto"/>
        <w:left w:val="none" w:sz="0" w:space="0" w:color="auto"/>
        <w:bottom w:val="none" w:sz="0" w:space="0" w:color="auto"/>
        <w:right w:val="none" w:sz="0" w:space="0" w:color="auto"/>
      </w:divBdr>
    </w:div>
    <w:div w:id="303194366">
      <w:bodyDiv w:val="1"/>
      <w:marLeft w:val="0"/>
      <w:marRight w:val="0"/>
      <w:marTop w:val="0"/>
      <w:marBottom w:val="0"/>
      <w:divBdr>
        <w:top w:val="none" w:sz="0" w:space="0" w:color="auto"/>
        <w:left w:val="none" w:sz="0" w:space="0" w:color="auto"/>
        <w:bottom w:val="none" w:sz="0" w:space="0" w:color="auto"/>
        <w:right w:val="none" w:sz="0" w:space="0" w:color="auto"/>
      </w:divBdr>
    </w:div>
    <w:div w:id="304624150">
      <w:bodyDiv w:val="1"/>
      <w:marLeft w:val="0"/>
      <w:marRight w:val="0"/>
      <w:marTop w:val="0"/>
      <w:marBottom w:val="0"/>
      <w:divBdr>
        <w:top w:val="none" w:sz="0" w:space="0" w:color="auto"/>
        <w:left w:val="none" w:sz="0" w:space="0" w:color="auto"/>
        <w:bottom w:val="none" w:sz="0" w:space="0" w:color="auto"/>
        <w:right w:val="none" w:sz="0" w:space="0" w:color="auto"/>
      </w:divBdr>
      <w:divsChild>
        <w:div w:id="655576900">
          <w:marLeft w:val="0"/>
          <w:marRight w:val="0"/>
          <w:marTop w:val="0"/>
          <w:marBottom w:val="0"/>
          <w:divBdr>
            <w:top w:val="none" w:sz="0" w:space="0" w:color="auto"/>
            <w:left w:val="none" w:sz="0" w:space="0" w:color="auto"/>
            <w:bottom w:val="none" w:sz="0" w:space="0" w:color="auto"/>
            <w:right w:val="none" w:sz="0" w:space="0" w:color="auto"/>
          </w:divBdr>
          <w:divsChild>
            <w:div w:id="1951669671">
              <w:marLeft w:val="0"/>
              <w:marRight w:val="0"/>
              <w:marTop w:val="0"/>
              <w:marBottom w:val="0"/>
              <w:divBdr>
                <w:top w:val="none" w:sz="0" w:space="0" w:color="auto"/>
                <w:left w:val="none" w:sz="0" w:space="0" w:color="auto"/>
                <w:bottom w:val="none" w:sz="0" w:space="0" w:color="auto"/>
                <w:right w:val="none" w:sz="0" w:space="0" w:color="auto"/>
              </w:divBdr>
              <w:divsChild>
                <w:div w:id="1829403236">
                  <w:marLeft w:val="0"/>
                  <w:marRight w:val="0"/>
                  <w:marTop w:val="0"/>
                  <w:marBottom w:val="0"/>
                  <w:divBdr>
                    <w:top w:val="none" w:sz="0" w:space="0" w:color="auto"/>
                    <w:left w:val="none" w:sz="0" w:space="0" w:color="auto"/>
                    <w:bottom w:val="none" w:sz="0" w:space="0" w:color="auto"/>
                    <w:right w:val="none" w:sz="0" w:space="0" w:color="auto"/>
                  </w:divBdr>
                  <w:divsChild>
                    <w:div w:id="651327172">
                      <w:marLeft w:val="0"/>
                      <w:marRight w:val="0"/>
                      <w:marTop w:val="0"/>
                      <w:marBottom w:val="0"/>
                      <w:divBdr>
                        <w:top w:val="none" w:sz="0" w:space="0" w:color="auto"/>
                        <w:left w:val="none" w:sz="0" w:space="0" w:color="auto"/>
                        <w:bottom w:val="none" w:sz="0" w:space="0" w:color="auto"/>
                        <w:right w:val="none" w:sz="0" w:space="0" w:color="auto"/>
                      </w:divBdr>
                      <w:divsChild>
                        <w:div w:id="1183664127">
                          <w:marLeft w:val="0"/>
                          <w:marRight w:val="0"/>
                          <w:marTop w:val="0"/>
                          <w:marBottom w:val="0"/>
                          <w:divBdr>
                            <w:top w:val="none" w:sz="0" w:space="0" w:color="auto"/>
                            <w:left w:val="none" w:sz="0" w:space="0" w:color="auto"/>
                            <w:bottom w:val="none" w:sz="0" w:space="0" w:color="auto"/>
                            <w:right w:val="none" w:sz="0" w:space="0" w:color="auto"/>
                          </w:divBdr>
                          <w:divsChild>
                            <w:div w:id="141814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9281719">
      <w:bodyDiv w:val="1"/>
      <w:marLeft w:val="0"/>
      <w:marRight w:val="0"/>
      <w:marTop w:val="0"/>
      <w:marBottom w:val="0"/>
      <w:divBdr>
        <w:top w:val="none" w:sz="0" w:space="0" w:color="auto"/>
        <w:left w:val="none" w:sz="0" w:space="0" w:color="auto"/>
        <w:bottom w:val="none" w:sz="0" w:space="0" w:color="auto"/>
        <w:right w:val="none" w:sz="0" w:space="0" w:color="auto"/>
      </w:divBdr>
    </w:div>
    <w:div w:id="443698728">
      <w:bodyDiv w:val="1"/>
      <w:marLeft w:val="0"/>
      <w:marRight w:val="0"/>
      <w:marTop w:val="0"/>
      <w:marBottom w:val="0"/>
      <w:divBdr>
        <w:top w:val="none" w:sz="0" w:space="0" w:color="auto"/>
        <w:left w:val="none" w:sz="0" w:space="0" w:color="auto"/>
        <w:bottom w:val="none" w:sz="0" w:space="0" w:color="auto"/>
        <w:right w:val="none" w:sz="0" w:space="0" w:color="auto"/>
      </w:divBdr>
    </w:div>
    <w:div w:id="589510370">
      <w:bodyDiv w:val="1"/>
      <w:marLeft w:val="0"/>
      <w:marRight w:val="0"/>
      <w:marTop w:val="0"/>
      <w:marBottom w:val="0"/>
      <w:divBdr>
        <w:top w:val="none" w:sz="0" w:space="0" w:color="auto"/>
        <w:left w:val="none" w:sz="0" w:space="0" w:color="auto"/>
        <w:bottom w:val="none" w:sz="0" w:space="0" w:color="auto"/>
        <w:right w:val="none" w:sz="0" w:space="0" w:color="auto"/>
      </w:divBdr>
      <w:divsChild>
        <w:div w:id="249121434">
          <w:marLeft w:val="0"/>
          <w:marRight w:val="0"/>
          <w:marTop w:val="0"/>
          <w:marBottom w:val="0"/>
          <w:divBdr>
            <w:top w:val="none" w:sz="0" w:space="0" w:color="auto"/>
            <w:left w:val="none" w:sz="0" w:space="0" w:color="auto"/>
            <w:bottom w:val="none" w:sz="0" w:space="0" w:color="auto"/>
            <w:right w:val="none" w:sz="0" w:space="0" w:color="auto"/>
          </w:divBdr>
          <w:divsChild>
            <w:div w:id="1482885384">
              <w:marLeft w:val="0"/>
              <w:marRight w:val="0"/>
              <w:marTop w:val="0"/>
              <w:marBottom w:val="0"/>
              <w:divBdr>
                <w:top w:val="none" w:sz="0" w:space="0" w:color="auto"/>
                <w:left w:val="none" w:sz="0" w:space="0" w:color="auto"/>
                <w:bottom w:val="none" w:sz="0" w:space="0" w:color="auto"/>
                <w:right w:val="none" w:sz="0" w:space="0" w:color="auto"/>
              </w:divBdr>
              <w:divsChild>
                <w:div w:id="68694822">
                  <w:marLeft w:val="0"/>
                  <w:marRight w:val="0"/>
                  <w:marTop w:val="0"/>
                  <w:marBottom w:val="0"/>
                  <w:divBdr>
                    <w:top w:val="none" w:sz="0" w:space="0" w:color="auto"/>
                    <w:left w:val="none" w:sz="0" w:space="0" w:color="auto"/>
                    <w:bottom w:val="none" w:sz="0" w:space="0" w:color="auto"/>
                    <w:right w:val="none" w:sz="0" w:space="0" w:color="auto"/>
                  </w:divBdr>
                  <w:divsChild>
                    <w:div w:id="133258857">
                      <w:marLeft w:val="0"/>
                      <w:marRight w:val="0"/>
                      <w:marTop w:val="0"/>
                      <w:marBottom w:val="0"/>
                      <w:divBdr>
                        <w:top w:val="none" w:sz="0" w:space="0" w:color="auto"/>
                        <w:left w:val="none" w:sz="0" w:space="0" w:color="auto"/>
                        <w:bottom w:val="none" w:sz="0" w:space="0" w:color="auto"/>
                        <w:right w:val="none" w:sz="0" w:space="0" w:color="auto"/>
                      </w:divBdr>
                      <w:divsChild>
                        <w:div w:id="265385692">
                          <w:marLeft w:val="0"/>
                          <w:marRight w:val="0"/>
                          <w:marTop w:val="0"/>
                          <w:marBottom w:val="0"/>
                          <w:divBdr>
                            <w:top w:val="none" w:sz="0" w:space="0" w:color="auto"/>
                            <w:left w:val="none" w:sz="0" w:space="0" w:color="auto"/>
                            <w:bottom w:val="none" w:sz="0" w:space="0" w:color="auto"/>
                            <w:right w:val="none" w:sz="0" w:space="0" w:color="auto"/>
                          </w:divBdr>
                          <w:divsChild>
                            <w:div w:id="34605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915598">
      <w:bodyDiv w:val="1"/>
      <w:marLeft w:val="0"/>
      <w:marRight w:val="0"/>
      <w:marTop w:val="0"/>
      <w:marBottom w:val="0"/>
      <w:divBdr>
        <w:top w:val="none" w:sz="0" w:space="0" w:color="auto"/>
        <w:left w:val="none" w:sz="0" w:space="0" w:color="auto"/>
        <w:bottom w:val="none" w:sz="0" w:space="0" w:color="auto"/>
        <w:right w:val="none" w:sz="0" w:space="0" w:color="auto"/>
      </w:divBdr>
    </w:div>
    <w:div w:id="709110307">
      <w:bodyDiv w:val="1"/>
      <w:marLeft w:val="0"/>
      <w:marRight w:val="0"/>
      <w:marTop w:val="0"/>
      <w:marBottom w:val="0"/>
      <w:divBdr>
        <w:top w:val="none" w:sz="0" w:space="0" w:color="auto"/>
        <w:left w:val="none" w:sz="0" w:space="0" w:color="auto"/>
        <w:bottom w:val="none" w:sz="0" w:space="0" w:color="auto"/>
        <w:right w:val="none" w:sz="0" w:space="0" w:color="auto"/>
      </w:divBdr>
    </w:div>
    <w:div w:id="923803251">
      <w:bodyDiv w:val="1"/>
      <w:marLeft w:val="0"/>
      <w:marRight w:val="0"/>
      <w:marTop w:val="0"/>
      <w:marBottom w:val="0"/>
      <w:divBdr>
        <w:top w:val="none" w:sz="0" w:space="0" w:color="auto"/>
        <w:left w:val="none" w:sz="0" w:space="0" w:color="auto"/>
        <w:bottom w:val="none" w:sz="0" w:space="0" w:color="auto"/>
        <w:right w:val="none" w:sz="0" w:space="0" w:color="auto"/>
      </w:divBdr>
    </w:div>
    <w:div w:id="950554334">
      <w:bodyDiv w:val="1"/>
      <w:marLeft w:val="0"/>
      <w:marRight w:val="0"/>
      <w:marTop w:val="0"/>
      <w:marBottom w:val="0"/>
      <w:divBdr>
        <w:top w:val="none" w:sz="0" w:space="0" w:color="auto"/>
        <w:left w:val="none" w:sz="0" w:space="0" w:color="auto"/>
        <w:bottom w:val="none" w:sz="0" w:space="0" w:color="auto"/>
        <w:right w:val="none" w:sz="0" w:space="0" w:color="auto"/>
      </w:divBdr>
    </w:div>
    <w:div w:id="1026760320">
      <w:bodyDiv w:val="1"/>
      <w:marLeft w:val="0"/>
      <w:marRight w:val="0"/>
      <w:marTop w:val="0"/>
      <w:marBottom w:val="0"/>
      <w:divBdr>
        <w:top w:val="none" w:sz="0" w:space="0" w:color="auto"/>
        <w:left w:val="none" w:sz="0" w:space="0" w:color="auto"/>
        <w:bottom w:val="none" w:sz="0" w:space="0" w:color="auto"/>
        <w:right w:val="none" w:sz="0" w:space="0" w:color="auto"/>
      </w:divBdr>
    </w:div>
    <w:div w:id="1185748171">
      <w:bodyDiv w:val="1"/>
      <w:marLeft w:val="0"/>
      <w:marRight w:val="0"/>
      <w:marTop w:val="0"/>
      <w:marBottom w:val="0"/>
      <w:divBdr>
        <w:top w:val="none" w:sz="0" w:space="0" w:color="auto"/>
        <w:left w:val="none" w:sz="0" w:space="0" w:color="auto"/>
        <w:bottom w:val="none" w:sz="0" w:space="0" w:color="auto"/>
        <w:right w:val="none" w:sz="0" w:space="0" w:color="auto"/>
      </w:divBdr>
    </w:div>
    <w:div w:id="1337883863">
      <w:bodyDiv w:val="1"/>
      <w:marLeft w:val="0"/>
      <w:marRight w:val="0"/>
      <w:marTop w:val="0"/>
      <w:marBottom w:val="0"/>
      <w:divBdr>
        <w:top w:val="none" w:sz="0" w:space="0" w:color="auto"/>
        <w:left w:val="none" w:sz="0" w:space="0" w:color="auto"/>
        <w:bottom w:val="none" w:sz="0" w:space="0" w:color="auto"/>
        <w:right w:val="none" w:sz="0" w:space="0" w:color="auto"/>
      </w:divBdr>
    </w:div>
    <w:div w:id="1405227620">
      <w:bodyDiv w:val="1"/>
      <w:marLeft w:val="0"/>
      <w:marRight w:val="0"/>
      <w:marTop w:val="0"/>
      <w:marBottom w:val="0"/>
      <w:divBdr>
        <w:top w:val="none" w:sz="0" w:space="0" w:color="auto"/>
        <w:left w:val="none" w:sz="0" w:space="0" w:color="auto"/>
        <w:bottom w:val="none" w:sz="0" w:space="0" w:color="auto"/>
        <w:right w:val="none" w:sz="0" w:space="0" w:color="auto"/>
      </w:divBdr>
    </w:div>
    <w:div w:id="1435708914">
      <w:bodyDiv w:val="1"/>
      <w:marLeft w:val="0"/>
      <w:marRight w:val="0"/>
      <w:marTop w:val="0"/>
      <w:marBottom w:val="0"/>
      <w:divBdr>
        <w:top w:val="none" w:sz="0" w:space="0" w:color="auto"/>
        <w:left w:val="none" w:sz="0" w:space="0" w:color="auto"/>
        <w:bottom w:val="none" w:sz="0" w:space="0" w:color="auto"/>
        <w:right w:val="none" w:sz="0" w:space="0" w:color="auto"/>
      </w:divBdr>
    </w:div>
    <w:div w:id="1440369831">
      <w:bodyDiv w:val="1"/>
      <w:marLeft w:val="0"/>
      <w:marRight w:val="0"/>
      <w:marTop w:val="0"/>
      <w:marBottom w:val="0"/>
      <w:divBdr>
        <w:top w:val="none" w:sz="0" w:space="0" w:color="auto"/>
        <w:left w:val="none" w:sz="0" w:space="0" w:color="auto"/>
        <w:bottom w:val="none" w:sz="0" w:space="0" w:color="auto"/>
        <w:right w:val="none" w:sz="0" w:space="0" w:color="auto"/>
      </w:divBdr>
    </w:div>
    <w:div w:id="1571454294">
      <w:bodyDiv w:val="1"/>
      <w:marLeft w:val="0"/>
      <w:marRight w:val="0"/>
      <w:marTop w:val="0"/>
      <w:marBottom w:val="0"/>
      <w:divBdr>
        <w:top w:val="none" w:sz="0" w:space="0" w:color="auto"/>
        <w:left w:val="none" w:sz="0" w:space="0" w:color="auto"/>
        <w:bottom w:val="none" w:sz="0" w:space="0" w:color="auto"/>
        <w:right w:val="none" w:sz="0" w:space="0" w:color="auto"/>
      </w:divBdr>
    </w:div>
    <w:div w:id="1617640842">
      <w:bodyDiv w:val="1"/>
      <w:marLeft w:val="0"/>
      <w:marRight w:val="0"/>
      <w:marTop w:val="0"/>
      <w:marBottom w:val="0"/>
      <w:divBdr>
        <w:top w:val="none" w:sz="0" w:space="0" w:color="auto"/>
        <w:left w:val="none" w:sz="0" w:space="0" w:color="auto"/>
        <w:bottom w:val="none" w:sz="0" w:space="0" w:color="auto"/>
        <w:right w:val="none" w:sz="0" w:space="0" w:color="auto"/>
      </w:divBdr>
    </w:div>
    <w:div w:id="1731540678">
      <w:bodyDiv w:val="1"/>
      <w:marLeft w:val="0"/>
      <w:marRight w:val="0"/>
      <w:marTop w:val="0"/>
      <w:marBottom w:val="0"/>
      <w:divBdr>
        <w:top w:val="none" w:sz="0" w:space="0" w:color="auto"/>
        <w:left w:val="none" w:sz="0" w:space="0" w:color="auto"/>
        <w:bottom w:val="none" w:sz="0" w:space="0" w:color="auto"/>
        <w:right w:val="none" w:sz="0" w:space="0" w:color="auto"/>
      </w:divBdr>
    </w:div>
    <w:div w:id="1778675407">
      <w:bodyDiv w:val="1"/>
      <w:marLeft w:val="0"/>
      <w:marRight w:val="0"/>
      <w:marTop w:val="0"/>
      <w:marBottom w:val="0"/>
      <w:divBdr>
        <w:top w:val="none" w:sz="0" w:space="0" w:color="auto"/>
        <w:left w:val="none" w:sz="0" w:space="0" w:color="auto"/>
        <w:bottom w:val="none" w:sz="0" w:space="0" w:color="auto"/>
        <w:right w:val="none" w:sz="0" w:space="0" w:color="auto"/>
      </w:divBdr>
    </w:div>
    <w:div w:id="1870217198">
      <w:bodyDiv w:val="1"/>
      <w:marLeft w:val="0"/>
      <w:marRight w:val="0"/>
      <w:marTop w:val="0"/>
      <w:marBottom w:val="0"/>
      <w:divBdr>
        <w:top w:val="none" w:sz="0" w:space="0" w:color="auto"/>
        <w:left w:val="none" w:sz="0" w:space="0" w:color="auto"/>
        <w:bottom w:val="none" w:sz="0" w:space="0" w:color="auto"/>
        <w:right w:val="none" w:sz="0" w:space="0" w:color="auto"/>
      </w:divBdr>
      <w:divsChild>
        <w:div w:id="1651519443">
          <w:marLeft w:val="0"/>
          <w:marRight w:val="0"/>
          <w:marTop w:val="0"/>
          <w:marBottom w:val="0"/>
          <w:divBdr>
            <w:top w:val="none" w:sz="0" w:space="0" w:color="auto"/>
            <w:left w:val="none" w:sz="0" w:space="0" w:color="auto"/>
            <w:bottom w:val="none" w:sz="0" w:space="0" w:color="auto"/>
            <w:right w:val="none" w:sz="0" w:space="0" w:color="auto"/>
          </w:divBdr>
          <w:divsChild>
            <w:div w:id="1857965334">
              <w:marLeft w:val="0"/>
              <w:marRight w:val="0"/>
              <w:marTop w:val="0"/>
              <w:marBottom w:val="0"/>
              <w:divBdr>
                <w:top w:val="none" w:sz="0" w:space="0" w:color="auto"/>
                <w:left w:val="none" w:sz="0" w:space="0" w:color="auto"/>
                <w:bottom w:val="none" w:sz="0" w:space="0" w:color="auto"/>
                <w:right w:val="none" w:sz="0" w:space="0" w:color="auto"/>
              </w:divBdr>
              <w:divsChild>
                <w:div w:id="1354573102">
                  <w:marLeft w:val="0"/>
                  <w:marRight w:val="0"/>
                  <w:marTop w:val="0"/>
                  <w:marBottom w:val="0"/>
                  <w:divBdr>
                    <w:top w:val="none" w:sz="0" w:space="0" w:color="auto"/>
                    <w:left w:val="none" w:sz="0" w:space="0" w:color="auto"/>
                    <w:bottom w:val="none" w:sz="0" w:space="0" w:color="auto"/>
                    <w:right w:val="none" w:sz="0" w:space="0" w:color="auto"/>
                  </w:divBdr>
                  <w:divsChild>
                    <w:div w:id="150950363">
                      <w:marLeft w:val="0"/>
                      <w:marRight w:val="0"/>
                      <w:marTop w:val="0"/>
                      <w:marBottom w:val="0"/>
                      <w:divBdr>
                        <w:top w:val="none" w:sz="0" w:space="0" w:color="auto"/>
                        <w:left w:val="none" w:sz="0" w:space="0" w:color="auto"/>
                        <w:bottom w:val="none" w:sz="0" w:space="0" w:color="auto"/>
                        <w:right w:val="none" w:sz="0" w:space="0" w:color="auto"/>
                      </w:divBdr>
                      <w:divsChild>
                        <w:div w:id="1722827310">
                          <w:marLeft w:val="0"/>
                          <w:marRight w:val="0"/>
                          <w:marTop w:val="0"/>
                          <w:marBottom w:val="0"/>
                          <w:divBdr>
                            <w:top w:val="none" w:sz="0" w:space="0" w:color="auto"/>
                            <w:left w:val="none" w:sz="0" w:space="0" w:color="auto"/>
                            <w:bottom w:val="none" w:sz="0" w:space="0" w:color="auto"/>
                            <w:right w:val="none" w:sz="0" w:space="0" w:color="auto"/>
                          </w:divBdr>
                          <w:divsChild>
                            <w:div w:id="123662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144406">
      <w:bodyDiv w:val="1"/>
      <w:marLeft w:val="0"/>
      <w:marRight w:val="0"/>
      <w:marTop w:val="0"/>
      <w:marBottom w:val="0"/>
      <w:divBdr>
        <w:top w:val="none" w:sz="0" w:space="0" w:color="auto"/>
        <w:left w:val="none" w:sz="0" w:space="0" w:color="auto"/>
        <w:bottom w:val="none" w:sz="0" w:space="0" w:color="auto"/>
        <w:right w:val="none" w:sz="0" w:space="0" w:color="auto"/>
      </w:divBdr>
    </w:div>
    <w:div w:id="1924024842">
      <w:bodyDiv w:val="1"/>
      <w:marLeft w:val="0"/>
      <w:marRight w:val="0"/>
      <w:marTop w:val="0"/>
      <w:marBottom w:val="0"/>
      <w:divBdr>
        <w:top w:val="none" w:sz="0" w:space="0" w:color="auto"/>
        <w:left w:val="none" w:sz="0" w:space="0" w:color="auto"/>
        <w:bottom w:val="none" w:sz="0" w:space="0" w:color="auto"/>
        <w:right w:val="none" w:sz="0" w:space="0" w:color="auto"/>
      </w:divBdr>
    </w:div>
    <w:div w:id="1954239446">
      <w:bodyDiv w:val="1"/>
      <w:marLeft w:val="0"/>
      <w:marRight w:val="0"/>
      <w:marTop w:val="0"/>
      <w:marBottom w:val="0"/>
      <w:divBdr>
        <w:top w:val="none" w:sz="0" w:space="0" w:color="auto"/>
        <w:left w:val="none" w:sz="0" w:space="0" w:color="auto"/>
        <w:bottom w:val="none" w:sz="0" w:space="0" w:color="auto"/>
        <w:right w:val="none" w:sz="0" w:space="0" w:color="auto"/>
      </w:divBdr>
    </w:div>
    <w:div w:id="2067484491">
      <w:bodyDiv w:val="1"/>
      <w:marLeft w:val="0"/>
      <w:marRight w:val="0"/>
      <w:marTop w:val="0"/>
      <w:marBottom w:val="0"/>
      <w:divBdr>
        <w:top w:val="none" w:sz="0" w:space="0" w:color="auto"/>
        <w:left w:val="none" w:sz="0" w:space="0" w:color="auto"/>
        <w:bottom w:val="none" w:sz="0" w:space="0" w:color="auto"/>
        <w:right w:val="none" w:sz="0" w:space="0" w:color="auto"/>
      </w:divBdr>
      <w:divsChild>
        <w:div w:id="604848293">
          <w:marLeft w:val="0"/>
          <w:marRight w:val="0"/>
          <w:marTop w:val="0"/>
          <w:marBottom w:val="0"/>
          <w:divBdr>
            <w:top w:val="none" w:sz="0" w:space="0" w:color="auto"/>
            <w:left w:val="none" w:sz="0" w:space="0" w:color="auto"/>
            <w:bottom w:val="none" w:sz="0" w:space="0" w:color="auto"/>
            <w:right w:val="none" w:sz="0" w:space="0" w:color="auto"/>
          </w:divBdr>
          <w:divsChild>
            <w:div w:id="1244221303">
              <w:marLeft w:val="0"/>
              <w:marRight w:val="0"/>
              <w:marTop w:val="0"/>
              <w:marBottom w:val="0"/>
              <w:divBdr>
                <w:top w:val="none" w:sz="0" w:space="0" w:color="auto"/>
                <w:left w:val="none" w:sz="0" w:space="0" w:color="auto"/>
                <w:bottom w:val="none" w:sz="0" w:space="0" w:color="auto"/>
                <w:right w:val="none" w:sz="0" w:space="0" w:color="auto"/>
              </w:divBdr>
              <w:divsChild>
                <w:div w:id="40599543">
                  <w:marLeft w:val="0"/>
                  <w:marRight w:val="0"/>
                  <w:marTop w:val="0"/>
                  <w:marBottom w:val="0"/>
                  <w:divBdr>
                    <w:top w:val="none" w:sz="0" w:space="0" w:color="auto"/>
                    <w:left w:val="none" w:sz="0" w:space="0" w:color="auto"/>
                    <w:bottom w:val="none" w:sz="0" w:space="0" w:color="auto"/>
                    <w:right w:val="none" w:sz="0" w:space="0" w:color="auto"/>
                  </w:divBdr>
                  <w:divsChild>
                    <w:div w:id="485784384">
                      <w:marLeft w:val="0"/>
                      <w:marRight w:val="0"/>
                      <w:marTop w:val="0"/>
                      <w:marBottom w:val="0"/>
                      <w:divBdr>
                        <w:top w:val="none" w:sz="0" w:space="0" w:color="auto"/>
                        <w:left w:val="none" w:sz="0" w:space="0" w:color="auto"/>
                        <w:bottom w:val="none" w:sz="0" w:space="0" w:color="auto"/>
                        <w:right w:val="none" w:sz="0" w:space="0" w:color="auto"/>
                      </w:divBdr>
                      <w:divsChild>
                        <w:div w:id="349986773">
                          <w:marLeft w:val="0"/>
                          <w:marRight w:val="0"/>
                          <w:marTop w:val="0"/>
                          <w:marBottom w:val="0"/>
                          <w:divBdr>
                            <w:top w:val="none" w:sz="0" w:space="0" w:color="auto"/>
                            <w:left w:val="none" w:sz="0" w:space="0" w:color="auto"/>
                            <w:bottom w:val="none" w:sz="0" w:space="0" w:color="auto"/>
                            <w:right w:val="none" w:sz="0" w:space="0" w:color="auto"/>
                          </w:divBdr>
                          <w:divsChild>
                            <w:div w:id="66686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consilium.europa.eu/nl/press/press-releases/2026/03/11/eurogroup-president-pierrakakis-report-to-the-president-of-the-euro-summ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3546</ap:Words>
  <ap:Characters>19504</ap:Characters>
  <ap:DocSecurity>0</ap:DocSecurity>
  <ap:Lines>162</ap:Lines>
  <ap:Paragraphs>46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23004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2026-03-27T08:56:00.0000000Z</lastPrinted>
  <dcterms:created xsi:type="dcterms:W3CDTF">2026-03-30T11:53:00.0000000Z</dcterms:created>
  <dcterms:modified xsi:type="dcterms:W3CDTF">2026-03-30T11:53:00.0000000Z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0x0101009C7CE436063D44E9BE7DC0259EF7C32F006EB9F9836A634AE58B6169785FD3936F000B90A3F0719D6443B79D1401D1C7B56E</vt:lpwstr>
  </property>
  <property fmtid="{D5CDD505-2E9C-101B-9397-08002B2CF9AE}" pid="3" name="BZForumOrganisation">
    <vt:lpwstr>2;#Not applicable|0049e722-bfb1-4a3f-9d08-af7366a9af40</vt:lpwstr>
  </property>
  <property fmtid="{D5CDD505-2E9C-101B-9397-08002B2CF9AE}" pid="4" name="BZCountryState">
    <vt:lpwstr>3;#Not applicable|ec01d90b-9d0f-4785-8785-e1ea615196bf</vt:lpwstr>
  </property>
  <property fmtid="{D5CDD505-2E9C-101B-9397-08002B2CF9AE}" pid="5" name="BZMarking">
    <vt:lpwstr>5;#NO MARKING|0a4eb9ae-69eb-4d9e-b573-43ab99ef8592</vt:lpwstr>
  </property>
  <property fmtid="{D5CDD505-2E9C-101B-9397-08002B2CF9AE}" pid="6" name="BZTheme">
    <vt:lpwstr>1;#Not applicable|ec01d90b-9d0f-4785-8785-e1ea615196bf</vt:lpwstr>
  </property>
  <property fmtid="{D5CDD505-2E9C-101B-9397-08002B2CF9AE}" pid="7" name="BZClassification">
    <vt:lpwstr>4;#UNCLASSIFIED (U)|284e6a62-15ab-4017-be27-a1e965f4e940</vt:lpwstr>
  </property>
  <property fmtid="{D5CDD505-2E9C-101B-9397-08002B2CF9AE}" pid="8" name="_dlc_DocIdItemGuid">
    <vt:lpwstr>0de499de-5160-4d90-943a-6b5e649e1ea1</vt:lpwstr>
  </property>
  <property fmtid="{D5CDD505-2E9C-101B-9397-08002B2CF9AE}" pid="9" name="gc2efd3bfea04f7f8169be07009f5536">
    <vt:lpwstr/>
  </property>
  <property fmtid="{D5CDD505-2E9C-101B-9397-08002B2CF9AE}" pid="10" name="BZDossierSendTo">
    <vt:lpwstr/>
  </property>
  <property fmtid="{D5CDD505-2E9C-101B-9397-08002B2CF9AE}" pid="11" name="BZDossierResponsibleDepartment">
    <vt:lpwstr/>
  </property>
  <property fmtid="{D5CDD505-2E9C-101B-9397-08002B2CF9AE}" pid="12" name="BZDossierGovernmentOfficial">
    <vt:lpwstr/>
  </property>
  <property fmtid="{D5CDD505-2E9C-101B-9397-08002B2CF9AE}" pid="13" name="BZDossierProcessLocation">
    <vt:lpwstr/>
  </property>
  <property fmtid="{D5CDD505-2E9C-101B-9397-08002B2CF9AE}" pid="14" name="i42ef48d5fa942a0ad0d60e44f201751">
    <vt:lpwstr/>
  </property>
  <property fmtid="{D5CDD505-2E9C-101B-9397-08002B2CF9AE}" pid="15" name="BZDossierPublishingWOOCategory">
    <vt:lpwstr/>
  </property>
  <property fmtid="{D5CDD505-2E9C-101B-9397-08002B2CF9AE}" pid="16" name="f2fb2a8e39404f1ab554e4e4a49d2918">
    <vt:lpwstr/>
  </property>
  <property fmtid="{D5CDD505-2E9C-101B-9397-08002B2CF9AE}" pid="17" name="f8e003236e1c4ac2ab9051d5d8789bbb">
    <vt:lpwstr/>
  </property>
  <property fmtid="{D5CDD505-2E9C-101B-9397-08002B2CF9AE}" pid="18" name="p29721a54a5c4bbe9786e930fc91e270">
    <vt:lpwstr/>
  </property>
  <property fmtid="{D5CDD505-2E9C-101B-9397-08002B2CF9AE}" pid="19" name="BZDossierTemplate">
    <vt:lpwstr>ReguliereKamerbrief</vt:lpwstr>
  </property>
  <property fmtid="{D5CDD505-2E9C-101B-9397-08002B2CF9AE}" pid="20" name="e256f556a7b748329ab47889947c7d40">
    <vt:lpwstr/>
  </property>
  <property fmtid="{D5CDD505-2E9C-101B-9397-08002B2CF9AE}" pid="21" name="ed9282a3f18446ec8c17c7829edf82dd">
    <vt:lpwstr/>
  </property>
  <property fmtid="{D5CDD505-2E9C-101B-9397-08002B2CF9AE}" pid="22" name="BZDossierProcessType">
    <vt:lpwstr/>
  </property>
  <property fmtid="{D5CDD505-2E9C-101B-9397-08002B2CF9AE}" pid="23" name="URL">
    <vt:lpwstr>https://247.plaza.buzaservices.nl/subject/PV-RK2026022026/BZ2626172/Verslag%20Europese%20Raad%2019%20maart%202026.docx, </vt:lpwstr>
  </property>
  <property fmtid="{D5CDD505-2E9C-101B-9397-08002B2CF9AE}" pid="24" name="BZDossierBudgetManager">
    <vt:lpwstr/>
  </property>
  <property fmtid="{D5CDD505-2E9C-101B-9397-08002B2CF9AE}" pid="25" name="_docset_NoMedatataSyncRequired">
    <vt:lpwstr>False</vt:lpwstr>
  </property>
</Properties>
</file>