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643D3" w14:paraId="6C2ECD27" w14:textId="2A32DE6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29D66F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643D3">
              <w:t>de kopgroep die is gevormd met Duitsland, Denemarken, Griekenland, Oostenrijk en Nederland om “terugkeerhubs” te installeren in het buitenland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51844" w:rsidR="00C6487D" w:rsidP="00133AE9" w:rsidRDefault="007643D3" w14:paraId="6B65B161" w14:textId="3D402B6C">
            <w:pPr>
              <w:pStyle w:val="referentiegegevens"/>
            </w:pPr>
            <w:r w:rsidRPr="007643D3">
              <w:t>7268105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643D3" w:rsidR="00C6487D" w:rsidP="00133AE9" w:rsidRDefault="007643D3" w14:paraId="7E785020" w14:textId="183A6528">
            <w:pPr>
              <w:pStyle w:val="referentiegegevens"/>
            </w:pPr>
            <w:r w:rsidRPr="007643D3">
              <w:t>2026Z04651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FF8BF9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643D3">
        <w:rPr>
          <w:rFonts w:cs="Utopia"/>
          <w:color w:val="000000"/>
        </w:rPr>
        <w:t>het lid</w:t>
      </w:r>
      <w:r w:rsidR="00F64F6A">
        <w:t xml:space="preserve"> </w:t>
      </w:r>
      <w:r w:rsidR="007643D3">
        <w:t>Westerveld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643D3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643D3">
        <w:t>de kopgroep die is gevormd met Duitsland, Denemarken, Griekenland, Oostenrijk en Nederland om “terugkeerhubs” te installeren in het buitenland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643D3">
        <w:t>9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53B8C3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643D3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7643D3" w14:paraId="514717E7" w14:textId="7C8CCC3A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0F9F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643D3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17EE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D2F92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1305</ap:Characters>
  <ap:DocSecurity>0</ap:DocSecurity>
  <ap:Lines>10</ap:Lines>
  <ap:Paragraphs>2</ap:Paragraphs>
  <ap:ScaleCrop>false</ap:ScaleCrop>
  <ap:LinksUpToDate>false</ap:LinksUpToDate>
  <ap:CharactersWithSpaces>1475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2026-03-30T12:57:00.0000000Z</dcterms:created>
  <dcterms:modified xsi:type="dcterms:W3CDTF">2026-03-30T12:57:00.0000000Z</dcterms:modified>
  <category/>
  <dc:description>------------------------</dc:description>
  <version/>
</coreProperties>
</file>