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223C" w:rsidR="0064223C" w:rsidRDefault="00261CDB" w14:paraId="7C1318C8" w14:textId="7D164628">
      <w:pPr>
        <w:rPr>
          <w:rFonts w:ascii="Calibri" w:hAnsi="Calibri" w:cs="Calibri"/>
        </w:rPr>
      </w:pPr>
      <w:r w:rsidRPr="0064223C">
        <w:rPr>
          <w:rFonts w:ascii="Calibri" w:hAnsi="Calibri" w:cs="Calibri"/>
        </w:rPr>
        <w:t>19</w:t>
      </w:r>
      <w:r w:rsidRPr="0064223C" w:rsidR="0064223C">
        <w:rPr>
          <w:rFonts w:ascii="Calibri" w:hAnsi="Calibri" w:cs="Calibri"/>
        </w:rPr>
        <w:t xml:space="preserve"> </w:t>
      </w:r>
      <w:r w:rsidRPr="0064223C">
        <w:rPr>
          <w:rFonts w:ascii="Calibri" w:hAnsi="Calibri" w:cs="Calibri"/>
        </w:rPr>
        <w:t>637</w:t>
      </w:r>
      <w:r w:rsidRPr="0064223C" w:rsidR="0064223C">
        <w:rPr>
          <w:rFonts w:ascii="Calibri" w:hAnsi="Calibri" w:cs="Calibri"/>
        </w:rPr>
        <w:tab/>
      </w:r>
      <w:r w:rsidRPr="0064223C" w:rsidR="0064223C">
        <w:rPr>
          <w:rFonts w:ascii="Calibri" w:hAnsi="Calibri" w:cs="Calibri"/>
        </w:rPr>
        <w:tab/>
        <w:t>Vreemdelingenbeleid</w:t>
      </w:r>
    </w:p>
    <w:p w:rsidRPr="0064223C" w:rsidR="0064223C" w:rsidRDefault="00261CDB" w14:paraId="19876511" w14:textId="5A8E56A1">
      <w:pPr>
        <w:rPr>
          <w:rFonts w:ascii="Calibri" w:hAnsi="Calibri" w:cs="Calibri"/>
        </w:rPr>
      </w:pPr>
      <w:r w:rsidRPr="0064223C">
        <w:rPr>
          <w:rFonts w:ascii="Calibri" w:hAnsi="Calibri" w:cs="Calibri"/>
        </w:rPr>
        <w:t>29</w:t>
      </w:r>
      <w:r w:rsidRPr="0064223C" w:rsidR="0064223C">
        <w:rPr>
          <w:rFonts w:ascii="Calibri" w:hAnsi="Calibri" w:cs="Calibri"/>
        </w:rPr>
        <w:t xml:space="preserve"> </w:t>
      </w:r>
      <w:r w:rsidRPr="0064223C">
        <w:rPr>
          <w:rFonts w:ascii="Calibri" w:hAnsi="Calibri" w:cs="Calibri"/>
        </w:rPr>
        <w:t>325</w:t>
      </w:r>
      <w:r w:rsidRPr="0064223C" w:rsidR="0064223C">
        <w:rPr>
          <w:rFonts w:ascii="Calibri" w:hAnsi="Calibri" w:cs="Calibri"/>
        </w:rPr>
        <w:tab/>
      </w:r>
      <w:r w:rsidRPr="0064223C" w:rsidR="0064223C">
        <w:rPr>
          <w:rFonts w:ascii="Calibri" w:hAnsi="Calibri" w:cs="Calibri"/>
        </w:rPr>
        <w:tab/>
        <w:t xml:space="preserve">Maatschappelijke Opvang </w:t>
      </w:r>
    </w:p>
    <w:p w:rsidRPr="0064223C" w:rsidR="0064223C" w:rsidP="0064223C" w:rsidRDefault="0064223C" w14:paraId="249B84FE" w14:textId="2AAEED6E">
      <w:pPr>
        <w:rPr>
          <w:rFonts w:ascii="Calibri" w:hAnsi="Calibri" w:cs="Calibri"/>
        </w:rPr>
      </w:pPr>
      <w:r w:rsidRPr="0064223C">
        <w:rPr>
          <w:rFonts w:ascii="Calibri" w:hAnsi="Calibri" w:cs="Calibri"/>
        </w:rPr>
        <w:t>Nr. 3524</w:t>
      </w:r>
      <w:r w:rsidRPr="0064223C">
        <w:rPr>
          <w:rFonts w:ascii="Calibri" w:hAnsi="Calibri" w:cs="Calibri"/>
        </w:rPr>
        <w:tab/>
        <w:t>Brief van de minister van Asiel en Migratie</w:t>
      </w:r>
    </w:p>
    <w:p w:rsidRPr="0064223C" w:rsidR="0064223C" w:rsidP="0064223C" w:rsidRDefault="0064223C" w14:paraId="4083AEAC" w14:textId="77777777">
      <w:pPr>
        <w:rPr>
          <w:rFonts w:ascii="Calibri" w:hAnsi="Calibri" w:cs="Calibri"/>
        </w:rPr>
      </w:pPr>
      <w:r w:rsidRPr="0064223C">
        <w:rPr>
          <w:rFonts w:ascii="Calibri" w:hAnsi="Calibri" w:cs="Calibri"/>
        </w:rPr>
        <w:t>Aan de Voorzitter van de Tweede Kamer der Staten-Generaal</w:t>
      </w:r>
    </w:p>
    <w:p w:rsidRPr="0064223C" w:rsidR="00261CDB" w:rsidP="0064223C" w:rsidRDefault="0064223C" w14:paraId="55C74C83" w14:textId="09617D5C">
      <w:pPr>
        <w:rPr>
          <w:rFonts w:ascii="Calibri" w:hAnsi="Calibri" w:cs="Calibri"/>
        </w:rPr>
      </w:pPr>
      <w:r w:rsidRPr="0064223C">
        <w:rPr>
          <w:rFonts w:ascii="Calibri" w:hAnsi="Calibri" w:cs="Calibri"/>
        </w:rPr>
        <w:t>Den Haag, 30 maart 2026</w:t>
      </w:r>
      <w:r w:rsidRPr="0064223C">
        <w:rPr>
          <w:rFonts w:ascii="Calibri" w:hAnsi="Calibri" w:cs="Calibri"/>
        </w:rPr>
        <w:br/>
      </w:r>
      <w:r w:rsidRPr="0064223C" w:rsidR="00261CDB">
        <w:rPr>
          <w:rFonts w:ascii="Calibri" w:hAnsi="Calibri" w:cs="Calibri"/>
        </w:rPr>
        <w:br/>
        <w:t>Tijdens de begrotingsbehandeling van het ministerie van Asiel en Migratie in november 2024 heeft mijn ambtsvoorganger naar aanleiding van een vraag van het lid Diederik van Dijk (SGP) de toezegging gedaan om te onderzoeken of de financiële bijdrage aan asielzoekers of statushouders voor verblijf bij een gastgezin in het kader van de logeerregeling (wooncomponent) direct aan gastgezinnen kan worden uitgekeerd in plaats van aan de asielzoeker of statushouder. Daarnaast heeft mijn ambtsvoorganger, ook naar aanleiding van vragen van het lid Van Dijk, in het commissiedebat over Vreemdelingen- en asielbeleid van 5 februari 2025 toegezegd de mogelijkheden voor een vrijwilligersvergoeding voor gastgezinnen te verkennen en de Tweede Kamer hierover te informeren. Tijdens het commissiedebat van 9 december 2025 is dit onderwerp nogmaals ter sprake gebracht door het lid van Dijk. In deze brief wordt uw Kamer over de uitwerking van de toezeggingen geïnformeerd.</w:t>
      </w:r>
    </w:p>
    <w:p w:rsidRPr="0064223C" w:rsidR="00261CDB" w:rsidP="00261CDB" w:rsidRDefault="00261CDB" w14:paraId="59CF25AA" w14:textId="77777777">
      <w:pPr>
        <w:spacing w:after="0"/>
        <w:rPr>
          <w:rFonts w:ascii="Calibri" w:hAnsi="Calibri" w:cs="Calibri"/>
        </w:rPr>
      </w:pPr>
    </w:p>
    <w:p w:rsidRPr="0064223C" w:rsidR="00261CDB" w:rsidP="00261CDB" w:rsidRDefault="00261CDB" w14:paraId="7AE4D00F" w14:textId="77777777">
      <w:pPr>
        <w:spacing w:after="0"/>
        <w:rPr>
          <w:rFonts w:ascii="Calibri" w:hAnsi="Calibri" w:cs="Calibri"/>
          <w:i/>
          <w:iCs/>
        </w:rPr>
      </w:pPr>
      <w:r w:rsidRPr="0064223C">
        <w:rPr>
          <w:rFonts w:ascii="Calibri" w:hAnsi="Calibri" w:cs="Calibri"/>
          <w:i/>
          <w:iCs/>
        </w:rPr>
        <w:t>Uitkeren wooncomponent aan gastgezinnen</w:t>
      </w:r>
    </w:p>
    <w:p w:rsidRPr="0064223C" w:rsidR="00261CDB" w:rsidP="00261CDB" w:rsidRDefault="00261CDB" w14:paraId="370EBF78" w14:textId="77777777">
      <w:pPr>
        <w:spacing w:after="0"/>
        <w:rPr>
          <w:rFonts w:ascii="Calibri" w:hAnsi="Calibri" w:cs="Calibri"/>
        </w:rPr>
      </w:pPr>
      <w:r w:rsidRPr="0064223C">
        <w:rPr>
          <w:rFonts w:ascii="Calibri" w:hAnsi="Calibri" w:cs="Calibri"/>
        </w:rPr>
        <w:t>Bewoners van een azc van 21 jaar of ouder die onder de logeerregeling bij een gastgezin, familie of vrienden logeren krijgen van het COA een wooncomponent uitgekeerd. Dat is een financiële vergoeding van €75 per week voor het doen van afstand van het recht op onderdak bij het COA en tegelijkertijd een stimulans voor de bewoner om buiten de COA-opvang te verblijven. De logeerder en het gastgezin kunnen zelf afspraken maken over een financiële bijdrage vanuit de logeerder voor de dekking van meerkosten van het gastgezin. Deze wooncomponent wordt uitgekeerd op basis van een overeenkomst tussen de logerende asielzoeker of statushouder en het COA. Daarom is het niet mogelijk de wooncomponent rechtstreeks aan het gastgezin toe te kennen omdat hiervoor geen grondslag bestaat. Het is wel mogelijk dat de logerende asielzoeker of statushouder via een akte van cessie (het overdragen van een vordering) afstand doet van de wooncomponent en deze vordering overdraagt aan een lid van het gastgezin. Daarnaast kunnen de logeerder en het gastgezin onderling afspraken maken over de besteding van de wooncomponent.</w:t>
      </w:r>
    </w:p>
    <w:p w:rsidRPr="0064223C" w:rsidR="00261CDB" w:rsidP="00261CDB" w:rsidRDefault="00261CDB" w14:paraId="4BD42759" w14:textId="77777777">
      <w:pPr>
        <w:spacing w:after="0"/>
        <w:rPr>
          <w:rFonts w:ascii="Calibri" w:hAnsi="Calibri" w:cs="Calibri"/>
          <w:i/>
          <w:iCs/>
        </w:rPr>
      </w:pPr>
    </w:p>
    <w:p w:rsidRPr="0064223C" w:rsidR="00261CDB" w:rsidP="00261CDB" w:rsidRDefault="00261CDB" w14:paraId="24F6697C" w14:textId="77777777">
      <w:pPr>
        <w:spacing w:after="0"/>
        <w:rPr>
          <w:rFonts w:ascii="Calibri" w:hAnsi="Calibri" w:cs="Calibri"/>
        </w:rPr>
      </w:pPr>
      <w:r w:rsidRPr="0064223C">
        <w:rPr>
          <w:rFonts w:ascii="Calibri" w:hAnsi="Calibri" w:cs="Calibri"/>
          <w:i/>
          <w:iCs/>
        </w:rPr>
        <w:t>Uitwerking vrijwilligersvergoeding voor gastgezinnen</w:t>
      </w:r>
    </w:p>
    <w:p w:rsidRPr="0064223C" w:rsidR="00261CDB" w:rsidP="00261CDB" w:rsidRDefault="00261CDB" w14:paraId="1C397FF5" w14:textId="77777777">
      <w:pPr>
        <w:spacing w:after="0"/>
        <w:rPr>
          <w:rFonts w:ascii="Calibri" w:hAnsi="Calibri" w:cs="Calibri"/>
        </w:rPr>
      </w:pPr>
      <w:r w:rsidRPr="0064223C">
        <w:rPr>
          <w:rFonts w:ascii="Calibri" w:hAnsi="Calibri" w:cs="Calibri"/>
        </w:rPr>
        <w:t xml:space="preserve">De logeerregeling wordt uitgevoerd door de stichting Takecarebnb. Zij bemiddelen tussen logerende azc-bewoners en gastgezinnen. Omdat er vanuit azc-bewoners meer behoefte is om buiten de opvang te verblijven dan dat er gastgezinnen zijn, </w:t>
      </w:r>
      <w:r w:rsidRPr="0064223C">
        <w:rPr>
          <w:rFonts w:ascii="Calibri" w:hAnsi="Calibri" w:cs="Calibri"/>
        </w:rPr>
        <w:lastRenderedPageBreak/>
        <w:t xml:space="preserve">pleit Takecarebnb al langere tijd voor een vrijwilligersvergoeding voor gastgezinnen. Takecarebnb verwacht met een vrijwilligersvergoeding van €150 per maand 50 gastgezinnen per jaar extra kunnen werven, bovenop de circa 500 matches die zij normaliter al halen, alleen dit staat niet zonder meer vast. Daarom heb ik besloten om met de vrijwilligersvergoeding voor gastgezinnen een pilot te draaien van één jaar, startend op 1 mei 2026. Hierbij ontvangen gastgezinnen die via Takecarebnb bemiddeld zijn een vergoeding van €150 per maand voor de periode dat een asielzoeker of statushouder bij het gastgezin verblijft. Met Takecarebnb is gesproken om zich bij de werving van gastgezinnen te focussen op statushouders die in de noodopvang verblijven. In deze pilot kan worden bezien of een vrijwilligersvergoeding daadwerkelijk voor meer gastgezinnen zorgt. Ook wordt hiermee de inzet van gastgezinnen erkend en krijgen zij een vergoeding voor de meerkosten van een extra gezinslid. In het voorjaar van 2027 zal ik evalueren of de pilot het gewenste effect heeft en of ik hiermee door zal gaan. Hierover zal ik uw Kamer te zijner tijd informeren. </w:t>
      </w:r>
    </w:p>
    <w:p w:rsidRPr="0064223C" w:rsidR="00261CDB" w:rsidP="0064223C" w:rsidRDefault="00261CDB" w14:paraId="316B3A30" w14:textId="77777777">
      <w:pPr>
        <w:pStyle w:val="Geenafstand"/>
        <w:rPr>
          <w:rFonts w:ascii="Calibri" w:hAnsi="Calibri" w:cs="Calibri"/>
        </w:rPr>
      </w:pPr>
    </w:p>
    <w:p w:rsidRPr="0064223C" w:rsidR="00261CDB" w:rsidP="0064223C" w:rsidRDefault="00261CDB" w14:paraId="79A42118" w14:textId="6A8CFFF9">
      <w:pPr>
        <w:pStyle w:val="Geenafstand"/>
        <w:rPr>
          <w:rFonts w:ascii="Calibri" w:hAnsi="Calibri" w:cs="Calibri"/>
        </w:rPr>
      </w:pPr>
      <w:r w:rsidRPr="0064223C">
        <w:rPr>
          <w:rFonts w:ascii="Calibri" w:hAnsi="Calibri" w:cs="Calibri"/>
        </w:rPr>
        <w:t xml:space="preserve">De </w:t>
      </w:r>
      <w:r w:rsidRPr="0064223C" w:rsidR="0064223C">
        <w:rPr>
          <w:rFonts w:ascii="Calibri" w:hAnsi="Calibri" w:cs="Calibri"/>
        </w:rPr>
        <w:t>m</w:t>
      </w:r>
      <w:r w:rsidRPr="0064223C">
        <w:rPr>
          <w:rFonts w:ascii="Calibri" w:hAnsi="Calibri" w:cs="Calibri"/>
        </w:rPr>
        <w:t>inister van Asiel en Migratie,</w:t>
      </w:r>
    </w:p>
    <w:p w:rsidRPr="0064223C" w:rsidR="00261CDB" w:rsidP="0064223C" w:rsidRDefault="0064223C" w14:paraId="5CB8D82A" w14:textId="04C3D248">
      <w:pPr>
        <w:pStyle w:val="Geenafstand"/>
        <w:rPr>
          <w:rFonts w:ascii="Calibri" w:hAnsi="Calibri" w:cs="Calibri"/>
        </w:rPr>
      </w:pPr>
      <w:r w:rsidRPr="0064223C">
        <w:rPr>
          <w:rFonts w:ascii="Calibri" w:hAnsi="Calibri" w:cs="Calibri"/>
        </w:rPr>
        <w:t>G.</w:t>
      </w:r>
      <w:r w:rsidRPr="0064223C" w:rsidR="00261CDB">
        <w:rPr>
          <w:rFonts w:ascii="Calibri" w:hAnsi="Calibri" w:cs="Calibri"/>
        </w:rPr>
        <w:t xml:space="preserve"> van den Brink</w:t>
      </w:r>
    </w:p>
    <w:p w:rsidRPr="0064223C" w:rsidR="00F80165" w:rsidP="0064223C" w:rsidRDefault="00F80165" w14:paraId="3A49B36D" w14:textId="77777777">
      <w:pPr>
        <w:pStyle w:val="Geenafstand"/>
        <w:rPr>
          <w:rFonts w:ascii="Calibri" w:hAnsi="Calibri" w:cs="Calibri"/>
        </w:rPr>
      </w:pPr>
    </w:p>
    <w:sectPr w:rsidRPr="0064223C" w:rsidR="00F80165" w:rsidSect="00261CD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B06C" w14:textId="77777777" w:rsidR="00261CDB" w:rsidRDefault="00261CDB" w:rsidP="00261CDB">
      <w:pPr>
        <w:spacing w:after="0" w:line="240" w:lineRule="auto"/>
      </w:pPr>
      <w:r>
        <w:separator/>
      </w:r>
    </w:p>
  </w:endnote>
  <w:endnote w:type="continuationSeparator" w:id="0">
    <w:p w14:paraId="5853A21A" w14:textId="77777777" w:rsidR="00261CDB" w:rsidRDefault="00261CDB" w:rsidP="0026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FE72" w14:textId="77777777" w:rsidR="00261CDB" w:rsidRPr="00261CDB" w:rsidRDefault="00261CDB" w:rsidP="00261C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B21E" w14:textId="77777777" w:rsidR="00261CDB" w:rsidRPr="00261CDB" w:rsidRDefault="00261CDB" w:rsidP="00261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F6F3" w14:textId="77777777" w:rsidR="00261CDB" w:rsidRPr="00261CDB" w:rsidRDefault="00261CDB" w:rsidP="00261C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B568" w14:textId="77777777" w:rsidR="00261CDB" w:rsidRDefault="00261CDB" w:rsidP="00261CDB">
      <w:pPr>
        <w:spacing w:after="0" w:line="240" w:lineRule="auto"/>
      </w:pPr>
      <w:r>
        <w:separator/>
      </w:r>
    </w:p>
  </w:footnote>
  <w:footnote w:type="continuationSeparator" w:id="0">
    <w:p w14:paraId="2B82F972" w14:textId="77777777" w:rsidR="00261CDB" w:rsidRDefault="00261CDB" w:rsidP="0026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4AD5" w14:textId="77777777" w:rsidR="00261CDB" w:rsidRPr="00261CDB" w:rsidRDefault="00261CDB" w:rsidP="00261C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B792" w14:textId="77777777" w:rsidR="00261CDB" w:rsidRPr="00261CDB" w:rsidRDefault="00261CDB" w:rsidP="00261C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96A9" w14:textId="77777777" w:rsidR="00261CDB" w:rsidRPr="00261CDB" w:rsidRDefault="00261CDB" w:rsidP="00261C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B"/>
    <w:rsid w:val="001E1985"/>
    <w:rsid w:val="00261CDB"/>
    <w:rsid w:val="00533CC1"/>
    <w:rsid w:val="0064223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F5EB"/>
  <w15:chartTrackingRefBased/>
  <w15:docId w15:val="{D31EDE08-62E1-4F12-B30C-51B26EA4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C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C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C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C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C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C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C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C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C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C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C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C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C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C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C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CDB"/>
    <w:rPr>
      <w:rFonts w:eastAsiaTheme="majorEastAsia" w:cstheme="majorBidi"/>
      <w:color w:val="272727" w:themeColor="text1" w:themeTint="D8"/>
    </w:rPr>
  </w:style>
  <w:style w:type="paragraph" w:styleId="Titel">
    <w:name w:val="Title"/>
    <w:basedOn w:val="Standaard"/>
    <w:next w:val="Standaard"/>
    <w:link w:val="TitelChar"/>
    <w:uiPriority w:val="10"/>
    <w:qFormat/>
    <w:rsid w:val="00261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C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C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C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C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CDB"/>
    <w:rPr>
      <w:i/>
      <w:iCs/>
      <w:color w:val="404040" w:themeColor="text1" w:themeTint="BF"/>
    </w:rPr>
  </w:style>
  <w:style w:type="paragraph" w:styleId="Lijstalinea">
    <w:name w:val="List Paragraph"/>
    <w:basedOn w:val="Standaard"/>
    <w:uiPriority w:val="34"/>
    <w:qFormat/>
    <w:rsid w:val="00261CDB"/>
    <w:pPr>
      <w:ind w:left="720"/>
      <w:contextualSpacing/>
    </w:pPr>
  </w:style>
  <w:style w:type="character" w:styleId="Intensievebenadrukking">
    <w:name w:val="Intense Emphasis"/>
    <w:basedOn w:val="Standaardalinea-lettertype"/>
    <w:uiPriority w:val="21"/>
    <w:qFormat/>
    <w:rsid w:val="00261CDB"/>
    <w:rPr>
      <w:i/>
      <w:iCs/>
      <w:color w:val="0F4761" w:themeColor="accent1" w:themeShade="BF"/>
    </w:rPr>
  </w:style>
  <w:style w:type="paragraph" w:styleId="Duidelijkcitaat">
    <w:name w:val="Intense Quote"/>
    <w:basedOn w:val="Standaard"/>
    <w:next w:val="Standaard"/>
    <w:link w:val="DuidelijkcitaatChar"/>
    <w:uiPriority w:val="30"/>
    <w:qFormat/>
    <w:rsid w:val="00261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CDB"/>
    <w:rPr>
      <w:i/>
      <w:iCs/>
      <w:color w:val="0F4761" w:themeColor="accent1" w:themeShade="BF"/>
    </w:rPr>
  </w:style>
  <w:style w:type="character" w:styleId="Intensieveverwijzing">
    <w:name w:val="Intense Reference"/>
    <w:basedOn w:val="Standaardalinea-lettertype"/>
    <w:uiPriority w:val="32"/>
    <w:qFormat/>
    <w:rsid w:val="00261CDB"/>
    <w:rPr>
      <w:b/>
      <w:bCs/>
      <w:smallCaps/>
      <w:color w:val="0F4761" w:themeColor="accent1" w:themeShade="BF"/>
      <w:spacing w:val="5"/>
    </w:rPr>
  </w:style>
  <w:style w:type="paragraph" w:customStyle="1" w:styleId="Referentiegegevens">
    <w:name w:val="Referentiegegevens"/>
    <w:basedOn w:val="Standaard"/>
    <w:next w:val="Standaard"/>
    <w:rsid w:val="00261C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61C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61C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61C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61C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CDB"/>
  </w:style>
  <w:style w:type="paragraph" w:styleId="Voettekst">
    <w:name w:val="footer"/>
    <w:basedOn w:val="Standaard"/>
    <w:link w:val="VoettekstChar"/>
    <w:uiPriority w:val="99"/>
    <w:unhideWhenUsed/>
    <w:rsid w:val="00261C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CDB"/>
  </w:style>
  <w:style w:type="paragraph" w:styleId="Geenafstand">
    <w:name w:val="No Spacing"/>
    <w:uiPriority w:val="1"/>
    <w:qFormat/>
    <w:rsid w:val="00642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584</ap:Words>
  <ap:Characters>3218</ap:Characters>
  <ap:DocSecurity>0</ap:DocSecurity>
  <ap:Lines>26</ap:Lines>
  <ap:Paragraphs>7</ap:Paragraphs>
  <ap:ScaleCrop>false</ap:ScaleCrop>
  <ap:LinksUpToDate>false</ap:LinksUpToDate>
  <ap:CharactersWithSpaces>3795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2026-04-01T12:05:00.0000000Z</dcterms:created>
  <dcterms:modified xsi:type="dcterms:W3CDTF">2026-04-01T12:05:00.0000000Z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