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2026Z06622</w:t>
        <w:br/>
      </w:r>
      <w:proofErr w:type="spellEnd"/>
    </w:p>
    <w:p>
      <w:pPr>
        <w:pStyle w:val="Normal"/>
        <w:rPr>
          <w:b w:val="1"/>
          <w:bCs w:val="1"/>
        </w:rPr>
      </w:pPr>
      <w:r w:rsidR="250AE766">
        <w:rPr>
          <w:b w:val="0"/>
          <w:bCs w:val="0"/>
        </w:rPr>
        <w:t>(ingezonden 31 maart 2026)</w:t>
        <w:br/>
      </w:r>
    </w:p>
    <w:p>
      <w:r>
        <w:t xml:space="preserve">Vragen van de leden Stultiens en Bushoff (beiden GroenLinks-PvdA) aan de ministers van Financiën en van Justitie en Veiligheid over ongewenste financiële constructies</w:t>
      </w:r>
      <w:r>
        <w:br/>
      </w:r>
    </w:p>
    <w:p>
      <w:pPr>
        <w:pStyle w:val="ListParagraph"/>
        <w:numPr>
          <w:ilvl w:val="0"/>
          <w:numId w:val="100502570"/>
        </w:numPr>
        <w:ind w:left="360"/>
      </w:pPr>
      <w:r>
        <w:t xml:space="preserve">Bent u bekend met het feit dat uitkering van toekomstige winst door een besloten vennootschap (BV) in de regel leidt tot een gelijk bedrag aan schulden aan banken, leveranciers en consumenten?</w:t>
      </w:r>
      <w:r>
        <w:br/>
      </w:r>
    </w:p>
    <w:p>
      <w:pPr>
        <w:pStyle w:val="ListParagraph"/>
        <w:numPr>
          <w:ilvl w:val="0"/>
          <w:numId w:val="100502570"/>
        </w:numPr>
        <w:ind w:left="360"/>
      </w:pPr>
      <w:r>
        <w:t xml:space="preserve">Hoe vaak komt het volgens u voor dat ondernemingen overgaan tot het uitkeren van toekomstige winst? In welke sectoren komt dit vaak voor en bij welke financieringsmodellen?</w:t>
      </w:r>
      <w:r>
        <w:br/>
      </w:r>
    </w:p>
    <w:p>
      <w:pPr>
        <w:pStyle w:val="ListParagraph"/>
        <w:numPr>
          <w:ilvl w:val="0"/>
          <w:numId w:val="100502570"/>
        </w:numPr>
        <w:ind w:left="360"/>
      </w:pPr>
      <w:r>
        <w:t xml:space="preserve">Bent u het ermee eens dat het onwenselijk is als ondernemingen schulden aangaan om aandeelhouders vooruit te financieren in plaats van om te investeren?</w:t>
      </w:r>
      <w:r>
        <w:br/>
      </w:r>
    </w:p>
    <w:p>
      <w:pPr>
        <w:pStyle w:val="ListParagraph"/>
        <w:numPr>
          <w:ilvl w:val="0"/>
          <w:numId w:val="100502570"/>
        </w:numPr>
        <w:ind w:left="360"/>
      </w:pPr>
      <w:r>
        <w:t xml:space="preserve">Kunt u aangeven in hoeverre de in 2012 doorgevoerde flexibilisering van het BV-recht, waaronder de mogelijkheid om toekomstige winst uit te keren in plaats van reeds gerealiseerde winst, daadwerkelijk heeft geleid tot meer bedrijvigheid?</w:t>
      </w:r>
      <w:r>
        <w:br/>
      </w:r>
    </w:p>
    <w:p>
      <w:pPr>
        <w:pStyle w:val="ListParagraph"/>
        <w:numPr>
          <w:ilvl w:val="0"/>
          <w:numId w:val="100502570"/>
        </w:numPr>
        <w:ind w:left="360"/>
      </w:pPr>
      <w:r>
        <w:t xml:space="preserve">Wat vindt u ervan dat het uitkeren van toekomstige winst kan leiden tot het aangaan van bedrijfsvreemde schulden ten laste van de onderneming en daarmee ten koste kan gaan van crediteuren? Zo ja, ziet u aanleiding deze mogelijkheid te beperken?</w:t>
      </w:r>
      <w:r>
        <w:br/>
      </w:r>
    </w:p>
    <w:p>
      <w:pPr>
        <w:pStyle w:val="ListParagraph"/>
        <w:numPr>
          <w:ilvl w:val="0"/>
          <w:numId w:val="100502570"/>
        </w:numPr>
        <w:ind w:left="360"/>
      </w:pPr>
      <w:r>
        <w:t xml:space="preserve">Deelt u de opvatting dat rente op schulden die zijn aangegaan ter financiering van uitkeringen aan aandeelhouders – zoals uitkeringen van toekomstige winst – in beginsel niet aftrekbaar zou moeten zijn voor de vennootschapsbelasting, en niet alleen wanneer deze rente verschuldigd is aan een verbonden lichaam zoals bedoeld in artikel 10a, eerste lid, onderdeel a, van de Wet op de vennootschapsbelasting 1969? Kunt u uw antwoord toelichten?</w:t>
      </w:r>
      <w:r>
        <w:br/>
      </w:r>
    </w:p>
    <w:p>
      <w:pPr>
        <w:pStyle w:val="ListParagraph"/>
        <w:numPr>
          <w:ilvl w:val="0"/>
          <w:numId w:val="100502570"/>
        </w:numPr>
        <w:ind w:left="360"/>
      </w:pPr>
      <w:r>
        <w:t xml:space="preserve">Kunt u aangeven of in de ons omringende landen rechtspersonen vergelijkbaar met de Nederlandse BV de mogelijkheid hebben om onder voorwaarden toekomstige winst uit te keren?</w:t>
      </w:r>
      <w:r>
        <w:br/>
      </w:r>
    </w:p>
    <w:p>
      <w:pPr>
        <w:pStyle w:val="ListParagraph"/>
        <w:numPr>
          <w:ilvl w:val="0"/>
          <w:numId w:val="100502570"/>
        </w:numPr>
        <w:ind w:left="360"/>
      </w:pPr>
      <w:r>
        <w:t xml:space="preserve">Bent u bekend met de praktijk dat na het afschaffen van de anti-financiële-steunmaatregel voor de BV (artikel 2:207c van het BW) het bestuur in de praktijk vaak de overnameschuld garandeert, terwijl daar in de vereiste afweging tegenover geen wezenlijke tegenprestatie staat? Kunt u hierop reflecteren?</w:t>
      </w:r>
      <w:r>
        <w:br/>
      </w:r>
    </w:p>
    <w:p>
      <w:pPr>
        <w:pStyle w:val="ListParagraph"/>
        <w:numPr>
          <w:ilvl w:val="0"/>
          <w:numId w:val="100502570"/>
        </w:numPr>
        <w:ind w:left="360"/>
      </w:pPr>
      <w:r>
        <w:t xml:space="preserve">Deelt u de opvatting dat de gedachte achter anti-financiële-steunmaatregelen is dat ondernemingen gevrijwaard dienen te blijven van lasten die buiten de onderneming liggen, en dat overnameschulden – die vaak zijn afgeleid van de koopsom en daarmee van toekomstige winstverwachtingen – disproportioneel kunnen zijn voor de bestaande onderneming?</w:t>
      </w:r>
      <w:r>
        <w:br/>
      </w:r>
    </w:p>
    <w:p>
      <w:pPr>
        <w:pStyle w:val="ListParagraph"/>
        <w:numPr>
          <w:ilvl w:val="0"/>
          <w:numId w:val="100502570"/>
        </w:numPr>
        <w:ind w:left="360"/>
      </w:pPr>
      <w:r>
        <w:t xml:space="preserve">Bent u bekend met de praktijk dat een overgenomen vennootschap juridisch wordt gefuseerd met het acquisitievehikel, waardoor de overnameschuld uiteindelijk rust op de gefuseerde onderneming?</w:t>
      </w:r>
      <w:r>
        <w:br/>
      </w:r>
    </w:p>
    <w:p>
      <w:pPr>
        <w:pStyle w:val="ListParagraph"/>
        <w:numPr>
          <w:ilvl w:val="0"/>
          <w:numId w:val="100502570"/>
        </w:numPr>
        <w:ind w:left="360"/>
      </w:pPr>
      <w:r>
        <w:t xml:space="preserve">Deelt u de opvatting dat een dergelijke constructie onwenselijk is omdat hierdoor bedrijfsvreemde schulden op de onderneming worden afgewenteld, zoals onder meer aan de orde was in de Estro-kinderopvangzaak? Zo nee, waarom niet?</w:t>
      </w:r>
      <w:r>
        <w:br/>
      </w:r>
    </w:p>
    <w:p>
      <w:pPr>
        <w:pStyle w:val="ListParagraph"/>
        <w:numPr>
          <w:ilvl w:val="0"/>
          <w:numId w:val="100502570"/>
        </w:numPr>
        <w:ind w:left="360"/>
      </w:pPr>
      <w:r>
        <w:t xml:space="preserve">Ziet u het als een optie om de anti-financiële-steunmaatregelen die voorheen voor de BV golden – en die nog steeds gelden voor de NV – opnieuw voor de BV in te voeren? Zo nee, waarom niet?</w:t>
      </w:r>
      <w:r>
        <w:br/>
      </w:r>
    </w:p>
    <w:p>
      <w:pPr>
        <w:pStyle w:val="ListParagraph"/>
        <w:numPr>
          <w:ilvl w:val="0"/>
          <w:numId w:val="100502570"/>
        </w:numPr>
        <w:ind w:left="360"/>
      </w:pPr>
      <w:r>
        <w:t xml:space="preserve">Is het wat u betreft een goed idee om juridische fusies die uiteindelijk de gefuseerde onderneming haar overnameschulden laten dragen te verbieden? Zo nee, waarom niet?</w:t>
      </w:r>
      <w:r>
        <w:br/>
      </w:r>
    </w:p>
    <w:p>
      <w:pPr>
        <w:pStyle w:val="ListParagraph"/>
        <w:numPr>
          <w:ilvl w:val="0"/>
          <w:numId w:val="100502570"/>
        </w:numPr>
        <w:ind w:left="360"/>
      </w:pPr>
      <w:r>
        <w:t xml:space="preserve">Acht u het wenselijk de huidige anti-financiële-steunmaatregel voor de NV uit te breiden om doorleenstructuren, zoals aan de orde in de zaak Muller tegen Rabobank Katwijk, tegen te gaan? Zo nee, waarom niet?</w:t>
      </w:r>
      <w:r>
        <w:br/>
      </w:r>
    </w:p>
    <w:p>
      <w:pPr>
        <w:pStyle w:val="ListParagraph"/>
        <w:numPr>
          <w:ilvl w:val="0"/>
          <w:numId w:val="100502570"/>
        </w:numPr>
        <w:ind w:left="360"/>
      </w:pPr>
      <w:r>
        <w:t xml:space="preserve">Deelt u de opvatting dat wanneer persoonlijke belangen van een bestuurder niet stroken met het belang van de vennootschap, deze bestuurder zich dient te onthouden van besluitvorming? Ziet u mogelijkheden om dit principe wettelijk te borgen?</w:t>
      </w:r>
      <w:r>
        <w:br/>
      </w:r>
    </w:p>
    <w:p>
      <w:pPr>
        <w:pStyle w:val="ListParagraph"/>
        <w:numPr>
          <w:ilvl w:val="0"/>
          <w:numId w:val="100502570"/>
        </w:numPr>
        <w:ind w:left="360"/>
      </w:pPr>
      <w:r>
        <w:t xml:space="preserve">Deelt u de opvatting dat een bestuurder die aanzienlijke persoonlijke financiële belangen heeft in de vennootschap – bijvoorbeeld door lucratieve aandelenbelangen, schuldfinanciering voor de aankoop van aandelen of verplichtingen uit een aandeelhoudersovereenkomst – een verhoogd risico loopt primair in het belang van aandeelhouders te handelen en niet alle belangen van de vennootschap en haar stakeholders te wegen?</w:t>
      </w:r>
      <w:r>
        <w:br/>
      </w:r>
    </w:p>
    <w:p>
      <w:pPr>
        <w:pStyle w:val="ListParagraph"/>
        <w:numPr>
          <w:ilvl w:val="0"/>
          <w:numId w:val="100502570"/>
        </w:numPr>
        <w:ind w:left="360"/>
      </w:pPr>
      <w:r>
        <w:t xml:space="preserve">Bent u van mening dat dergelijke regelingen kunnen leiden tot een persoonlijk belang in de zin van het vennootschapsrecht?</w:t>
      </w:r>
      <w:r>
        <w:br/>
      </w:r>
    </w:p>
    <w:p>
      <w:pPr>
        <w:pStyle w:val="ListParagraph"/>
        <w:numPr>
          <w:ilvl w:val="0"/>
          <w:numId w:val="100502570"/>
        </w:numPr>
        <w:ind w:left="360"/>
      </w:pPr>
      <w:r>
        <w:t xml:space="preserve">Deelt u de opvatting dat dergelijke constructies het risico met zich brengen dat het stakeholdermodel feitelijk wordt ingeruild voor een aandeelhoudersmodel?</w:t>
      </w:r>
      <w:r>
        <w:br/>
      </w:r>
    </w:p>
    <w:p>
      <w:pPr>
        <w:pStyle w:val="ListParagraph"/>
        <w:numPr>
          <w:ilvl w:val="0"/>
          <w:numId w:val="100502570"/>
        </w:numPr>
        <w:ind w:left="360"/>
      </w:pPr>
      <w:r>
        <w:t xml:space="preserve">Acht u het wenselijk dat de continuïteit van ondernemingen in sectoren zoals kinderopvang, ouderenzorg en gezondheidszorg in gevaar kan komen doordat deze ondernemingen worden belast met bedrijfsvreemde schulden die zijn ontstaan bij overnames, juridische fusies of uitkeringen van toekomstige winst?</w:t>
      </w:r>
      <w:r>
        <w:br/>
      </w:r>
    </w:p>
    <w:p>
      <w:pPr>
        <w:pStyle w:val="ListParagraph"/>
        <w:numPr>
          <w:ilvl w:val="0"/>
          <w:numId w:val="100502570"/>
        </w:numPr>
        <w:ind w:left="360"/>
      </w:pPr>
      <w:r>
        <w:t xml:space="preserve">In welke van de ons omringende landen bestaat de mogelijkheid om een stichting of een vergelijkbare rechtspersoon om te zetten in een BV of een vergelijkbare vennootschap?</w:t>
      </w:r>
      <w:r>
        <w:br/>
      </w:r>
    </w:p>
    <w:p>
      <w:pPr>
        <w:pStyle w:val="ListParagraph"/>
        <w:numPr>
          <w:ilvl w:val="0"/>
          <w:numId w:val="100502570"/>
        </w:numPr>
        <w:ind w:left="360"/>
      </w:pPr>
      <w:r>
        <w:t xml:space="preserve">Hoe is in Nederland het toezicht geregeld op het gebruik van beklemd vermogen van stichtingen, en hoe wordt gewaarborgd dat dit vermogen wordt aangewend voor het oorspronkelijke doel van de stichting?</w:t>
      </w:r>
      <w:r>
        <w:br/>
      </w:r>
    </w:p>
    <w:p>
      <w:pPr>
        <w:pStyle w:val="ListParagraph"/>
        <w:numPr>
          <w:ilvl w:val="0"/>
          <w:numId w:val="100502570"/>
        </w:numPr>
        <w:ind w:left="360"/>
      </w:pPr>
      <w:r>
        <w:t xml:space="preserve">Bent u bekend met het feit dat financiële partijen toenemende belangstelling tonen voor de overname van ondernemingen in de kinderopvang, gezondheidszorg en ouderenzorg die vaak in de vorm van een stichting opereren?</w:t>
      </w:r>
      <w:r>
        <w:br/>
      </w:r>
    </w:p>
    <w:p>
      <w:pPr>
        <w:pStyle w:val="ListParagraph"/>
        <w:numPr>
          <w:ilvl w:val="0"/>
          <w:numId w:val="100502570"/>
        </w:numPr>
        <w:ind w:left="360"/>
      </w:pPr>
      <w:r>
        <w:t xml:space="preserve">Bent u bekend met signalen dat beklemd vermogen van dergelijke organisaties in de praktijk kan verwateren en uiteindelijk bij aandeelhouders terecht kan komen? Zo ja, wat is uw reactie hierop?</w:t>
      </w:r>
      <w:r>
        <w:br/>
      </w:r>
    </w:p>
    <w:p>
      <w:pPr>
        <w:pStyle w:val="ListParagraph"/>
        <w:numPr>
          <w:ilvl w:val="0"/>
          <w:numId w:val="100502570"/>
        </w:numPr>
        <w:ind w:left="360"/>
      </w:pPr>
      <w:r>
        <w:t xml:space="preserve">Kunt u een overzicht verstrekken van alle stichtingen die sinds 2015 zijn omgezet in een BV, inclusief de namen van deze rechtspersonen?</w:t>
      </w:r>
      <w:r>
        <w:br/>
      </w:r>
    </w:p>
    <w:p>
      <w:pPr>
        <w:pStyle w:val="ListParagraph"/>
        <w:numPr>
          <w:ilvl w:val="0"/>
          <w:numId w:val="100502570"/>
        </w:numPr>
        <w:ind w:left="360"/>
      </w:pPr>
      <w:r>
        <w:t xml:space="preserve">Wat verstaat u onder ‘private equity’?</w:t>
      </w:r>
      <w:r>
        <w:br/>
      </w:r>
    </w:p>
    <w:p>
      <w:pPr>
        <w:pStyle w:val="ListParagraph"/>
        <w:numPr>
          <w:ilvl w:val="0"/>
          <w:numId w:val="100502570"/>
        </w:numPr>
        <w:ind w:left="360"/>
      </w:pPr>
      <w:r>
        <w:t xml:space="preserve">Wat verstaat u onder ‘de uitwassen van private equity’ (coalitieakkoord, pagina 67)?</w:t>
      </w:r>
      <w:r>
        <w:br/>
      </w:r>
    </w:p>
    <w:p>
      <w:pPr>
        <w:pStyle w:val="ListParagraph"/>
        <w:numPr>
          <w:ilvl w:val="0"/>
          <w:numId w:val="100502570"/>
        </w:numPr>
        <w:ind w:left="360"/>
      </w:pPr>
      <w:r>
        <w:t xml:space="preserve">Hoe gaat u ‘de uitwassen van private equity’ inperken?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450">
    <w:abstractNumId w:val="100502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