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41D" w:rsidRDefault="0032341D" w14:paraId="4E918348" w14:textId="77777777">
      <w:pPr>
        <w:pStyle w:val="WitregelW1bodytekst"/>
      </w:pPr>
    </w:p>
    <w:p w:rsidR="00983B1E" w:rsidRDefault="00983B1E" w14:paraId="184CC39C" w14:textId="77777777"/>
    <w:p w:rsidR="00983B1E" w:rsidRDefault="00983B1E" w14:paraId="11C072B2" w14:textId="77777777"/>
    <w:p w:rsidR="00983B1E" w:rsidRDefault="00983B1E" w14:paraId="12C51CBF" w14:textId="20A866D7">
      <w:r>
        <w:t xml:space="preserve">Hierbij zend ik u, mede namens de </w:t>
      </w:r>
      <w:r w:rsidR="009D18EA">
        <w:t xml:space="preserve">minister </w:t>
      </w:r>
      <w:r>
        <w:t xml:space="preserve">van </w:t>
      </w:r>
      <w:r w:rsidR="009D18EA">
        <w:t>Langdurige Zorg, Jeugd en Sport</w:t>
      </w:r>
      <w:r w:rsidR="0002683D">
        <w:t xml:space="preserve"> en de Minister van Justitie en Veiligheid</w:t>
      </w:r>
      <w:r>
        <w:t xml:space="preserve">, de antwoorden op de Kamervragen van leden </w:t>
      </w:r>
      <w:proofErr w:type="spellStart"/>
      <w:r>
        <w:t>Mutluer</w:t>
      </w:r>
      <w:proofErr w:type="spellEnd"/>
      <w:r>
        <w:t xml:space="preserve"> en Westerveld (beiden GroenLinks-PvdA) over de positie van kinderen en familieleden van </w:t>
      </w:r>
      <w:proofErr w:type="spellStart"/>
      <w:r>
        <w:t>femicideslachtoffers</w:t>
      </w:r>
      <w:proofErr w:type="spellEnd"/>
      <w:r>
        <w:t>.</w:t>
      </w:r>
    </w:p>
    <w:p w:rsidR="00983B1E" w:rsidRDefault="00983B1E" w14:paraId="61318C47" w14:textId="77777777"/>
    <w:p w:rsidR="00983B1E" w:rsidRDefault="00983B1E" w14:paraId="48B1FFAF" w14:textId="265BAE80">
      <w:r>
        <w:t xml:space="preserve">Deze vragen werden ingezonden op 6 februari 2026 met kenmerk </w:t>
      </w:r>
      <w:bookmarkStart w:name="_Hlk223613651" w:id="0"/>
      <w:r>
        <w:t>2026Z02619</w:t>
      </w:r>
      <w:bookmarkEnd w:id="0"/>
      <w:r>
        <w:t>.</w:t>
      </w:r>
    </w:p>
    <w:p w:rsidR="00983B1E" w:rsidRDefault="00983B1E" w14:paraId="05FC1177" w14:textId="77777777"/>
    <w:p w:rsidR="00983B1E" w:rsidRDefault="00983B1E" w14:paraId="76D1BED7" w14:textId="77777777"/>
    <w:p w:rsidR="0032341D" w:rsidRDefault="0002683D" w14:paraId="50D80FF6" w14:textId="2FC3452A">
      <w:r>
        <w:t>De Staatssecretaris van Justitie en Veiligheid</w:t>
      </w:r>
      <w:r w:rsidR="00731051">
        <w:t>,</w:t>
      </w:r>
    </w:p>
    <w:p w:rsidR="0032341D" w:rsidRDefault="0032341D" w14:paraId="0BE93958" w14:textId="77777777"/>
    <w:p w:rsidR="0032341D" w:rsidRDefault="0032341D" w14:paraId="0D49AACE" w14:textId="77777777"/>
    <w:p w:rsidR="0032341D" w:rsidRDefault="0032341D" w14:paraId="5E2A5F66" w14:textId="77777777"/>
    <w:p w:rsidR="0002683D" w:rsidRDefault="0002683D" w14:paraId="71586303" w14:textId="77777777"/>
    <w:p w:rsidR="00983B1E" w:rsidRDefault="0002683D" w14:paraId="3CFB3F1E" w14:textId="4618691A">
      <w:r>
        <w:t>Claudia van Bruggen</w:t>
      </w:r>
    </w:p>
    <w:p w:rsidR="00983B1E" w:rsidRDefault="00983B1E" w14:paraId="57E9CCC5" w14:textId="77777777"/>
    <w:p w:rsidR="00983B1E" w:rsidRDefault="00983B1E" w14:paraId="1B2F664A" w14:textId="77777777"/>
    <w:p w:rsidR="00983B1E" w:rsidRDefault="00983B1E" w14:paraId="6E790DFA" w14:textId="77777777"/>
    <w:p w:rsidR="00983B1E" w:rsidRDefault="00983B1E" w14:paraId="43DA3F97" w14:textId="77777777"/>
    <w:p w:rsidR="00983B1E" w:rsidRDefault="00983B1E" w14:paraId="24ABD454" w14:textId="77777777"/>
    <w:p w:rsidR="00983B1E" w:rsidRDefault="00983B1E" w14:paraId="07C82DE3" w14:textId="77777777"/>
    <w:p w:rsidR="00983B1E" w:rsidRDefault="00983B1E" w14:paraId="6386B5E9" w14:textId="77777777"/>
    <w:p w:rsidR="00983B1E" w:rsidRDefault="00983B1E" w14:paraId="376C66E8" w14:textId="77777777"/>
    <w:p w:rsidR="00983B1E" w:rsidRDefault="00983B1E" w14:paraId="325E7162" w14:textId="77777777"/>
    <w:p w:rsidR="00983B1E" w:rsidRDefault="00983B1E" w14:paraId="1D4D92A4" w14:textId="77777777"/>
    <w:p w:rsidR="00983B1E" w:rsidRDefault="00983B1E" w14:paraId="37E33495" w14:textId="77777777"/>
    <w:p w:rsidR="00983B1E" w:rsidRDefault="00983B1E" w14:paraId="191BF807" w14:textId="77777777"/>
    <w:p w:rsidR="00983B1E" w:rsidRDefault="00983B1E" w14:paraId="626B5D84" w14:textId="77777777"/>
    <w:p w:rsidR="00983B1E" w:rsidRDefault="00983B1E" w14:paraId="3D8CE0A4" w14:textId="77777777"/>
    <w:p w:rsidR="00983B1E" w:rsidRDefault="00983B1E" w14:paraId="778C79D2" w14:textId="77777777"/>
    <w:p w:rsidR="00983B1E" w:rsidRDefault="00983B1E" w14:paraId="6C7B1ABE" w14:textId="77777777"/>
    <w:p w:rsidR="00983B1E" w:rsidRDefault="00983B1E" w14:paraId="15E1C2A6" w14:textId="77777777"/>
    <w:p w:rsidR="00983B1E" w:rsidRDefault="00983B1E" w14:paraId="285FF251" w14:textId="77777777"/>
    <w:p w:rsidR="00983B1E" w:rsidRDefault="00983B1E" w14:paraId="3B8D7D5B" w14:textId="77777777"/>
    <w:p w:rsidR="00983B1E" w:rsidRDefault="00983B1E" w14:paraId="5BADA4B3" w14:textId="77777777"/>
    <w:p w:rsidR="00983B1E" w:rsidRDefault="00983B1E" w14:paraId="698008AB" w14:textId="77777777"/>
    <w:p w:rsidR="00983B1E" w:rsidRDefault="00983B1E" w14:paraId="13282C61" w14:textId="77777777"/>
    <w:p w:rsidRPr="00983B1E" w:rsidR="00983B1E" w:rsidP="00983B1E" w:rsidRDefault="00983B1E" w14:paraId="0357CE1E" w14:textId="092AA307">
      <w:pPr>
        <w:rPr>
          <w:b/>
          <w:bCs/>
        </w:rPr>
      </w:pPr>
      <w:r w:rsidRPr="00983B1E">
        <w:rPr>
          <w:b/>
          <w:bCs/>
        </w:rPr>
        <w:lastRenderedPageBreak/>
        <w:t xml:space="preserve">Vragen van de leden </w:t>
      </w:r>
      <w:proofErr w:type="spellStart"/>
      <w:r w:rsidRPr="00983B1E">
        <w:rPr>
          <w:b/>
          <w:bCs/>
        </w:rPr>
        <w:t>Mutluer</w:t>
      </w:r>
      <w:proofErr w:type="spellEnd"/>
      <w:r w:rsidRPr="00983B1E">
        <w:rPr>
          <w:b/>
          <w:bCs/>
        </w:rPr>
        <w:t xml:space="preserve"> en Westerveld (beiden GroenLinks-PvdA) aan de </w:t>
      </w:r>
      <w:r w:rsidR="00F403E1">
        <w:rPr>
          <w:b/>
          <w:bCs/>
        </w:rPr>
        <w:t xml:space="preserve">ministers </w:t>
      </w:r>
      <w:r w:rsidRPr="00983B1E">
        <w:rPr>
          <w:b/>
          <w:bCs/>
        </w:rPr>
        <w:t xml:space="preserve">van Justitie en Veiligheid </w:t>
      </w:r>
      <w:r w:rsidR="009D18EA">
        <w:rPr>
          <w:b/>
          <w:bCs/>
        </w:rPr>
        <w:t xml:space="preserve">en van Langdurige Zorg, Jeugd en Sport </w:t>
      </w:r>
      <w:r w:rsidRPr="00983B1E">
        <w:rPr>
          <w:b/>
          <w:bCs/>
        </w:rPr>
        <w:t xml:space="preserve">over de positie van kinderen en familieleden van </w:t>
      </w:r>
      <w:proofErr w:type="spellStart"/>
      <w:r w:rsidRPr="00983B1E">
        <w:rPr>
          <w:b/>
          <w:bCs/>
        </w:rPr>
        <w:t>femicideslachtoffers</w:t>
      </w:r>
      <w:proofErr w:type="spellEnd"/>
      <w:r w:rsidRPr="00983B1E">
        <w:rPr>
          <w:b/>
          <w:bCs/>
        </w:rPr>
        <w:t xml:space="preserve">. </w:t>
      </w:r>
    </w:p>
    <w:p w:rsidRPr="00983B1E" w:rsidR="00983B1E" w:rsidP="00983B1E" w:rsidRDefault="00983B1E" w14:paraId="5A8B0274" w14:textId="3E300677">
      <w:pPr>
        <w:pBdr>
          <w:bottom w:val="single" w:color="auto" w:sz="6" w:space="7"/>
        </w:pBdr>
        <w:rPr>
          <w:b/>
          <w:bCs/>
        </w:rPr>
      </w:pPr>
      <w:r w:rsidRPr="00983B1E">
        <w:rPr>
          <w:b/>
          <w:bCs/>
        </w:rPr>
        <w:t>(ingezonden op 6 februari 2026, 2026Z02619)</w:t>
      </w:r>
    </w:p>
    <w:p w:rsidR="00983B1E" w:rsidP="00983B1E" w:rsidRDefault="00731051" w14:paraId="4A4D819A" w14:textId="227D8E2E">
      <w:r>
        <w:br/>
      </w:r>
    </w:p>
    <w:p w:rsidRPr="00FE5EE6" w:rsidR="00983B1E" w:rsidP="00983B1E" w:rsidRDefault="00983B1E" w14:paraId="3D5B927A" w14:textId="7B0EC0A3">
      <w:pPr>
        <w:rPr>
          <w:b/>
          <w:bCs/>
        </w:rPr>
      </w:pPr>
      <w:r w:rsidRPr="00FE5EE6">
        <w:rPr>
          <w:b/>
          <w:bCs/>
        </w:rPr>
        <w:t>Vraag 1</w:t>
      </w:r>
    </w:p>
    <w:p w:rsidRPr="00FE5EE6" w:rsidR="00813BC9" w:rsidP="00983B1E" w:rsidRDefault="00813BC9" w14:paraId="546A617B" w14:textId="554AE966">
      <w:pPr>
        <w:rPr>
          <w:b/>
          <w:bCs/>
        </w:rPr>
      </w:pPr>
      <w:r w:rsidRPr="00FE5EE6">
        <w:rPr>
          <w:b/>
          <w:bCs/>
        </w:rPr>
        <w:t xml:space="preserve">Bent u bekend met het artikel “De wet schiet tekort voor de kinderen van </w:t>
      </w:r>
      <w:proofErr w:type="spellStart"/>
      <w:r w:rsidRPr="00FE5EE6">
        <w:rPr>
          <w:b/>
          <w:bCs/>
        </w:rPr>
        <w:t>femicideslachtoffers</w:t>
      </w:r>
      <w:proofErr w:type="spellEnd"/>
      <w:r w:rsidRPr="00FE5EE6">
        <w:rPr>
          <w:b/>
          <w:bCs/>
        </w:rPr>
        <w:t>” in de Volkskrant?</w:t>
      </w:r>
      <w:r w:rsidRPr="00FE5EE6">
        <w:rPr>
          <w:rStyle w:val="Voetnootmarkering"/>
          <w:b/>
          <w:bCs/>
        </w:rPr>
        <w:footnoteReference w:id="1"/>
      </w:r>
    </w:p>
    <w:p w:rsidRPr="00FE5EE6" w:rsidR="00FE5EE6" w:rsidP="00983B1E" w:rsidRDefault="00FE5EE6" w14:paraId="1AE2BDB7" w14:textId="77777777">
      <w:pPr>
        <w:rPr>
          <w:b/>
          <w:bCs/>
        </w:rPr>
      </w:pPr>
    </w:p>
    <w:p w:rsidRPr="00FE5EE6" w:rsidR="00FE5EE6" w:rsidP="00983B1E" w:rsidRDefault="00FE5EE6" w14:paraId="71C5F27C" w14:textId="061F822F">
      <w:pPr>
        <w:rPr>
          <w:b/>
          <w:bCs/>
        </w:rPr>
      </w:pPr>
      <w:r w:rsidRPr="00FE5EE6">
        <w:rPr>
          <w:b/>
          <w:bCs/>
        </w:rPr>
        <w:t>Antwoord op vraag 1</w:t>
      </w:r>
    </w:p>
    <w:p w:rsidR="00FE5EE6" w:rsidP="00983B1E" w:rsidRDefault="00176B26" w14:paraId="0BBEA42F" w14:textId="50D9ECAD">
      <w:r>
        <w:t xml:space="preserve">Ja. </w:t>
      </w:r>
    </w:p>
    <w:p w:rsidR="00813BC9" w:rsidP="00983B1E" w:rsidRDefault="00813BC9" w14:paraId="49F53B7D" w14:textId="77777777"/>
    <w:p w:rsidRPr="00FE5EE6" w:rsidR="00813BC9" w:rsidP="00983B1E" w:rsidRDefault="00813BC9" w14:paraId="05F7209B" w14:textId="77777777">
      <w:pPr>
        <w:rPr>
          <w:b/>
          <w:bCs/>
        </w:rPr>
      </w:pPr>
      <w:bookmarkStart w:name="_Hlk222905453" w:id="1"/>
      <w:r w:rsidRPr="00FE5EE6">
        <w:rPr>
          <w:b/>
          <w:bCs/>
        </w:rPr>
        <w:t>Vraag 2</w:t>
      </w:r>
    </w:p>
    <w:p w:rsidRPr="00FE5EE6" w:rsidR="00813BC9" w:rsidP="00983B1E" w:rsidRDefault="00813BC9" w14:paraId="4D1F946D" w14:textId="0444EB53">
      <w:pPr>
        <w:rPr>
          <w:b/>
          <w:bCs/>
        </w:rPr>
      </w:pPr>
      <w:r w:rsidRPr="00FE5EE6">
        <w:rPr>
          <w:b/>
          <w:bCs/>
        </w:rPr>
        <w:t xml:space="preserve">Wat vindt u van het onderzoek van de </w:t>
      </w:r>
      <w:proofErr w:type="spellStart"/>
      <w:r w:rsidRPr="00FE5EE6">
        <w:rPr>
          <w:b/>
          <w:bCs/>
        </w:rPr>
        <w:t>Femicide</w:t>
      </w:r>
      <w:proofErr w:type="spellEnd"/>
      <w:r w:rsidRPr="00FE5EE6">
        <w:rPr>
          <w:b/>
          <w:bCs/>
        </w:rPr>
        <w:t xml:space="preserve"> Monitor van de Universiteit Leiden waaruit blijkt dat 62 procent van de slachtoffers van </w:t>
      </w:r>
      <w:proofErr w:type="spellStart"/>
      <w:r w:rsidRPr="00FE5EE6">
        <w:rPr>
          <w:b/>
          <w:bCs/>
        </w:rPr>
        <w:t>femicide</w:t>
      </w:r>
      <w:proofErr w:type="spellEnd"/>
      <w:r w:rsidRPr="00FE5EE6">
        <w:rPr>
          <w:b/>
          <w:bCs/>
        </w:rPr>
        <w:t xml:space="preserve"> kinderen had en dat 76 procent van deze kinderen minderjarig was, waarvan velen getuige waren van het geweld?</w:t>
      </w:r>
      <w:r w:rsidRPr="00FE5EE6">
        <w:rPr>
          <w:rStyle w:val="Voetnootmarkering"/>
          <w:b/>
          <w:bCs/>
        </w:rPr>
        <w:footnoteReference w:id="2"/>
      </w:r>
    </w:p>
    <w:p w:rsidRPr="00FE5EE6" w:rsidR="00FE5EE6" w:rsidP="00983B1E" w:rsidRDefault="00FE5EE6" w14:paraId="32EFB11E" w14:textId="77777777">
      <w:pPr>
        <w:rPr>
          <w:b/>
          <w:bCs/>
        </w:rPr>
      </w:pPr>
    </w:p>
    <w:p w:rsidRPr="00FE5EE6" w:rsidR="00FE5EE6" w:rsidP="00983B1E" w:rsidRDefault="00FE5EE6" w14:paraId="05FABA1F" w14:textId="7EED4758">
      <w:pPr>
        <w:rPr>
          <w:b/>
          <w:bCs/>
        </w:rPr>
      </w:pPr>
      <w:r w:rsidRPr="00FE5EE6">
        <w:rPr>
          <w:b/>
          <w:bCs/>
        </w:rPr>
        <w:t>Antwoord op vraag 2</w:t>
      </w:r>
    </w:p>
    <w:bookmarkEnd w:id="1"/>
    <w:p w:rsidRPr="005A7872" w:rsidR="005A7872" w:rsidP="005A7872" w:rsidRDefault="005A7872" w14:paraId="14142776" w14:textId="241BE595">
      <w:r w:rsidRPr="005A7872">
        <w:t xml:space="preserve">Met de </w:t>
      </w:r>
      <w:proofErr w:type="spellStart"/>
      <w:r w:rsidRPr="005A7872">
        <w:t>Femicide</w:t>
      </w:r>
      <w:proofErr w:type="spellEnd"/>
      <w:r w:rsidRPr="005A7872">
        <w:t xml:space="preserve"> Monitor wordt onder meer</w:t>
      </w:r>
      <w:r w:rsidRPr="005A7872">
        <w:rPr>
          <w:b/>
          <w:bCs/>
        </w:rPr>
        <w:t> </w:t>
      </w:r>
      <w:r w:rsidRPr="005A7872">
        <w:t xml:space="preserve">in beeld gebracht hoeveel kinderen hun moeder hebben verloren door </w:t>
      </w:r>
      <w:proofErr w:type="spellStart"/>
      <w:r w:rsidRPr="005A7872">
        <w:t>femicide</w:t>
      </w:r>
      <w:proofErr w:type="spellEnd"/>
      <w:r w:rsidRPr="005A7872">
        <w:t xml:space="preserve">. </w:t>
      </w:r>
      <w:r w:rsidR="00D57910">
        <w:t xml:space="preserve">Geen enkel kind hoort </w:t>
      </w:r>
      <w:r w:rsidR="005D2B6B">
        <w:t xml:space="preserve">dit </w:t>
      </w:r>
      <w:r w:rsidR="00D57910">
        <w:t xml:space="preserve">mee te maken. Toch laat de </w:t>
      </w:r>
      <w:proofErr w:type="spellStart"/>
      <w:r w:rsidR="00D57910">
        <w:t>Femicide</w:t>
      </w:r>
      <w:proofErr w:type="spellEnd"/>
      <w:r w:rsidR="00D57910">
        <w:t xml:space="preserve"> Monitor zien dat dit jaarlijks voor gemiddeld 25 kinderen de realiteit is. </w:t>
      </w:r>
      <w:r w:rsidR="005D2B6B">
        <w:t xml:space="preserve">De impact van het verlies van een moeder door </w:t>
      </w:r>
      <w:proofErr w:type="spellStart"/>
      <w:r w:rsidR="005D2B6B">
        <w:t>femicide</w:t>
      </w:r>
      <w:proofErr w:type="spellEnd"/>
      <w:r w:rsidR="005D2B6B">
        <w:t xml:space="preserve"> op een kind is enorm. Bovendien zijn kinderen vanwege hun jonge leeftijd extra kwetsbaar. </w:t>
      </w:r>
      <w:r w:rsidR="00D57910">
        <w:t xml:space="preserve">Wij vinden het </w:t>
      </w:r>
      <w:r w:rsidR="005D2B6B">
        <w:t xml:space="preserve">daarom </w:t>
      </w:r>
      <w:r w:rsidR="00D57910">
        <w:t xml:space="preserve">zeer belangrijk dat er aandacht is en blijft voor deze groep kinderen. </w:t>
      </w:r>
    </w:p>
    <w:p w:rsidR="00813BC9" w:rsidP="00983B1E" w:rsidRDefault="00813BC9" w14:paraId="1336E792" w14:textId="77777777"/>
    <w:p w:rsidRPr="00FE5EE6" w:rsidR="00813BC9" w:rsidP="00983B1E" w:rsidRDefault="00813BC9" w14:paraId="232E1350" w14:textId="77777777">
      <w:pPr>
        <w:rPr>
          <w:b/>
          <w:bCs/>
        </w:rPr>
      </w:pPr>
      <w:r w:rsidRPr="00FE5EE6">
        <w:rPr>
          <w:b/>
          <w:bCs/>
        </w:rPr>
        <w:t>Vraag 3</w:t>
      </w:r>
    </w:p>
    <w:p w:rsidR="00813BC9" w:rsidP="00983B1E" w:rsidRDefault="00813BC9" w14:paraId="6E75CEE7" w14:textId="77777777">
      <w:pPr>
        <w:rPr>
          <w:b/>
          <w:bCs/>
        </w:rPr>
      </w:pPr>
      <w:r w:rsidRPr="00FE5EE6">
        <w:rPr>
          <w:b/>
          <w:bCs/>
        </w:rPr>
        <w:t xml:space="preserve">Kunt u nader toelichten welke wettelijke kaders er momenteel gelden voor kinderen en de zorg voor hen na </w:t>
      </w:r>
      <w:proofErr w:type="spellStart"/>
      <w:r w:rsidRPr="00FE5EE6">
        <w:rPr>
          <w:b/>
          <w:bCs/>
        </w:rPr>
        <w:t>femicide</w:t>
      </w:r>
      <w:proofErr w:type="spellEnd"/>
      <w:r w:rsidRPr="00FE5EE6">
        <w:rPr>
          <w:b/>
          <w:bCs/>
        </w:rPr>
        <w:t xml:space="preserve">? Zo nee, waarom niet? Zo ja, in hoeverre worden deze kaders in de praktijk nageleefd? </w:t>
      </w:r>
    </w:p>
    <w:p w:rsidR="004C50D1" w:rsidP="00983B1E" w:rsidRDefault="004C50D1" w14:paraId="1C554A6C" w14:textId="77777777">
      <w:pPr>
        <w:rPr>
          <w:b/>
          <w:bCs/>
        </w:rPr>
      </w:pPr>
    </w:p>
    <w:p w:rsidRPr="00FE5EE6" w:rsidR="004C50D1" w:rsidP="004C50D1" w:rsidRDefault="004C50D1" w14:paraId="43B91A31" w14:textId="77777777">
      <w:pPr>
        <w:rPr>
          <w:b/>
          <w:bCs/>
        </w:rPr>
      </w:pPr>
      <w:r w:rsidRPr="00FE5EE6">
        <w:rPr>
          <w:b/>
          <w:bCs/>
        </w:rPr>
        <w:t>Vraag 4</w:t>
      </w:r>
    </w:p>
    <w:p w:rsidRPr="00FE5EE6" w:rsidR="004C50D1" w:rsidP="00983B1E" w:rsidRDefault="004C50D1" w14:paraId="2EDBDCF9" w14:textId="2C9EACDD">
      <w:pPr>
        <w:rPr>
          <w:b/>
          <w:bCs/>
        </w:rPr>
      </w:pPr>
      <w:r w:rsidRPr="00FE5EE6">
        <w:rPr>
          <w:b/>
          <w:bCs/>
        </w:rPr>
        <w:t xml:space="preserve">Klopt het dat na </w:t>
      </w:r>
      <w:proofErr w:type="spellStart"/>
      <w:r w:rsidRPr="00FE5EE6">
        <w:rPr>
          <w:b/>
          <w:bCs/>
        </w:rPr>
        <w:t>femicide</w:t>
      </w:r>
      <w:proofErr w:type="spellEnd"/>
      <w:r w:rsidRPr="00FE5EE6">
        <w:rPr>
          <w:b/>
          <w:bCs/>
        </w:rPr>
        <w:t xml:space="preserve"> vaak direct een voogd, veelal een voogdijinstelling, wordt benoemd die volledige zeggenschap krijgt over besluiten met betrekking tot het verblijf, de schoolkeuze, de therapie en de omgang van de betrokken kinderen? </w:t>
      </w:r>
    </w:p>
    <w:p w:rsidRPr="00FE5EE6" w:rsidR="00FE5EE6" w:rsidP="00983B1E" w:rsidRDefault="00FE5EE6" w14:paraId="3275C635" w14:textId="77777777">
      <w:pPr>
        <w:rPr>
          <w:b/>
          <w:bCs/>
        </w:rPr>
      </w:pPr>
    </w:p>
    <w:p w:rsidRPr="00FE5EE6" w:rsidR="00FE5EE6" w:rsidP="00983B1E" w:rsidRDefault="00FE5EE6" w14:paraId="51CE71C1" w14:textId="172F95A5">
      <w:pPr>
        <w:rPr>
          <w:b/>
          <w:bCs/>
        </w:rPr>
      </w:pPr>
      <w:r w:rsidRPr="00FE5EE6">
        <w:rPr>
          <w:b/>
          <w:bCs/>
        </w:rPr>
        <w:t>Antwoord op vraag 3</w:t>
      </w:r>
      <w:r w:rsidR="004C50D1">
        <w:rPr>
          <w:b/>
          <w:bCs/>
        </w:rPr>
        <w:t xml:space="preserve"> en 4</w:t>
      </w:r>
    </w:p>
    <w:p w:rsidR="00816312" w:rsidP="00002DCE" w:rsidRDefault="00A67334" w14:paraId="6F7D83D1" w14:textId="1EB7681C">
      <w:r>
        <w:t xml:space="preserve">Voor kinderen en de zorg voor hen na </w:t>
      </w:r>
      <w:proofErr w:type="spellStart"/>
      <w:r>
        <w:t>femicide</w:t>
      </w:r>
      <w:proofErr w:type="spellEnd"/>
      <w:r>
        <w:t xml:space="preserve"> gelden de reguliere </w:t>
      </w:r>
      <w:r w:rsidR="0023613A">
        <w:t xml:space="preserve">voogdij-  en </w:t>
      </w:r>
      <w:proofErr w:type="spellStart"/>
      <w:r>
        <w:t>gezagsbepalingen</w:t>
      </w:r>
      <w:proofErr w:type="spellEnd"/>
      <w:r w:rsidR="0023613A">
        <w:t xml:space="preserve"> uit Boek 1 van het Burgerlijk Wetboek</w:t>
      </w:r>
      <w:r>
        <w:t>. Daarnaast is per 1 januari 20</w:t>
      </w:r>
      <w:r w:rsidR="0023613A">
        <w:t>1</w:t>
      </w:r>
      <w:r>
        <w:t xml:space="preserve">8 de Wet clausulering recht op contact of omgang na partnerdoding in werking getreden. </w:t>
      </w:r>
      <w:r w:rsidR="002C38BA">
        <w:t xml:space="preserve">Dit wettelijk kader regelt </w:t>
      </w:r>
      <w:r w:rsidR="00002DCE">
        <w:t xml:space="preserve">onder meer dat de Raad voor de </w:t>
      </w:r>
      <w:r w:rsidR="00002DCE">
        <w:lastRenderedPageBreak/>
        <w:t xml:space="preserve">Kinderbescherming (hierna: </w:t>
      </w:r>
      <w:proofErr w:type="spellStart"/>
      <w:r w:rsidR="00002DCE">
        <w:t>RvdK</w:t>
      </w:r>
      <w:proofErr w:type="spellEnd"/>
      <w:r w:rsidR="00002DCE">
        <w:t xml:space="preserve">) </w:t>
      </w:r>
      <w:r w:rsidR="004C50D1">
        <w:t xml:space="preserve">om een voorlopige voogdijregeling </w:t>
      </w:r>
      <w:r w:rsidR="00002DCE">
        <w:t>kan verzoeken,</w:t>
      </w:r>
      <w:r w:rsidR="004C50D1">
        <w:t xml:space="preserve"> om zo </w:t>
      </w:r>
      <w:r w:rsidR="00D43125">
        <w:t xml:space="preserve">meteen na partnerdoding </w:t>
      </w:r>
      <w:r w:rsidR="004C50D1">
        <w:t>de onmiddellijke zorg voor het kind te waarborgen. Het ouderlijk gezag van de verdachte/dader-ouder is dan geschorst en de voorlopige voogdij wordt doorgaans belegd bij de gecertificeerde instelling.</w:t>
      </w:r>
      <w:r w:rsidR="00CC7C69">
        <w:t xml:space="preserve"> De gecertificeerde instelling is </w:t>
      </w:r>
      <w:r w:rsidR="00002DCE">
        <w:t xml:space="preserve">dan </w:t>
      </w:r>
      <w:r w:rsidR="00CC7C69">
        <w:t xml:space="preserve">als voogd bevoegd om beslissingen over het kind te nemen. </w:t>
      </w:r>
      <w:r w:rsidR="00DB7241">
        <w:t xml:space="preserve">Ook zijn er binnen het </w:t>
      </w:r>
      <w:r w:rsidR="00D43125">
        <w:t xml:space="preserve">bijbehorende </w:t>
      </w:r>
      <w:r w:rsidR="00DB7241">
        <w:t>Handelingsprotocol omgang na partnerdoding (hierna: het protocol) samenwerkingsafspraken gemaakt over wie welke taken op zich neemt en welke expertise op welk moment ingeschakeld kan worden</w:t>
      </w:r>
      <w:r w:rsidR="009D18EA">
        <w:t>.</w:t>
      </w:r>
    </w:p>
    <w:p w:rsidR="00CC7C69" w:rsidP="00CC7C69" w:rsidRDefault="00002DCE" w14:paraId="4F555542" w14:textId="043AFF58">
      <w:r>
        <w:t xml:space="preserve">De </w:t>
      </w:r>
      <w:proofErr w:type="spellStart"/>
      <w:r>
        <w:t>RvdK</w:t>
      </w:r>
      <w:proofErr w:type="spellEnd"/>
      <w:r w:rsidR="00CC7C69">
        <w:t xml:space="preserve"> </w:t>
      </w:r>
      <w:r>
        <w:t>doet</w:t>
      </w:r>
      <w:r w:rsidR="00DB7241">
        <w:t xml:space="preserve"> op basis van dit protocol</w:t>
      </w:r>
      <w:r>
        <w:t xml:space="preserve"> </w:t>
      </w:r>
      <w:r w:rsidR="00CC7C69">
        <w:t>onderzoek naar de wenselijkheid van contact of omgang tussen het kind en de verdachte/dader-ouder</w:t>
      </w:r>
      <w:r w:rsidR="005026D6">
        <w:t>.</w:t>
      </w:r>
      <w:r w:rsidR="00CC7C69">
        <w:t xml:space="preserve"> Op basis van dit onderzoek dient de </w:t>
      </w:r>
      <w:proofErr w:type="spellStart"/>
      <w:r w:rsidR="00CC7C69">
        <w:t>RvdK</w:t>
      </w:r>
      <w:proofErr w:type="spellEnd"/>
      <w:r w:rsidR="00CC7C69">
        <w:t xml:space="preserve"> binnen drie maanden een verzoek bij de kinderrechter in tot vaststelling van een contact- of omgangsregeling of tot ontzegging van contact of omgang. </w:t>
      </w:r>
    </w:p>
    <w:p w:rsidR="0081032B" w:rsidP="00CC7C69" w:rsidRDefault="0081032B" w14:paraId="404184A6" w14:textId="3C9A253D">
      <w:r>
        <w:t>In 2023 is de Wet clausulering recht op contact of omgang na partnerdoding geëvalueerd door het WODC.</w:t>
      </w:r>
      <w:r>
        <w:rPr>
          <w:rStyle w:val="Voetnootmarkering"/>
        </w:rPr>
        <w:footnoteReference w:id="3"/>
      </w:r>
      <w:r>
        <w:t xml:space="preserve"> Uit deze evaluatie volgt dat in </w:t>
      </w:r>
      <w:r w:rsidR="00D554B9">
        <w:t xml:space="preserve">vrijwel </w:t>
      </w:r>
      <w:r>
        <w:t>alle gevallen de wet wordt nageleefd.</w:t>
      </w:r>
      <w:r w:rsidR="00D554B9">
        <w:rPr>
          <w:rStyle w:val="Voetnootmarkering"/>
        </w:rPr>
        <w:footnoteReference w:id="4"/>
      </w:r>
      <w:r w:rsidR="00D554B9">
        <w:t xml:space="preserve"> </w:t>
      </w:r>
      <w:r>
        <w:t xml:space="preserve"> </w:t>
      </w:r>
    </w:p>
    <w:p w:rsidRPr="005E0770" w:rsidR="00002DCE" w:rsidP="00CC7C69" w:rsidRDefault="00002DCE" w14:paraId="3BA37AA1" w14:textId="77777777">
      <w:pPr>
        <w:rPr>
          <w:highlight w:val="yellow"/>
        </w:rPr>
      </w:pPr>
    </w:p>
    <w:p w:rsidRPr="00FE5EE6" w:rsidR="00813BC9" w:rsidP="00983B1E" w:rsidRDefault="00813BC9" w14:paraId="2E2C2EE0" w14:textId="77777777">
      <w:pPr>
        <w:rPr>
          <w:b/>
          <w:bCs/>
        </w:rPr>
      </w:pPr>
      <w:r w:rsidRPr="00FE5EE6">
        <w:rPr>
          <w:b/>
          <w:bCs/>
        </w:rPr>
        <w:t>Vraag 5</w:t>
      </w:r>
    </w:p>
    <w:p w:rsidRPr="00FE5EE6" w:rsidR="00813BC9" w:rsidP="00983B1E" w:rsidRDefault="00813BC9" w14:paraId="104DFEE0" w14:textId="77777777">
      <w:pPr>
        <w:rPr>
          <w:b/>
          <w:bCs/>
        </w:rPr>
      </w:pPr>
      <w:r w:rsidRPr="00FE5EE6">
        <w:rPr>
          <w:b/>
          <w:bCs/>
        </w:rPr>
        <w:t xml:space="preserve">Bent u het ermee eens dat het zeer traumatiserend kan zijn voor kinderen, van wie de moeder om het leven is gekomen wegens </w:t>
      </w:r>
      <w:proofErr w:type="spellStart"/>
      <w:r w:rsidRPr="00FE5EE6">
        <w:rPr>
          <w:b/>
          <w:bCs/>
        </w:rPr>
        <w:t>femicide</w:t>
      </w:r>
      <w:proofErr w:type="spellEnd"/>
      <w:r w:rsidRPr="00FE5EE6">
        <w:rPr>
          <w:b/>
          <w:bCs/>
        </w:rPr>
        <w:t xml:space="preserve">, om herhaaldelijk overgeplaatst te worden? Zo ja, welke concrete maatregelen neemt u om te voorkomen dat dit gebeurt? </w:t>
      </w:r>
    </w:p>
    <w:p w:rsidRPr="00FE5EE6" w:rsidR="00FE5EE6" w:rsidP="00983B1E" w:rsidRDefault="00FE5EE6" w14:paraId="674338AF" w14:textId="77777777">
      <w:pPr>
        <w:rPr>
          <w:b/>
          <w:bCs/>
        </w:rPr>
      </w:pPr>
    </w:p>
    <w:p w:rsidRPr="00FE5EE6" w:rsidR="00813BC9" w:rsidP="00983B1E" w:rsidRDefault="00813BC9" w14:paraId="6B9B6261" w14:textId="77777777">
      <w:pPr>
        <w:rPr>
          <w:b/>
          <w:bCs/>
        </w:rPr>
      </w:pPr>
      <w:r w:rsidRPr="00FE5EE6">
        <w:rPr>
          <w:b/>
          <w:bCs/>
        </w:rPr>
        <w:t>Vraag 6</w:t>
      </w:r>
    </w:p>
    <w:p w:rsidR="00813BC9" w:rsidP="00983B1E" w:rsidRDefault="00813BC9" w14:paraId="4CC9E7F7" w14:textId="77777777">
      <w:pPr>
        <w:rPr>
          <w:b/>
          <w:bCs/>
        </w:rPr>
      </w:pPr>
      <w:r w:rsidRPr="00FE5EE6">
        <w:rPr>
          <w:b/>
          <w:bCs/>
        </w:rPr>
        <w:t xml:space="preserve">Deelt u de zorg dat verplicht contact met (de familie van) de dader en het wegvallen van contact met de familie van de vermoorde moeder kan leiden tot traumaverdieping en onveiligheid voor deze kinderen? Zo nee, bent u bereid om daar onderzoek naar te doen? </w:t>
      </w:r>
    </w:p>
    <w:p w:rsidR="004353F2" w:rsidP="00983B1E" w:rsidRDefault="004353F2" w14:paraId="7BF22429" w14:textId="77777777">
      <w:pPr>
        <w:rPr>
          <w:b/>
          <w:bCs/>
        </w:rPr>
      </w:pPr>
    </w:p>
    <w:p w:rsidRPr="00FE5EE6" w:rsidR="004353F2" w:rsidP="004353F2" w:rsidRDefault="004353F2" w14:paraId="4C9819C8" w14:textId="77777777">
      <w:pPr>
        <w:rPr>
          <w:b/>
          <w:bCs/>
        </w:rPr>
      </w:pPr>
      <w:r w:rsidRPr="00FE5EE6">
        <w:rPr>
          <w:b/>
          <w:bCs/>
        </w:rPr>
        <w:t xml:space="preserve">Vraag 7 </w:t>
      </w:r>
    </w:p>
    <w:p w:rsidRPr="00FE5EE6" w:rsidR="004353F2" w:rsidP="00983B1E" w:rsidRDefault="004353F2" w14:paraId="37FEFF62" w14:textId="6CF0DFD2">
      <w:pPr>
        <w:rPr>
          <w:b/>
          <w:bCs/>
        </w:rPr>
      </w:pPr>
      <w:r w:rsidRPr="00FE5EE6">
        <w:rPr>
          <w:b/>
          <w:bCs/>
        </w:rPr>
        <w:t xml:space="preserve">Bent u ook bereid om toe te werken naar het ontwikkelen en inzetten van kennis om samen met het kind te ontdekken wat hier de beste oplossing is? </w:t>
      </w:r>
    </w:p>
    <w:p w:rsidRPr="00FE5EE6" w:rsidR="00FE5EE6" w:rsidP="00983B1E" w:rsidRDefault="00FE5EE6" w14:paraId="280B4FA5" w14:textId="77777777">
      <w:pPr>
        <w:rPr>
          <w:b/>
          <w:bCs/>
        </w:rPr>
      </w:pPr>
    </w:p>
    <w:p w:rsidRPr="00FE5EE6" w:rsidR="00FE5EE6" w:rsidP="00983B1E" w:rsidRDefault="00FE5EE6" w14:paraId="41D811E1" w14:textId="753BAA6E">
      <w:pPr>
        <w:rPr>
          <w:b/>
          <w:bCs/>
        </w:rPr>
      </w:pPr>
      <w:r w:rsidRPr="00FE5EE6">
        <w:rPr>
          <w:b/>
          <w:bCs/>
        </w:rPr>
        <w:t>Antwoord</w:t>
      </w:r>
      <w:r>
        <w:rPr>
          <w:b/>
          <w:bCs/>
        </w:rPr>
        <w:t xml:space="preserve"> op vraag </w:t>
      </w:r>
      <w:r w:rsidR="00903E8A">
        <w:rPr>
          <w:b/>
          <w:bCs/>
        </w:rPr>
        <w:t>5</w:t>
      </w:r>
      <w:r w:rsidR="004353F2">
        <w:rPr>
          <w:b/>
          <w:bCs/>
        </w:rPr>
        <w:t>,</w:t>
      </w:r>
      <w:r w:rsidR="00903E8A">
        <w:rPr>
          <w:b/>
          <w:bCs/>
        </w:rPr>
        <w:t xml:space="preserve"> </w:t>
      </w:r>
      <w:r>
        <w:rPr>
          <w:b/>
          <w:bCs/>
        </w:rPr>
        <w:t>6</w:t>
      </w:r>
      <w:r w:rsidR="004353F2">
        <w:rPr>
          <w:b/>
          <w:bCs/>
        </w:rPr>
        <w:t xml:space="preserve"> en 7</w:t>
      </w:r>
    </w:p>
    <w:p w:rsidR="00722AB3" w:rsidP="00983B1E" w:rsidRDefault="00B164C7" w14:paraId="431D2ECA" w14:textId="42B659A0">
      <w:r>
        <w:t xml:space="preserve">Het verliezen van de ene </w:t>
      </w:r>
      <w:r w:rsidR="00C27E62">
        <w:t xml:space="preserve">ouder </w:t>
      </w:r>
      <w:r>
        <w:t xml:space="preserve">door het toedoen van de andere ouder is een </w:t>
      </w:r>
      <w:r w:rsidR="005401E2">
        <w:t xml:space="preserve">zeer </w:t>
      </w:r>
      <w:r>
        <w:t xml:space="preserve">ingrijpende gebeurtenis in het leven van een kind. </w:t>
      </w:r>
      <w:r w:rsidR="00C27E62">
        <w:t>De</w:t>
      </w:r>
      <w:r w:rsidR="00136C0A">
        <w:t xml:space="preserve"> (over)plaatsing van een kind moet, net als een contact- of omgangsregeling</w:t>
      </w:r>
      <w:r w:rsidR="00B1554A">
        <w:t xml:space="preserve"> met (familie van) </w:t>
      </w:r>
      <w:r w:rsidR="00C27E62">
        <w:t xml:space="preserve">de overblijvende </w:t>
      </w:r>
      <w:r w:rsidR="00B1554A">
        <w:t>ouder</w:t>
      </w:r>
      <w:r w:rsidR="00136C0A">
        <w:t xml:space="preserve">, altijd in het belang van het kind zijn. </w:t>
      </w:r>
      <w:r w:rsidR="00436896">
        <w:t xml:space="preserve">Dat is een afweging die door de kinder- of familierechter wordt gemaakt en waarbij alle omstandigheden </w:t>
      </w:r>
      <w:r w:rsidR="00EA3F7B">
        <w:t xml:space="preserve">omtrent het kind </w:t>
      </w:r>
      <w:r w:rsidR="00436896">
        <w:t xml:space="preserve">worden betrokken. </w:t>
      </w:r>
    </w:p>
    <w:p w:rsidR="00DC481E" w:rsidP="00983B1E" w:rsidRDefault="00722AB3" w14:paraId="3D103A34" w14:textId="042CF5D2">
      <w:r>
        <w:lastRenderedPageBreak/>
        <w:t xml:space="preserve">Uit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 van de Federatie Nabestaanden Geweldsslachtoffers en de Blijf Groep volgen verschillende aanbevelingen die onder meer zien op de verblijfplaats van het kind en het contact tussen de daderouder en het kind enerzijds en het contact tussen de familie van de moeder en het kind anderzijds. Daarnaast volgt u</w:t>
      </w:r>
      <w:r w:rsidR="00DB711E">
        <w:t xml:space="preserve">it het onderzoek ‘Waar geweld uit beeld raakt’ van het Verwey-Jonker Instituut dat het niet vanzelfsprekend is dat huiselijk geweld en onveiligheid worden meegenomen in rechterlijke beslissingen omtrent zorgregelingen, gezag en omgang. </w:t>
      </w:r>
      <w:r w:rsidR="008B4560">
        <w:t>De toenmalig staatssecretaris van Justitie en Veiligheid</w:t>
      </w:r>
      <w:r w:rsidR="00DB711E">
        <w:t xml:space="preserve"> is daarom </w:t>
      </w:r>
      <w:r w:rsidR="0022059E">
        <w:t xml:space="preserve">eind 2025 </w:t>
      </w:r>
      <w:r w:rsidR="00DB711E">
        <w:t xml:space="preserve">een verbetertraject gestart, </w:t>
      </w:r>
      <w:bookmarkStart w:name="_Hlk223618096" w:id="2"/>
      <w:r w:rsidRPr="00DB711E" w:rsidR="00DB711E">
        <w:t xml:space="preserve">dat </w:t>
      </w:r>
      <w:r w:rsidR="00DB711E">
        <w:t>als doel heeft te waarborgen</w:t>
      </w:r>
      <w:r w:rsidRPr="00DB711E" w:rsidR="00DB711E">
        <w:t xml:space="preserve"> dat wanneer er onderbouwde vermoedens zijn of sprake is van huiselijk geweld en/of kindermishandeling, dit altijd moet worden meegewogen in de familierechtelijke procedure</w:t>
      </w:r>
      <w:r w:rsidR="00DB711E">
        <w:t xml:space="preserve">. </w:t>
      </w:r>
      <w:bookmarkStart w:name="_Hlk223618569" w:id="3"/>
      <w:bookmarkEnd w:id="2"/>
      <w:r w:rsidR="005E0770">
        <w:t xml:space="preserve">De rechtspraak, maar ook andere organisaties zoals de </w:t>
      </w:r>
      <w:proofErr w:type="spellStart"/>
      <w:r w:rsidR="00F7547C">
        <w:t>RvdK</w:t>
      </w:r>
      <w:proofErr w:type="spellEnd"/>
      <w:r w:rsidR="005E0770">
        <w:t xml:space="preserve"> en Slachtofferhulp Nederland, werken mee aan dit verbetertraject. </w:t>
      </w:r>
      <w:r w:rsidR="007C4FB1">
        <w:t xml:space="preserve">Ook wordt de expertise van de advocatuur en van ervaringsdeskundigen en nabestaanden betrokken in dit traject. </w:t>
      </w:r>
      <w:bookmarkEnd w:id="3"/>
      <w:r w:rsidR="00DC481E">
        <w:t xml:space="preserve">Zoals </w:t>
      </w:r>
      <w:r w:rsidR="00305BE0">
        <w:t xml:space="preserve">eerder </w:t>
      </w:r>
      <w:r w:rsidR="00DC481E">
        <w:t xml:space="preserve">toegezegd zal </w:t>
      </w:r>
      <w:r w:rsidR="00721011">
        <w:t xml:space="preserve">de minister van Justitie en Veiligheid </w:t>
      </w:r>
      <w:r w:rsidR="00DC481E">
        <w:t>voor de zomer een bredere reactie op het aanpakplan aan de Tweede Kamer toesturen</w:t>
      </w:r>
      <w:r w:rsidR="00DB711E">
        <w:t>, wanneer uw Kamer ook</w:t>
      </w:r>
      <w:r w:rsidR="00721011">
        <w:t xml:space="preserve"> wordt</w:t>
      </w:r>
      <w:r w:rsidR="00DB711E">
        <w:t xml:space="preserve"> </w:t>
      </w:r>
      <w:r w:rsidR="00721011">
        <w:t>geï</w:t>
      </w:r>
      <w:r w:rsidR="00DB711E">
        <w:t>nformeer</w:t>
      </w:r>
      <w:r w:rsidR="00721011">
        <w:t>d</w:t>
      </w:r>
      <w:r w:rsidR="00DB711E">
        <w:t xml:space="preserve"> over het genoemde verbetertraject. </w:t>
      </w:r>
      <w:r w:rsidR="00DC481E">
        <w:t xml:space="preserve"> </w:t>
      </w:r>
    </w:p>
    <w:p w:rsidR="00813BC9" w:rsidP="00983B1E" w:rsidRDefault="00813BC9" w14:paraId="08C2F5F2" w14:textId="77777777"/>
    <w:p w:rsidRPr="00FE5EE6" w:rsidR="00813BC9" w:rsidP="00983B1E" w:rsidRDefault="00813BC9" w14:paraId="23F916AD" w14:textId="77777777">
      <w:pPr>
        <w:rPr>
          <w:b/>
          <w:bCs/>
        </w:rPr>
      </w:pPr>
      <w:r w:rsidRPr="00FE5EE6">
        <w:rPr>
          <w:b/>
          <w:bCs/>
        </w:rPr>
        <w:t>Vraag 8</w:t>
      </w:r>
    </w:p>
    <w:p w:rsidRPr="00FE5EE6" w:rsidR="00FE5EE6" w:rsidP="00983B1E" w:rsidRDefault="00813BC9" w14:paraId="41AA9B0B" w14:textId="0E515427">
      <w:pPr>
        <w:rPr>
          <w:b/>
          <w:bCs/>
        </w:rPr>
      </w:pPr>
      <w:r w:rsidRPr="00FE5EE6">
        <w:rPr>
          <w:b/>
          <w:bCs/>
        </w:rPr>
        <w:t xml:space="preserve">Klopt het dat de Nederlandse wet momenteel geen geschillenregeling kent voor conflicten over de uitoefening van de voogdij bij </w:t>
      </w:r>
      <w:proofErr w:type="spellStart"/>
      <w:r w:rsidRPr="00FE5EE6">
        <w:rPr>
          <w:b/>
          <w:bCs/>
        </w:rPr>
        <w:t>femicide</w:t>
      </w:r>
      <w:proofErr w:type="spellEnd"/>
      <w:r w:rsidRPr="00FE5EE6">
        <w:rPr>
          <w:b/>
          <w:bCs/>
        </w:rPr>
        <w:t>, waardoor kinderen en nabestaanden beslissingen van de voogd niet aan de rechter kunnen voorleggen, zoals blijkt uit een recente uitspraak van de Hoge Raad?</w:t>
      </w:r>
      <w:r w:rsidRPr="00FE5EE6">
        <w:rPr>
          <w:rStyle w:val="Voetnootmarkering"/>
          <w:b/>
          <w:bCs/>
        </w:rPr>
        <w:footnoteReference w:id="5"/>
      </w:r>
      <w:r w:rsidRPr="00FE5EE6">
        <w:rPr>
          <w:b/>
          <w:bCs/>
        </w:rPr>
        <w:t xml:space="preserve"> Hoe beoordeelt u deze lacune in de wet? </w:t>
      </w:r>
    </w:p>
    <w:p w:rsidR="00813BC9" w:rsidP="00983B1E" w:rsidRDefault="00813BC9" w14:paraId="476660B7" w14:textId="77777777"/>
    <w:p w:rsidRPr="00FE5EE6" w:rsidR="00813BC9" w:rsidP="00983B1E" w:rsidRDefault="00813BC9" w14:paraId="2CAA64EC" w14:textId="77777777">
      <w:pPr>
        <w:rPr>
          <w:b/>
          <w:bCs/>
        </w:rPr>
      </w:pPr>
      <w:r w:rsidRPr="00FE5EE6">
        <w:rPr>
          <w:b/>
          <w:bCs/>
        </w:rPr>
        <w:t>Vraag 9</w:t>
      </w:r>
    </w:p>
    <w:p w:rsidRPr="00FE5EE6" w:rsidR="00813BC9" w:rsidP="00983B1E" w:rsidRDefault="00813BC9" w14:paraId="188DD034" w14:textId="12A52718">
      <w:pPr>
        <w:rPr>
          <w:b/>
          <w:bCs/>
        </w:rPr>
      </w:pPr>
      <w:r w:rsidRPr="00FE5EE6">
        <w:rPr>
          <w:b/>
          <w:bCs/>
        </w:rPr>
        <w:t xml:space="preserve">Welke mogelijkheden ziet u om de regels dan wel de wet te wijzigen zodat kinderen en nabestaanden van </w:t>
      </w:r>
      <w:proofErr w:type="spellStart"/>
      <w:r w:rsidRPr="00FE5EE6">
        <w:rPr>
          <w:b/>
          <w:bCs/>
        </w:rPr>
        <w:t>femicideslachtoffers</w:t>
      </w:r>
      <w:proofErr w:type="spellEnd"/>
      <w:r w:rsidRPr="00FE5EE6">
        <w:rPr>
          <w:b/>
          <w:bCs/>
        </w:rPr>
        <w:t xml:space="preserve"> toegang krijgen tot de rechter bij geschillen over voogdij en expliciet kunnen verzoeken om (op termijn) met de voogdij te worden belast? Hoe zou hierbij de stem en inspraak van kinderen geborgd kunnen worden? </w:t>
      </w:r>
    </w:p>
    <w:p w:rsidRPr="00FE5EE6" w:rsidR="00FE5EE6" w:rsidP="00983B1E" w:rsidRDefault="00FE5EE6" w14:paraId="100203DA" w14:textId="77777777">
      <w:pPr>
        <w:rPr>
          <w:b/>
          <w:bCs/>
        </w:rPr>
      </w:pPr>
    </w:p>
    <w:p w:rsidRPr="00FE5EE6" w:rsidR="00FE5EE6" w:rsidP="00983B1E" w:rsidRDefault="00FE5EE6" w14:paraId="02E247D5" w14:textId="7D5399E4">
      <w:pPr>
        <w:rPr>
          <w:b/>
          <w:bCs/>
        </w:rPr>
      </w:pPr>
      <w:r w:rsidRPr="00FE5EE6">
        <w:rPr>
          <w:b/>
          <w:bCs/>
        </w:rPr>
        <w:t>Antwoord</w:t>
      </w:r>
      <w:r>
        <w:rPr>
          <w:b/>
          <w:bCs/>
        </w:rPr>
        <w:t xml:space="preserve"> op vraag </w:t>
      </w:r>
      <w:r w:rsidR="00485418">
        <w:rPr>
          <w:b/>
          <w:bCs/>
        </w:rPr>
        <w:t xml:space="preserve">8 en </w:t>
      </w:r>
      <w:r>
        <w:rPr>
          <w:b/>
          <w:bCs/>
        </w:rPr>
        <w:t>9</w:t>
      </w:r>
    </w:p>
    <w:p w:rsidR="00485418" w:rsidP="00485418" w:rsidRDefault="00485418" w14:paraId="35429347" w14:textId="1D44D745">
      <w:r>
        <w:t xml:space="preserve">Het klopt dat de Nederlandse wet op dit moment geen regeling kent voor geschillen over de uitvoering van voogdij indien de voogdij wordt uitgeoefend door een gecertificeerde instelling (hierna: GI). In die situatie ligt de dagelijkse zorg voor de minderjarige niet bij de GI maar bij een ander, bijvoorbeeld een nabestaande, en kan een verschil van inzicht ontstaan over de vraag welke </w:t>
      </w:r>
      <w:proofErr w:type="spellStart"/>
      <w:r>
        <w:t>gezagsbeslissing</w:t>
      </w:r>
      <w:proofErr w:type="spellEnd"/>
      <w:r>
        <w:t xml:space="preserve"> het meest in het belang van de minderjarige is.  </w:t>
      </w:r>
    </w:p>
    <w:p w:rsidR="00943AD3" w:rsidP="00485418" w:rsidRDefault="00943AD3" w14:paraId="551F6CF5" w14:textId="77777777"/>
    <w:p w:rsidR="00485418" w:rsidP="00485418" w:rsidRDefault="00485418" w14:paraId="5618CC0E" w14:textId="7159A3D4">
      <w:r>
        <w:t xml:space="preserve">Met het wetsvoorstel versterking rechtsbescherming in de jeugdbescherming wordt voorgesteld een geschillenregeling te introduceren voor geschillen die de uitvoering van de voogdij door de </w:t>
      </w:r>
      <w:r w:rsidR="00CF1E07">
        <w:t>GI</w:t>
      </w:r>
      <w:r>
        <w:t xml:space="preserve"> betreffen. Deze mogelijkheid wordt opengesteld voor </w:t>
      </w:r>
      <w:r w:rsidRPr="00D15D87">
        <w:t>de minderjarige van twaalf jaar of ouder, degene die de minderjarige als behorende tot zijn gezin verzorgt en opvoedt</w:t>
      </w:r>
      <w:r>
        <w:t xml:space="preserve"> (bijvoorbeeld nabestaanden)</w:t>
      </w:r>
      <w:r w:rsidRPr="00D15D87">
        <w:t xml:space="preserve">, de </w:t>
      </w:r>
      <w:proofErr w:type="spellStart"/>
      <w:r>
        <w:t>RvdK</w:t>
      </w:r>
      <w:proofErr w:type="spellEnd"/>
      <w:r w:rsidRPr="00D15D87">
        <w:t xml:space="preserve">, de </w:t>
      </w:r>
      <w:r>
        <w:t>GI</w:t>
      </w:r>
      <w:r w:rsidRPr="00D15D87">
        <w:t xml:space="preserve"> en de zorgaanbieder of de aanbieder van de </w:t>
      </w:r>
      <w:r w:rsidRPr="00D15D87">
        <w:lastRenderedPageBreak/>
        <w:t>jeugdhulp waar de minderjarige is geplaatst</w:t>
      </w:r>
      <w:r>
        <w:t xml:space="preserve">. Ook geldt voor minderjarigen die jonger zijn dan twaalf jaar een informele rechtsingang, zodat ook zij zich tot de rechter kunnen wenden als sprake is van een geschil over de uitoefening van de voogdij. Op basis van deze regeling krijgen dus ook kinderen van </w:t>
      </w:r>
      <w:proofErr w:type="spellStart"/>
      <w:r>
        <w:t>femicideslachtoffers</w:t>
      </w:r>
      <w:proofErr w:type="spellEnd"/>
      <w:r>
        <w:t xml:space="preserve"> en nabestaanden die hen opvoeden en verzorgen toegang tot de rechter bij geschillen over de uitoefening van de voogdij door de GI. Het bereik van de geschillenregeling is beperkt tot de genoemde groep om te voorkomen dat minderjarigen onderwerp kunnen worden van extra juridische procedures </w:t>
      </w:r>
      <w:bookmarkStart w:name="_Hlk223364497" w:id="4"/>
      <w:r>
        <w:t>begonnen door personen die geen directe verantwoordelijkheid hebben voor de verzorging of opvoeding van het kind</w:t>
      </w:r>
      <w:bookmarkEnd w:id="4"/>
      <w:r>
        <w:t xml:space="preserve">. </w:t>
      </w:r>
    </w:p>
    <w:p w:rsidR="00943AD3" w:rsidP="00485418" w:rsidRDefault="00943AD3" w14:paraId="76940E01" w14:textId="77777777"/>
    <w:p w:rsidR="00485418" w:rsidP="00485418" w:rsidRDefault="00485418" w14:paraId="105916F2" w14:textId="31A3DE4D">
      <w:r>
        <w:t>Wat betreft andere mogelijkheden voor toegang tot de rechter biedt de wet op dit moment al de mogelijkheid aan nabestaanden om de rechter te verzoeken de voogdij van een natuurlijke persoon (bijvoorbeeld een andere nabestaande) of een GI te beëindigen als zij – kort gezegd – menen dat de voogdij niet op een verantwoorde wijze wordt uitgeoefend en de minderjarige zodanig opgroeit dat hij in zijn ontwikkeling wordt bedreigd (artikel 1:329, lid 1, van het Burgerlijk Wetboek (BW) in verbinding met artikel 1:327 en 1:328 BW). Deze mogelijkheid staat open voor bloed- of aanverwanten van de minderjarige tot en met de vierde graad. Daaronder vallen onder andere grootouders, ooms en tantes en meerderjarige broers en zussen. Zij kunnen de rechter ook verzoeken om hen daarna met de voogdij te belasten (artikel 1:334, lid 1 en 2, BW). Nabestaanden kunnen daarnaast, indien zij in een nauwe persoonlijke betrekking staan tot de minderjarige, een verzoek tot vaststelling, wijziging of ontzegging van het recht op omgang indienen bij de rechtbank (artikel 1:377a en 1:377e BW).</w:t>
      </w:r>
    </w:p>
    <w:p w:rsidR="00943AD3" w:rsidP="00485418" w:rsidRDefault="00943AD3" w14:paraId="3CE5FB37" w14:textId="77777777"/>
    <w:p w:rsidR="00485418" w:rsidP="00485418" w:rsidRDefault="00485418" w14:paraId="44D1FDEF" w14:textId="28EA3AFE">
      <w:r>
        <w:t xml:space="preserve">De wet schrijft voor dat de kinderrechter die een beslissing neemt over een minderjarige van twaalf jaar of ouder (zoals een beslissing over de voogdij), die minderjarige eerst in de gelegenheid stelt om zijn mening te geven, bijvoorbeeld tijdens een </w:t>
      </w:r>
      <w:proofErr w:type="spellStart"/>
      <w:r>
        <w:t>kindgesprek</w:t>
      </w:r>
      <w:proofErr w:type="spellEnd"/>
      <w:r>
        <w:t xml:space="preserve"> (artikel 809 van het Wetboek van Burgerlijke Rechtsvordering). In het wetsvoorstel versterking rechtsbescherming in de jeugdbescherming wordt, in aansluiting op de huidige rechtspraktijk, voorgesteld om deze wettelijke leeftijdsgrens te verlagen naar acht jaar.</w:t>
      </w:r>
      <w:r w:rsidRPr="007E4D6D">
        <w:t xml:space="preserve"> </w:t>
      </w:r>
      <w:r>
        <w:t xml:space="preserve">Indien daar aanleiding voor is </w:t>
      </w:r>
      <w:r w:rsidRPr="00E769AE">
        <w:rPr>
          <w:i/>
          <w:iCs/>
        </w:rPr>
        <w:t xml:space="preserve">kan </w:t>
      </w:r>
      <w:r>
        <w:t>de rechter overigens ook minderjarigen die jonger zijn dan acht jaar in de gelegenheid stellen hun mening kenbaar te maken.</w:t>
      </w:r>
    </w:p>
    <w:p w:rsidR="00813BC9" w:rsidP="00983B1E" w:rsidRDefault="00813BC9" w14:paraId="29A9D579" w14:textId="77777777"/>
    <w:p w:rsidRPr="00FE5EE6" w:rsidR="00813BC9" w:rsidP="00983B1E" w:rsidRDefault="00813BC9" w14:paraId="5A8A1BEC" w14:textId="77777777">
      <w:pPr>
        <w:rPr>
          <w:b/>
          <w:bCs/>
        </w:rPr>
      </w:pPr>
      <w:bookmarkStart w:name="_Hlk222832823" w:id="5"/>
      <w:r w:rsidRPr="00FE5EE6">
        <w:rPr>
          <w:b/>
          <w:bCs/>
        </w:rPr>
        <w:t>Vraag 10</w:t>
      </w:r>
    </w:p>
    <w:p w:rsidRPr="00FE5EE6" w:rsidR="00813BC9" w:rsidP="00983B1E" w:rsidRDefault="00813BC9" w14:paraId="58D25D2C" w14:textId="77777777">
      <w:pPr>
        <w:rPr>
          <w:b/>
          <w:bCs/>
        </w:rPr>
      </w:pPr>
      <w:r w:rsidRPr="00FE5EE6">
        <w:rPr>
          <w:b/>
          <w:bCs/>
        </w:rPr>
        <w:t xml:space="preserve">Welke mogelijkheden zijn er om te borgen dat in gevallen waarin kinderen getuige zijn geweest van huiselijk geweld en in het bijzonder van partnerdoding of een poging daartoe, het Openbaar Ministerie ook vervolgt wegens kindermishandeling? </w:t>
      </w:r>
    </w:p>
    <w:bookmarkEnd w:id="5"/>
    <w:p w:rsidRPr="00FE5EE6" w:rsidR="00FE5EE6" w:rsidP="00983B1E" w:rsidRDefault="00FE5EE6" w14:paraId="1A6FD4F7" w14:textId="77777777">
      <w:pPr>
        <w:rPr>
          <w:b/>
          <w:bCs/>
        </w:rPr>
      </w:pPr>
    </w:p>
    <w:p w:rsidRPr="00FE5EE6" w:rsidR="00FE5EE6" w:rsidP="00983B1E" w:rsidRDefault="00FE5EE6" w14:paraId="5C7FBC54" w14:textId="36F2A848">
      <w:pPr>
        <w:rPr>
          <w:b/>
          <w:bCs/>
        </w:rPr>
      </w:pPr>
      <w:r w:rsidRPr="00FE5EE6">
        <w:rPr>
          <w:b/>
          <w:bCs/>
        </w:rPr>
        <w:t>Antwoord</w:t>
      </w:r>
      <w:r>
        <w:rPr>
          <w:b/>
          <w:bCs/>
        </w:rPr>
        <w:t xml:space="preserve"> op vraag 10</w:t>
      </w:r>
    </w:p>
    <w:p w:rsidR="009D18EA" w:rsidP="00983B1E" w:rsidRDefault="00D423A3" w14:paraId="121BA55C" w14:textId="0F822D9F">
      <w:r w:rsidRPr="00D423A3">
        <w:t xml:space="preserve">De </w:t>
      </w:r>
      <w:r w:rsidRPr="00A46C6A">
        <w:t xml:space="preserve">beleidsregels </w:t>
      </w:r>
      <w:r w:rsidR="00CC7461">
        <w:t>van</w:t>
      </w:r>
      <w:r>
        <w:t xml:space="preserve"> het Openbaar Ministerie </w:t>
      </w:r>
      <w:r w:rsidRPr="00A46C6A">
        <w:t xml:space="preserve">zijn voor wat betreft huiselijk geweldzaken neergelegd in </w:t>
      </w:r>
      <w:r>
        <w:t xml:space="preserve">onder meer de </w:t>
      </w:r>
      <w:r w:rsidRPr="00D423A3">
        <w:t>Aanwijzing</w:t>
      </w:r>
      <w:r w:rsidRPr="00D423A3">
        <w:rPr>
          <w:lang w:bidi="bn-BD"/>
        </w:rPr>
        <w:t xml:space="preserve"> </w:t>
      </w:r>
      <w:r w:rsidRPr="00D423A3">
        <w:t>Huiselijk Geweld en Kindermishandeling</w:t>
      </w:r>
      <w:r w:rsidR="00CC7461">
        <w:t xml:space="preserve"> (hierna: Aanwijzing)</w:t>
      </w:r>
      <w:r>
        <w:t xml:space="preserve">. In </w:t>
      </w:r>
      <w:r w:rsidRPr="00D423A3">
        <w:t xml:space="preserve">algemene zin </w:t>
      </w:r>
      <w:r>
        <w:t xml:space="preserve">gaat de Aanwijzing </w:t>
      </w:r>
      <w:r w:rsidRPr="00D423A3">
        <w:t xml:space="preserve">uit van de bescherming van kwetsbaren, waaronder kinderen, en benadrukt het belang van een zorgvuldige beoordeling van de veiligheid binnen het gezin. Op dit moment </w:t>
      </w:r>
      <w:r>
        <w:t>is</w:t>
      </w:r>
      <w:r w:rsidRPr="00D423A3">
        <w:t xml:space="preserve"> niet in een beleidsregel van het </w:t>
      </w:r>
      <w:r>
        <w:t>Openbaar Ministerie</w:t>
      </w:r>
      <w:r w:rsidRPr="00D423A3">
        <w:t xml:space="preserve"> expliciet </w:t>
      </w:r>
      <w:r w:rsidRPr="00D423A3">
        <w:lastRenderedPageBreak/>
        <w:t xml:space="preserve">opgenomen dat getuige zijn van </w:t>
      </w:r>
      <w:r>
        <w:t xml:space="preserve">huiselijk geweld en/of (een poging tot) partnerdoding </w:t>
      </w:r>
      <w:r w:rsidRPr="00D423A3">
        <w:t xml:space="preserve">leidt tot strafrechtelijke vervolging wegens kindermishandeling. </w:t>
      </w:r>
      <w:r w:rsidR="00266579">
        <w:t xml:space="preserve">De in de vraag benoemde </w:t>
      </w:r>
      <w:r w:rsidRPr="00D423A3" w:rsidR="00266579">
        <w:t xml:space="preserve">waarborging ligt in </w:t>
      </w:r>
      <w:r w:rsidR="00266579">
        <w:t xml:space="preserve">het in de Aanwijzing opgenomen uitgangspunt dat het Openbaar Ministerie </w:t>
      </w:r>
      <w:r w:rsidRPr="00D423A3" w:rsidR="00266579">
        <w:t>in een concrete zaak kan vervolgen</w:t>
      </w:r>
      <w:r w:rsidR="00266579">
        <w:t xml:space="preserve"> </w:t>
      </w:r>
      <w:r w:rsidRPr="00D423A3" w:rsidR="00266579">
        <w:t xml:space="preserve">wegens kindermishandeling in </w:t>
      </w:r>
      <w:r w:rsidR="00266579">
        <w:t xml:space="preserve">voornoemde </w:t>
      </w:r>
      <w:r w:rsidRPr="00D423A3" w:rsidR="00266579">
        <w:t>gevallen</w:t>
      </w:r>
      <w:r w:rsidR="00266579">
        <w:t xml:space="preserve">, afhankelijk van de </w:t>
      </w:r>
      <w:r w:rsidRPr="00D423A3" w:rsidR="00266579">
        <w:t>feiten, omstandigheden en de bewijsbaarheid</w:t>
      </w:r>
      <w:r w:rsidR="00266579">
        <w:t>. Het Openbaar Ministerie kan overigens ook ambtshalve vervolgen, behoudens in het geval van klachtdelicten.</w:t>
      </w:r>
    </w:p>
    <w:p w:rsidR="000E307E" w:rsidP="00983B1E" w:rsidRDefault="000E307E" w14:paraId="44C81119" w14:textId="77777777"/>
    <w:p w:rsidRPr="00FE5EE6" w:rsidR="00813BC9" w:rsidP="00983B1E" w:rsidRDefault="00813BC9" w14:paraId="5B214B61" w14:textId="77777777">
      <w:pPr>
        <w:rPr>
          <w:b/>
          <w:bCs/>
        </w:rPr>
      </w:pPr>
      <w:r w:rsidRPr="00FE5EE6">
        <w:rPr>
          <w:b/>
          <w:bCs/>
        </w:rPr>
        <w:t>Vraag 11</w:t>
      </w:r>
    </w:p>
    <w:p w:rsidRPr="00FE5EE6" w:rsidR="00813BC9" w:rsidP="00983B1E" w:rsidRDefault="00813BC9" w14:paraId="1C099881" w14:textId="77777777">
      <w:pPr>
        <w:rPr>
          <w:b/>
          <w:bCs/>
        </w:rPr>
      </w:pPr>
      <w:r w:rsidRPr="00FE5EE6">
        <w:rPr>
          <w:b/>
          <w:bCs/>
        </w:rPr>
        <w:t xml:space="preserve">Hoe beoordeelt u de wens uit de praktijk om te komen tot een protocol waarin wordt vastgelegd waar kinderen van </w:t>
      </w:r>
      <w:proofErr w:type="spellStart"/>
      <w:r w:rsidRPr="00FE5EE6">
        <w:rPr>
          <w:b/>
          <w:bCs/>
        </w:rPr>
        <w:t>femicideslachtoffers</w:t>
      </w:r>
      <w:proofErr w:type="spellEnd"/>
      <w:r w:rsidRPr="00FE5EE6">
        <w:rPr>
          <w:b/>
          <w:bCs/>
        </w:rPr>
        <w:t xml:space="preserve"> verblijven en waarin tevens een verplichting wordt opgenomen voor de Raad voor de Kinderbescherming om, indien dit in het belang van het kind is, het contact met de familie van de vermoorde moeder in stand te houden en zich daar actief voor in te zetten? </w:t>
      </w:r>
    </w:p>
    <w:p w:rsidRPr="00FE5EE6" w:rsidR="00FE5EE6" w:rsidP="00983B1E" w:rsidRDefault="00FE5EE6" w14:paraId="7EC26A3B" w14:textId="77777777">
      <w:pPr>
        <w:rPr>
          <w:b/>
          <w:bCs/>
        </w:rPr>
      </w:pPr>
    </w:p>
    <w:p w:rsidRPr="00FE5EE6" w:rsidR="00FE5EE6" w:rsidP="00983B1E" w:rsidRDefault="00FE5EE6" w14:paraId="5319A8A7" w14:textId="2B3E15B7">
      <w:pPr>
        <w:rPr>
          <w:b/>
          <w:bCs/>
        </w:rPr>
      </w:pPr>
      <w:r w:rsidRPr="00FE5EE6">
        <w:rPr>
          <w:b/>
          <w:bCs/>
        </w:rPr>
        <w:t>Antwoord</w:t>
      </w:r>
      <w:r>
        <w:rPr>
          <w:b/>
          <w:bCs/>
        </w:rPr>
        <w:t xml:space="preserve"> op vraag 11</w:t>
      </w:r>
    </w:p>
    <w:p w:rsidR="00A67334" w:rsidP="00983B1E" w:rsidRDefault="0023613A" w14:paraId="654FC7E7" w14:textId="4BDF318F">
      <w:r>
        <w:t xml:space="preserve">In het kader </w:t>
      </w:r>
      <w:r w:rsidR="002D004A">
        <w:t xml:space="preserve">van de aanbevelingen uit </w:t>
      </w:r>
      <w:r w:rsidR="00722AB3">
        <w:t xml:space="preserve">het ‘Aanpakplan: kinderen van </w:t>
      </w:r>
      <w:proofErr w:type="spellStart"/>
      <w:r w:rsidR="00722AB3">
        <w:t>femicide</w:t>
      </w:r>
      <w:proofErr w:type="spellEnd"/>
      <w:r w:rsidR="00722AB3">
        <w:t xml:space="preserve"> slachtoffers en </w:t>
      </w:r>
      <w:proofErr w:type="spellStart"/>
      <w:r w:rsidR="00722AB3">
        <w:t>femicide</w:t>
      </w:r>
      <w:proofErr w:type="spellEnd"/>
      <w:r w:rsidR="00722AB3">
        <w:t xml:space="preserve"> </w:t>
      </w:r>
      <w:proofErr w:type="spellStart"/>
      <w:r w:rsidR="00722AB3">
        <w:t>overlevers</w:t>
      </w:r>
      <w:proofErr w:type="spellEnd"/>
      <w:r w:rsidR="00722AB3">
        <w:t xml:space="preserve">’ </w:t>
      </w:r>
      <w:r w:rsidR="002D004A">
        <w:t xml:space="preserve">wordt gekeken naar de werking en mogelijke verbetering van het bestaande Handelingsprotocol omgang na partnerdoding. Daarin </w:t>
      </w:r>
      <w:r w:rsidR="002A3532">
        <w:t>nemen wij</w:t>
      </w:r>
      <w:r w:rsidR="002D004A">
        <w:t xml:space="preserve"> deze wens uit de praktijk mee. </w:t>
      </w:r>
      <w:r w:rsidR="005401E2">
        <w:t xml:space="preserve">Zoals in de beantwoording van vragen 5, 6 en 7 is aangegeven, </w:t>
      </w:r>
      <w:r w:rsidR="00721011">
        <w:t>zal de minister van Justitie en Veiligheid de Tweede Kamer voor de zomer een bredere reactie op dit aanpakplan toesturen.</w:t>
      </w:r>
    </w:p>
    <w:p w:rsidR="00A67334" w:rsidP="00983B1E" w:rsidRDefault="00A67334" w14:paraId="750A4537" w14:textId="77777777"/>
    <w:p w:rsidRPr="00FE5EE6" w:rsidR="00813BC9" w:rsidP="00983B1E" w:rsidRDefault="00813BC9" w14:paraId="0101365F" w14:textId="77777777">
      <w:pPr>
        <w:rPr>
          <w:b/>
          <w:bCs/>
        </w:rPr>
      </w:pPr>
      <w:bookmarkStart w:name="_Hlk222908600" w:id="6"/>
      <w:r w:rsidRPr="00FE5EE6">
        <w:rPr>
          <w:b/>
          <w:bCs/>
        </w:rPr>
        <w:t>Vraag 12</w:t>
      </w:r>
    </w:p>
    <w:p w:rsidR="00813BC9" w:rsidP="00983B1E" w:rsidRDefault="00813BC9" w14:paraId="6C4134D7" w14:textId="26D9FDCB">
      <w:pPr>
        <w:rPr>
          <w:b/>
          <w:bCs/>
        </w:rPr>
      </w:pPr>
      <w:r w:rsidRPr="00FE5EE6">
        <w:rPr>
          <w:b/>
          <w:bCs/>
        </w:rPr>
        <w:t xml:space="preserve">In hoeverre acht u het van belang dat rechters die oordelen over zaken waarin sprake is van (ernstig) huiselijk geweld, dwingende controle, intieme terreur of </w:t>
      </w:r>
      <w:proofErr w:type="spellStart"/>
      <w:r w:rsidRPr="00FE5EE6">
        <w:rPr>
          <w:b/>
          <w:bCs/>
        </w:rPr>
        <w:t>femicide</w:t>
      </w:r>
      <w:proofErr w:type="spellEnd"/>
      <w:r w:rsidRPr="00FE5EE6">
        <w:rPr>
          <w:b/>
          <w:bCs/>
        </w:rPr>
        <w:t xml:space="preserve">, beschikken over aantoonbare en specialistische kennis op dit terrein? Hoe verhoudt dit belang zich tot de constatering in het recente rapport van de Group of Experts on Action </w:t>
      </w:r>
      <w:proofErr w:type="spellStart"/>
      <w:r w:rsidRPr="00FE5EE6">
        <w:rPr>
          <w:b/>
          <w:bCs/>
        </w:rPr>
        <w:t>against</w:t>
      </w:r>
      <w:proofErr w:type="spellEnd"/>
      <w:r w:rsidRPr="00FE5EE6">
        <w:rPr>
          <w:b/>
          <w:bCs/>
        </w:rPr>
        <w:t xml:space="preserve"> </w:t>
      </w:r>
      <w:proofErr w:type="spellStart"/>
      <w:r w:rsidRPr="00FE5EE6">
        <w:rPr>
          <w:b/>
          <w:bCs/>
        </w:rPr>
        <w:t>Violence</w:t>
      </w:r>
      <w:proofErr w:type="spellEnd"/>
      <w:r w:rsidRPr="00FE5EE6">
        <w:rPr>
          <w:b/>
          <w:bCs/>
        </w:rPr>
        <w:t xml:space="preserve"> </w:t>
      </w:r>
      <w:proofErr w:type="spellStart"/>
      <w:r w:rsidRPr="00FE5EE6">
        <w:rPr>
          <w:b/>
          <w:bCs/>
        </w:rPr>
        <w:t>against</w:t>
      </w:r>
      <w:proofErr w:type="spellEnd"/>
      <w:r w:rsidRPr="00FE5EE6">
        <w:rPr>
          <w:b/>
          <w:bCs/>
        </w:rPr>
        <w:t xml:space="preserve"> </w:t>
      </w:r>
      <w:proofErr w:type="spellStart"/>
      <w:r w:rsidRPr="00FE5EE6">
        <w:rPr>
          <w:b/>
          <w:bCs/>
        </w:rPr>
        <w:t>Women</w:t>
      </w:r>
      <w:proofErr w:type="spellEnd"/>
      <w:r w:rsidRPr="00FE5EE6">
        <w:rPr>
          <w:b/>
          <w:bCs/>
        </w:rPr>
        <w:t xml:space="preserve"> </w:t>
      </w:r>
      <w:proofErr w:type="spellStart"/>
      <w:r w:rsidRPr="00FE5EE6">
        <w:rPr>
          <w:b/>
          <w:bCs/>
        </w:rPr>
        <w:t>and</w:t>
      </w:r>
      <w:proofErr w:type="spellEnd"/>
      <w:r w:rsidRPr="00FE5EE6">
        <w:rPr>
          <w:b/>
          <w:bCs/>
        </w:rPr>
        <w:t xml:space="preserve"> </w:t>
      </w:r>
      <w:proofErr w:type="spellStart"/>
      <w:r w:rsidRPr="00FE5EE6">
        <w:rPr>
          <w:b/>
          <w:bCs/>
        </w:rPr>
        <w:t>Domestic</w:t>
      </w:r>
      <w:proofErr w:type="spellEnd"/>
      <w:r w:rsidRPr="00FE5EE6">
        <w:rPr>
          <w:b/>
          <w:bCs/>
        </w:rPr>
        <w:t xml:space="preserve"> </w:t>
      </w:r>
      <w:proofErr w:type="spellStart"/>
      <w:r w:rsidRPr="00FE5EE6">
        <w:rPr>
          <w:b/>
          <w:bCs/>
        </w:rPr>
        <w:t>Violence</w:t>
      </w:r>
      <w:proofErr w:type="spellEnd"/>
      <w:r w:rsidRPr="00FE5EE6">
        <w:rPr>
          <w:b/>
          <w:bCs/>
        </w:rPr>
        <w:t>, dat voor rechters en officieren van justitie geen verplichte scholing bestaat op dit onderwerp?</w:t>
      </w:r>
      <w:r w:rsidRPr="00FE5EE6">
        <w:rPr>
          <w:rStyle w:val="Voetnootmarkering"/>
          <w:b/>
          <w:bCs/>
        </w:rPr>
        <w:footnoteReference w:id="6"/>
      </w:r>
      <w:r w:rsidRPr="00FE5EE6">
        <w:rPr>
          <w:b/>
          <w:bCs/>
        </w:rPr>
        <w:t xml:space="preserve"> Op welke wijze sluit het voornemen van de Raad voor de rechtspraak, zoals opgenomen in het jaarplan 2026, om te investeren in kennis over </w:t>
      </w:r>
      <w:proofErr w:type="spellStart"/>
      <w:r w:rsidRPr="00FE5EE6">
        <w:rPr>
          <w:b/>
          <w:bCs/>
        </w:rPr>
        <w:t>femicide</w:t>
      </w:r>
      <w:proofErr w:type="spellEnd"/>
      <w:r w:rsidRPr="00FE5EE6">
        <w:rPr>
          <w:b/>
          <w:bCs/>
        </w:rPr>
        <w:t xml:space="preserve"> en intieme terreur hierbij aan?</w:t>
      </w:r>
      <w:r w:rsidRPr="00FE5EE6">
        <w:rPr>
          <w:rStyle w:val="Voetnootmarkering"/>
          <w:b/>
          <w:bCs/>
        </w:rPr>
        <w:footnoteReference w:id="7"/>
      </w:r>
    </w:p>
    <w:p w:rsidR="00903E8A" w:rsidP="00983B1E" w:rsidRDefault="00903E8A" w14:paraId="22770361" w14:textId="77777777">
      <w:pPr>
        <w:rPr>
          <w:b/>
          <w:bCs/>
        </w:rPr>
      </w:pPr>
    </w:p>
    <w:p w:rsidRPr="00FE5EE6" w:rsidR="00903E8A" w:rsidP="00903E8A" w:rsidRDefault="00903E8A" w14:paraId="36BBECF6" w14:textId="77777777">
      <w:pPr>
        <w:rPr>
          <w:b/>
          <w:bCs/>
        </w:rPr>
      </w:pPr>
      <w:r w:rsidRPr="00FE5EE6">
        <w:rPr>
          <w:b/>
          <w:bCs/>
        </w:rPr>
        <w:t>Vraag 13</w:t>
      </w:r>
    </w:p>
    <w:p w:rsidRPr="00FE5EE6" w:rsidR="00903E8A" w:rsidP="00903E8A" w:rsidRDefault="00903E8A" w14:paraId="627E60C6" w14:textId="77777777">
      <w:pPr>
        <w:rPr>
          <w:b/>
          <w:bCs/>
        </w:rPr>
      </w:pPr>
      <w:r w:rsidRPr="00FE5EE6">
        <w:rPr>
          <w:b/>
          <w:bCs/>
        </w:rPr>
        <w:t>Bent u voornemens deze bijscholing verplicht te stellen en, zo ja, op welke termijn? En zo nee: hoe voorkomt u dat scholing vrijblijvend blijft en vooral wordt gevolgd door rechters die hier al affiniteit mee hebben?</w:t>
      </w:r>
    </w:p>
    <w:p w:rsidRPr="00FE5EE6" w:rsidR="00FE5EE6" w:rsidP="00983B1E" w:rsidRDefault="00FE5EE6" w14:paraId="05E4175B" w14:textId="77777777">
      <w:pPr>
        <w:rPr>
          <w:b/>
          <w:bCs/>
        </w:rPr>
      </w:pPr>
    </w:p>
    <w:p w:rsidRPr="00FE5EE6" w:rsidR="00FE5EE6" w:rsidP="00983B1E" w:rsidRDefault="00FE5EE6" w14:paraId="087C7DFB" w14:textId="3E8FF6D6">
      <w:pPr>
        <w:rPr>
          <w:b/>
          <w:bCs/>
        </w:rPr>
      </w:pPr>
      <w:r w:rsidRPr="00FE5EE6">
        <w:rPr>
          <w:b/>
          <w:bCs/>
        </w:rPr>
        <w:t>Antwoord</w:t>
      </w:r>
      <w:r>
        <w:rPr>
          <w:b/>
          <w:bCs/>
        </w:rPr>
        <w:t xml:space="preserve"> op vraag </w:t>
      </w:r>
      <w:r w:rsidR="00903E8A">
        <w:rPr>
          <w:b/>
          <w:bCs/>
        </w:rPr>
        <w:t xml:space="preserve">12 en </w:t>
      </w:r>
      <w:r>
        <w:rPr>
          <w:b/>
          <w:bCs/>
        </w:rPr>
        <w:t>13</w:t>
      </w:r>
    </w:p>
    <w:p w:rsidR="00967A09" w:rsidP="00983B1E" w:rsidRDefault="002A3532" w14:paraId="5F2AF16F" w14:textId="59582674">
      <w:r>
        <w:t xml:space="preserve">Wij </w:t>
      </w:r>
      <w:r w:rsidR="00083C65">
        <w:t>acht</w:t>
      </w:r>
      <w:r>
        <w:t>en</w:t>
      </w:r>
      <w:r w:rsidR="00083C65">
        <w:t xml:space="preserve"> het van belang dat </w:t>
      </w:r>
      <w:r w:rsidR="004D44A2">
        <w:t xml:space="preserve">de </w:t>
      </w:r>
      <w:r w:rsidR="00083C65">
        <w:t xml:space="preserve">rechters </w:t>
      </w:r>
      <w:r w:rsidR="004D44A2">
        <w:t>die oordelen over zaken waarin vormen van (ernstig) huiselijk geweld spe</w:t>
      </w:r>
      <w:r w:rsidR="00B06305">
        <w:t>len</w:t>
      </w:r>
      <w:r w:rsidR="004D44A2">
        <w:t xml:space="preserve">, </w:t>
      </w:r>
      <w:r w:rsidR="00083C65">
        <w:t xml:space="preserve">beschikken </w:t>
      </w:r>
      <w:r w:rsidR="00481800">
        <w:t>over de juiste kennis</w:t>
      </w:r>
      <w:r w:rsidR="00EE0C59">
        <w:t xml:space="preserve"> hierover</w:t>
      </w:r>
      <w:r w:rsidR="004D44A2">
        <w:t xml:space="preserve">. </w:t>
      </w:r>
      <w:r w:rsidRPr="00924083" w:rsidR="002310B9">
        <w:t xml:space="preserve">Uit het onderzoek ‘Waar geweld uit beeld raakt’ door het Verwey-Jonker Instituut </w:t>
      </w:r>
      <w:r w:rsidRPr="00924083" w:rsidR="00455AEB">
        <w:lastRenderedPageBreak/>
        <w:t>volgt dat kennis over huiselijk geweld en geweldspatronen tot de algemene basiskennis van (familie)rechters zou moeten behoren.</w:t>
      </w:r>
      <w:r w:rsidRPr="00924083" w:rsidR="0097395B">
        <w:t xml:space="preserve"> </w:t>
      </w:r>
      <w:r w:rsidR="00924083">
        <w:t xml:space="preserve">Dit is onderdeel van </w:t>
      </w:r>
      <w:r w:rsidR="00151E11">
        <w:t>het</w:t>
      </w:r>
      <w:r w:rsidRPr="00C879AE" w:rsidR="00151E11">
        <w:t xml:space="preserve"> </w:t>
      </w:r>
      <w:r w:rsidRPr="00C879AE" w:rsidR="00B06305">
        <w:t>verbeter</w:t>
      </w:r>
      <w:r w:rsidRPr="00C879AE" w:rsidR="0097395B">
        <w:t>plan</w:t>
      </w:r>
      <w:r w:rsidR="00151E11">
        <w:t xml:space="preserve"> waar in de vraag naar wordt verwezen</w:t>
      </w:r>
      <w:r w:rsidR="00C879AE">
        <w:t xml:space="preserve">, dat </w:t>
      </w:r>
      <w:r w:rsidRPr="00B06305" w:rsidR="00B06305">
        <w:t xml:space="preserve">onder meer </w:t>
      </w:r>
      <w:r w:rsidR="00C879AE">
        <w:t xml:space="preserve">ziet </w:t>
      </w:r>
      <w:r w:rsidRPr="00B06305" w:rsidR="00B06305">
        <w:t xml:space="preserve">op </w:t>
      </w:r>
      <w:bookmarkStart w:name="_Hlk223618621" w:id="7"/>
      <w:r w:rsidRPr="00B06305" w:rsidR="00B06305">
        <w:t>het verbinden van het straf- en civielrecht, het verbeteren van de informatievoorziening aan de familierechter</w:t>
      </w:r>
      <w:r w:rsidR="007D53B4">
        <w:t>. Daarnaast ziet het verbeterplan ook op</w:t>
      </w:r>
      <w:r w:rsidRPr="00B06305" w:rsidR="00B06305">
        <w:t xml:space="preserve"> </w:t>
      </w:r>
      <w:r w:rsidR="00B06305">
        <w:t>deskundigheidsbevordering</w:t>
      </w:r>
      <w:r w:rsidR="00672A76">
        <w:t xml:space="preserve"> binnen alle rechtsgebieden van de rechtspraak en van officieren van justitie.</w:t>
      </w:r>
      <w:bookmarkEnd w:id="7"/>
      <w:r w:rsidR="0097395B">
        <w:t xml:space="preserve"> </w:t>
      </w:r>
      <w:r w:rsidR="000A55E0">
        <w:t>Hierover worden momenteel gesprekken gevoerd met de rechtspraak</w:t>
      </w:r>
      <w:r w:rsidR="007D53B4">
        <w:t xml:space="preserve"> en het Openbaar Ministerie</w:t>
      </w:r>
      <w:r w:rsidR="000A55E0">
        <w:t>. De scholing van rechters</w:t>
      </w:r>
      <w:r w:rsidR="007D53B4">
        <w:t xml:space="preserve"> en officieren van justitie</w:t>
      </w:r>
      <w:r w:rsidR="006D5AE1">
        <w:t xml:space="preserve"> </w:t>
      </w:r>
      <w:r w:rsidR="000A55E0">
        <w:t xml:space="preserve">is ook onderdeel van deze gesprekken. </w:t>
      </w:r>
      <w:bookmarkStart w:name="_Hlk223613137" w:id="8"/>
      <w:r w:rsidRPr="00967A09" w:rsidR="00967A09">
        <w:t xml:space="preserve">De Rechtspraak is momenteel in samenwerking met </w:t>
      </w:r>
      <w:r w:rsidR="00284F58">
        <w:t xml:space="preserve">SSR, </w:t>
      </w:r>
      <w:r w:rsidRPr="00967A09" w:rsidR="00967A09">
        <w:t>het opleidingsinstituut</w:t>
      </w:r>
      <w:r w:rsidR="00284F58">
        <w:t xml:space="preserve"> van zowel de rechtspraak als het Openbaar Ministerie,</w:t>
      </w:r>
      <w:r w:rsidRPr="00967A09" w:rsidR="00967A09">
        <w:t xml:space="preserve"> het cursusaanbod over huiselijk geweld aanzienlijk aan het uitbreiden</w:t>
      </w:r>
      <w:r w:rsidR="00967A09">
        <w:t xml:space="preserve">. </w:t>
      </w:r>
      <w:bookmarkEnd w:id="8"/>
    </w:p>
    <w:p w:rsidR="00FE5EE6" w:rsidP="00983B1E" w:rsidRDefault="006D5AE1" w14:paraId="0B4D41DD" w14:textId="4248621D">
      <w:r>
        <w:t>Z</w:t>
      </w:r>
      <w:r w:rsidR="000A55E0">
        <w:t xml:space="preserve">oals </w:t>
      </w:r>
      <w:r w:rsidR="00924083">
        <w:t xml:space="preserve">hiervoor aangegeven, </w:t>
      </w:r>
      <w:r w:rsidR="00721011">
        <w:t>wordt</w:t>
      </w:r>
      <w:r w:rsidR="000A55E0">
        <w:t xml:space="preserve"> de Tweede Kamer voor de zomer nader </w:t>
      </w:r>
      <w:r w:rsidR="00721011">
        <w:t>geïnformeerd</w:t>
      </w:r>
      <w:r w:rsidR="000A55E0">
        <w:t xml:space="preserve"> over de voortgang van het verbetertraject. </w:t>
      </w:r>
      <w:r w:rsidR="001708D2">
        <w:t xml:space="preserve"> </w:t>
      </w:r>
      <w:bookmarkEnd w:id="6"/>
    </w:p>
    <w:sectPr w:rsidR="00FE5EE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EB15" w14:textId="77777777" w:rsidR="007F5E06" w:rsidRDefault="007F5E06">
      <w:pPr>
        <w:spacing w:line="240" w:lineRule="auto"/>
      </w:pPr>
      <w:r>
        <w:separator/>
      </w:r>
    </w:p>
  </w:endnote>
  <w:endnote w:type="continuationSeparator" w:id="0">
    <w:p w14:paraId="3D50BF6C" w14:textId="77777777" w:rsidR="007F5E06" w:rsidRDefault="007F5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7A3A" w14:textId="77777777" w:rsidR="007F5E06" w:rsidRDefault="007F5E06">
      <w:pPr>
        <w:spacing w:line="240" w:lineRule="auto"/>
      </w:pPr>
      <w:r>
        <w:separator/>
      </w:r>
    </w:p>
  </w:footnote>
  <w:footnote w:type="continuationSeparator" w:id="0">
    <w:p w14:paraId="061B183A" w14:textId="77777777" w:rsidR="007F5E06" w:rsidRDefault="007F5E06">
      <w:pPr>
        <w:spacing w:line="240" w:lineRule="auto"/>
      </w:pPr>
      <w:r>
        <w:continuationSeparator/>
      </w:r>
    </w:p>
  </w:footnote>
  <w:footnote w:id="1">
    <w:p w14:paraId="35E8C19A" w14:textId="0140BF00" w:rsidR="00813BC9" w:rsidRPr="00813BC9" w:rsidRDefault="00813BC9">
      <w:pPr>
        <w:pStyle w:val="Voetnoottekst"/>
        <w:rPr>
          <w:sz w:val="16"/>
          <w:szCs w:val="16"/>
        </w:rPr>
      </w:pPr>
      <w:r w:rsidRPr="00813BC9">
        <w:rPr>
          <w:rStyle w:val="Voetnootmarkering"/>
          <w:sz w:val="16"/>
          <w:szCs w:val="16"/>
        </w:rPr>
        <w:footnoteRef/>
      </w:r>
      <w:r w:rsidRPr="00813BC9">
        <w:rPr>
          <w:sz w:val="16"/>
          <w:szCs w:val="16"/>
        </w:rPr>
        <w:t xml:space="preserve"> </w:t>
      </w:r>
      <w:hyperlink r:id="rId1" w:history="1">
        <w:r w:rsidRPr="00813BC9">
          <w:rPr>
            <w:rStyle w:val="Hyperlink"/>
            <w:sz w:val="16"/>
            <w:szCs w:val="16"/>
          </w:rPr>
          <w:t>Opinie: De wet schiet tekort voor de kinderen van femicideslachtoffers | de Volkskrant</w:t>
        </w:r>
      </w:hyperlink>
    </w:p>
  </w:footnote>
  <w:footnote w:id="2">
    <w:p w14:paraId="63047943" w14:textId="5DC1D8BF" w:rsidR="00813BC9" w:rsidRDefault="00813BC9">
      <w:pPr>
        <w:pStyle w:val="Voetnoottekst"/>
      </w:pPr>
      <w:r w:rsidRPr="00813BC9">
        <w:rPr>
          <w:rStyle w:val="Voetnootmarkering"/>
          <w:sz w:val="16"/>
          <w:szCs w:val="16"/>
        </w:rPr>
        <w:footnoteRef/>
      </w:r>
      <w:r w:rsidRPr="00813BC9">
        <w:rPr>
          <w:sz w:val="16"/>
          <w:szCs w:val="16"/>
        </w:rPr>
        <w:t xml:space="preserve"> Universiteit Leiden, Femicide Monitor; Factsheet onzichtbare slachtoffers (</w:t>
      </w:r>
      <w:hyperlink r:id="rId2" w:history="1">
        <w:r w:rsidRPr="00813BC9">
          <w:rPr>
            <w:rStyle w:val="Hyperlink"/>
            <w:sz w:val="16"/>
            <w:szCs w:val="16"/>
          </w:rPr>
          <w:t>Kopie van Factsheet Femicide in Nederland</w:t>
        </w:r>
      </w:hyperlink>
      <w:r w:rsidRPr="00813BC9">
        <w:rPr>
          <w:sz w:val="16"/>
          <w:szCs w:val="16"/>
        </w:rPr>
        <w:t>)</w:t>
      </w:r>
      <w:r>
        <w:t xml:space="preserve"> </w:t>
      </w:r>
    </w:p>
  </w:footnote>
  <w:footnote w:id="3">
    <w:p w14:paraId="4DF59AAA" w14:textId="02503008" w:rsidR="0081032B" w:rsidRPr="0081032B" w:rsidRDefault="0081032B">
      <w:pPr>
        <w:pStyle w:val="Voetnoottekst"/>
      </w:pPr>
      <w:r>
        <w:rPr>
          <w:rStyle w:val="Voetnootmarkering"/>
        </w:rPr>
        <w:footnoteRef/>
      </w:r>
      <w:r>
        <w:t xml:space="preserve"> </w:t>
      </w:r>
      <w:r w:rsidRPr="0081032B">
        <w:rPr>
          <w:sz w:val="16"/>
          <w:szCs w:val="16"/>
        </w:rPr>
        <w:t xml:space="preserve">Bijlage bij </w:t>
      </w:r>
      <w:r w:rsidRPr="0081032B">
        <w:rPr>
          <w:i/>
          <w:iCs/>
          <w:sz w:val="16"/>
          <w:szCs w:val="16"/>
        </w:rPr>
        <w:t>Kamerstukken II</w:t>
      </w:r>
      <w:r w:rsidRPr="0081032B">
        <w:rPr>
          <w:sz w:val="16"/>
          <w:szCs w:val="16"/>
        </w:rPr>
        <w:t>, 2023-2024, 33 836, nr. 90.</w:t>
      </w:r>
      <w:r>
        <w:t xml:space="preserve"> </w:t>
      </w:r>
    </w:p>
  </w:footnote>
  <w:footnote w:id="4">
    <w:p w14:paraId="7E3C5EB8" w14:textId="77777777" w:rsidR="00D554B9" w:rsidRPr="00821EF1" w:rsidRDefault="00D554B9" w:rsidP="00D554B9">
      <w:pPr>
        <w:pStyle w:val="Voetnoottekst"/>
        <w:rPr>
          <w:sz w:val="16"/>
          <w:szCs w:val="16"/>
        </w:rPr>
      </w:pPr>
      <w:r w:rsidRPr="00821EF1">
        <w:rPr>
          <w:rStyle w:val="Voetnootmarkering"/>
          <w:sz w:val="16"/>
          <w:szCs w:val="16"/>
        </w:rPr>
        <w:footnoteRef/>
      </w:r>
      <w:r w:rsidRPr="00821EF1">
        <w:rPr>
          <w:sz w:val="16"/>
          <w:szCs w:val="16"/>
        </w:rPr>
        <w:t xml:space="preserve"> Het WODC heeft veertien verschillende casussen onderzocht. In twaalf van de veertien casussen werd de voorlopige voogdijmaatregel binnen 24 uur </w:t>
      </w:r>
      <w:r>
        <w:rPr>
          <w:sz w:val="16"/>
          <w:szCs w:val="16"/>
        </w:rPr>
        <w:t>na het verzoek van de RvdK afgegeven</w:t>
      </w:r>
      <w:r w:rsidRPr="00821EF1">
        <w:rPr>
          <w:sz w:val="16"/>
          <w:szCs w:val="16"/>
        </w:rPr>
        <w:t>, en was het gezags- en omgangsonderzoek door de RvdK binnen twaalf weken afgerond. In de twee casussen waar</w:t>
      </w:r>
      <w:r>
        <w:rPr>
          <w:sz w:val="16"/>
          <w:szCs w:val="16"/>
        </w:rPr>
        <w:t xml:space="preserve"> dat niet het geval was, ontbrak het aan tijdige informatie over bijvoorbeeld de toedracht, verdenking en de geschikte partij voor de voorlopige voogdij. </w:t>
      </w:r>
    </w:p>
  </w:footnote>
  <w:footnote w:id="5">
    <w:p w14:paraId="2DB13491" w14:textId="460D2B22" w:rsidR="00813BC9" w:rsidRPr="00813BC9" w:rsidRDefault="00813BC9">
      <w:pPr>
        <w:pStyle w:val="Voetnoottekst"/>
        <w:rPr>
          <w:sz w:val="16"/>
          <w:szCs w:val="16"/>
        </w:rPr>
      </w:pPr>
      <w:r w:rsidRPr="00813BC9">
        <w:rPr>
          <w:rStyle w:val="Voetnootmarkering"/>
          <w:sz w:val="16"/>
          <w:szCs w:val="16"/>
        </w:rPr>
        <w:footnoteRef/>
      </w:r>
      <w:r w:rsidRPr="00813BC9">
        <w:rPr>
          <w:sz w:val="16"/>
          <w:szCs w:val="16"/>
        </w:rPr>
        <w:t xml:space="preserve"> Hoge Raad, 19 december 2025, ECLI:NL:HR:2025:1948</w:t>
      </w:r>
    </w:p>
  </w:footnote>
  <w:footnote w:id="6">
    <w:p w14:paraId="555B756B" w14:textId="6E176B69" w:rsidR="00813BC9" w:rsidRPr="00813BC9" w:rsidRDefault="00813BC9">
      <w:pPr>
        <w:pStyle w:val="Voetnoottekst"/>
        <w:rPr>
          <w:sz w:val="16"/>
          <w:szCs w:val="16"/>
          <w:lang w:val="en-US"/>
        </w:rPr>
      </w:pPr>
      <w:r w:rsidRPr="00813BC9">
        <w:rPr>
          <w:rStyle w:val="Voetnootmarkering"/>
          <w:sz w:val="16"/>
          <w:szCs w:val="16"/>
        </w:rPr>
        <w:footnoteRef/>
      </w:r>
      <w:r w:rsidRPr="00813BC9">
        <w:rPr>
          <w:sz w:val="16"/>
          <w:szCs w:val="16"/>
          <w:lang w:val="en-US"/>
        </w:rPr>
        <w:t xml:space="preserve"> Group of Experts on Action against Violence against Women and Domestic Violence (GREVIO), First thematic evaluation report on the Netherlands, 21 oktober 2025, paragraaf </w:t>
      </w:r>
      <w:r w:rsidRPr="00485418">
        <w:rPr>
          <w:sz w:val="16"/>
          <w:szCs w:val="16"/>
          <w:lang w:val="en-US"/>
        </w:rPr>
        <w:t>74</w:t>
      </w:r>
      <w:r w:rsidR="007C4FB1" w:rsidRPr="00485418">
        <w:rPr>
          <w:sz w:val="16"/>
          <w:szCs w:val="16"/>
        </w:rPr>
        <w:fldChar w:fldCharType="begin"/>
      </w:r>
      <w:r w:rsidR="007C4FB1" w:rsidRPr="00485418">
        <w:rPr>
          <w:sz w:val="16"/>
          <w:szCs w:val="16"/>
          <w:lang w:val="en-US"/>
        </w:rPr>
        <w:instrText>https://rm.coe.int/first-thematic-evaluation-report-on-the-netherlands/488028f8df</w:instrText>
      </w:r>
      <w:r w:rsidR="007C4FB1" w:rsidRPr="00485418">
        <w:rPr>
          <w:sz w:val="16"/>
          <w:szCs w:val="16"/>
        </w:rPr>
        <w:fldChar w:fldCharType="separate"/>
      </w:r>
      <w:r w:rsidR="007C4FB1" w:rsidRPr="00485418">
        <w:rPr>
          <w:rStyle w:val="Hyperlink"/>
          <w:sz w:val="16"/>
          <w:szCs w:val="16"/>
          <w:lang w:val="en-US"/>
        </w:rPr>
        <w:t>https://rm.coe.int/first-thematic-evaluation-report-on-the-netherlands/488028f8df</w:t>
      </w:r>
      <w:r w:rsidR="007C4FB1" w:rsidRPr="00485418">
        <w:rPr>
          <w:sz w:val="16"/>
          <w:szCs w:val="16"/>
        </w:rPr>
        <w:fldChar w:fldCharType="end"/>
      </w:r>
      <w:r w:rsidRPr="00485418">
        <w:rPr>
          <w:sz w:val="16"/>
          <w:szCs w:val="16"/>
          <w:lang w:val="en-US"/>
        </w:rPr>
        <w:t>.</w:t>
      </w:r>
      <w:r w:rsidRPr="00813BC9">
        <w:rPr>
          <w:sz w:val="16"/>
          <w:szCs w:val="16"/>
          <w:lang w:val="en-US"/>
        </w:rPr>
        <w:t xml:space="preserve"> </w:t>
      </w:r>
    </w:p>
  </w:footnote>
  <w:footnote w:id="7">
    <w:p w14:paraId="13EA2898" w14:textId="24EBF00C" w:rsidR="00813BC9" w:rsidRDefault="00813BC9">
      <w:pPr>
        <w:pStyle w:val="Voetnoottekst"/>
      </w:pPr>
      <w:r w:rsidRPr="00813BC9">
        <w:rPr>
          <w:rStyle w:val="Voetnootmarkering"/>
          <w:sz w:val="16"/>
          <w:szCs w:val="16"/>
        </w:rPr>
        <w:footnoteRef/>
      </w:r>
      <w:r w:rsidRPr="00813BC9">
        <w:rPr>
          <w:sz w:val="16"/>
          <w:szCs w:val="16"/>
        </w:rPr>
        <w:t xml:space="preserve"> Raad voor de Rechtspraak (</w:t>
      </w:r>
      <w:hyperlink r:id="rId3" w:history="1">
        <w:r w:rsidRPr="00813BC9">
          <w:rPr>
            <w:rStyle w:val="Hyperlink"/>
            <w:sz w:val="16"/>
            <w:szCs w:val="16"/>
          </w:rPr>
          <w:t>Jaarplan 2026</w:t>
        </w:r>
      </w:hyperlink>
      <w:r w:rsidRPr="00813BC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C55B" w14:textId="77777777" w:rsidR="0032341D" w:rsidRDefault="006F5E1A">
    <w:r>
      <w:rPr>
        <w:noProof/>
      </w:rPr>
      <mc:AlternateContent>
        <mc:Choice Requires="wps">
          <w:drawing>
            <wp:anchor distT="0" distB="0" distL="0" distR="0" simplePos="0" relativeHeight="251652096" behindDoc="0" locked="1" layoutInCell="1" allowOverlap="1" wp14:anchorId="11931632" wp14:editId="52C725A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9C94351" w14:textId="77777777" w:rsidR="005212D5" w:rsidRDefault="005212D5"/>
                      </w:txbxContent>
                    </wps:txbx>
                    <wps:bodyPr vert="horz" wrap="square" lIns="0" tIns="0" rIns="0" bIns="0" anchor="t" anchorCtr="0"/>
                  </wps:wsp>
                </a:graphicData>
              </a:graphic>
            </wp:anchor>
          </w:drawing>
        </mc:Choice>
        <mc:Fallback>
          <w:pict>
            <v:shapetype w14:anchorId="1193163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9C94351" w14:textId="77777777" w:rsidR="005212D5" w:rsidRDefault="005212D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FD2973" wp14:editId="572C052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0861FE" w14:textId="77777777" w:rsidR="0032341D" w:rsidRDefault="006F5E1A">
                          <w:pPr>
                            <w:pStyle w:val="Referentiegegevensbold"/>
                          </w:pPr>
                          <w:r>
                            <w:t>Directoraat-Generaal Straffen en Beschermen</w:t>
                          </w:r>
                        </w:p>
                        <w:p w14:paraId="6AA43AAB" w14:textId="77777777" w:rsidR="0032341D" w:rsidRDefault="006F5E1A">
                          <w:pPr>
                            <w:pStyle w:val="Referentiegegevens"/>
                          </w:pPr>
                          <w:r>
                            <w:t>Directie Jeugd, Familie en aanpak Criminaliteitsfenomenen</w:t>
                          </w:r>
                        </w:p>
                        <w:p w14:paraId="396B9374" w14:textId="77777777" w:rsidR="0032341D" w:rsidRDefault="006F5E1A">
                          <w:pPr>
                            <w:pStyle w:val="Referentiegegevens"/>
                          </w:pPr>
                          <w:r>
                            <w:t>Familie</w:t>
                          </w:r>
                        </w:p>
                        <w:p w14:paraId="6F04A11B" w14:textId="77777777" w:rsidR="0032341D" w:rsidRDefault="0032341D">
                          <w:pPr>
                            <w:pStyle w:val="WitregelW2"/>
                          </w:pPr>
                        </w:p>
                        <w:p w14:paraId="1FA56C17" w14:textId="77777777" w:rsidR="0032341D" w:rsidRDefault="006F5E1A">
                          <w:pPr>
                            <w:pStyle w:val="Referentiegegevensbold"/>
                          </w:pPr>
                          <w:r>
                            <w:t>Datum</w:t>
                          </w:r>
                        </w:p>
                        <w:p w14:paraId="28307BC2" w14:textId="1E966351" w:rsidR="0032341D" w:rsidRDefault="0023767A">
                          <w:pPr>
                            <w:pStyle w:val="Referentiegegevens"/>
                          </w:pPr>
                          <w:sdt>
                            <w:sdtPr>
                              <w:id w:val="1243837878"/>
                              <w:date w:fullDate="2026-03-31T00:00:00Z">
                                <w:dateFormat w:val="d MMMM yyyy"/>
                                <w:lid w:val="nl"/>
                                <w:storeMappedDataAs w:val="dateTime"/>
                                <w:calendar w:val="gregorian"/>
                              </w:date>
                            </w:sdtPr>
                            <w:sdtEndPr/>
                            <w:sdtContent>
                              <w:r w:rsidR="00731051">
                                <w:rPr>
                                  <w:lang w:val="nl"/>
                                </w:rPr>
                                <w:t>31 maart 2026</w:t>
                              </w:r>
                            </w:sdtContent>
                          </w:sdt>
                        </w:p>
                        <w:p w14:paraId="67088D4D" w14:textId="77777777" w:rsidR="0032341D" w:rsidRDefault="0032341D">
                          <w:pPr>
                            <w:pStyle w:val="WitregelW1"/>
                          </w:pPr>
                        </w:p>
                        <w:p w14:paraId="4E21BC48" w14:textId="77777777" w:rsidR="0032341D" w:rsidRDefault="006F5E1A">
                          <w:pPr>
                            <w:pStyle w:val="Referentiegegevensbold"/>
                          </w:pPr>
                          <w:r>
                            <w:t>Onze referentie</w:t>
                          </w:r>
                        </w:p>
                        <w:p w14:paraId="7F40F2EA" w14:textId="77777777" w:rsidR="0032341D" w:rsidRDefault="006F5E1A">
                          <w:pPr>
                            <w:pStyle w:val="Referentiegegevens"/>
                          </w:pPr>
                          <w:r>
                            <w:t>7269396</w:t>
                          </w:r>
                        </w:p>
                      </w:txbxContent>
                    </wps:txbx>
                    <wps:bodyPr vert="horz" wrap="square" lIns="0" tIns="0" rIns="0" bIns="0" anchor="t" anchorCtr="0"/>
                  </wps:wsp>
                </a:graphicData>
              </a:graphic>
            </wp:anchor>
          </w:drawing>
        </mc:Choice>
        <mc:Fallback>
          <w:pict>
            <v:shapetype w14:anchorId="3CFD2973"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60861FE" w14:textId="77777777" w:rsidR="0032341D" w:rsidRDefault="006F5E1A">
                    <w:pPr>
                      <w:pStyle w:val="Referentiegegevensbold"/>
                    </w:pPr>
                    <w:r>
                      <w:t>Directoraat-Generaal Straffen en Beschermen</w:t>
                    </w:r>
                  </w:p>
                  <w:p w14:paraId="6AA43AAB" w14:textId="77777777" w:rsidR="0032341D" w:rsidRDefault="006F5E1A">
                    <w:pPr>
                      <w:pStyle w:val="Referentiegegevens"/>
                    </w:pPr>
                    <w:r>
                      <w:t>Directie Jeugd, Familie en aanpak Criminaliteitsfenomenen</w:t>
                    </w:r>
                  </w:p>
                  <w:p w14:paraId="396B9374" w14:textId="77777777" w:rsidR="0032341D" w:rsidRDefault="006F5E1A">
                    <w:pPr>
                      <w:pStyle w:val="Referentiegegevens"/>
                    </w:pPr>
                    <w:r>
                      <w:t>Familie</w:t>
                    </w:r>
                  </w:p>
                  <w:p w14:paraId="6F04A11B" w14:textId="77777777" w:rsidR="0032341D" w:rsidRDefault="0032341D">
                    <w:pPr>
                      <w:pStyle w:val="WitregelW2"/>
                    </w:pPr>
                  </w:p>
                  <w:p w14:paraId="1FA56C17" w14:textId="77777777" w:rsidR="0032341D" w:rsidRDefault="006F5E1A">
                    <w:pPr>
                      <w:pStyle w:val="Referentiegegevensbold"/>
                    </w:pPr>
                    <w:r>
                      <w:t>Datum</w:t>
                    </w:r>
                  </w:p>
                  <w:p w14:paraId="28307BC2" w14:textId="1E966351" w:rsidR="0032341D" w:rsidRDefault="00000000">
                    <w:pPr>
                      <w:pStyle w:val="Referentiegegevens"/>
                    </w:pPr>
                    <w:sdt>
                      <w:sdtPr>
                        <w:id w:val="1243837878"/>
                        <w:date w:fullDate="2026-03-31T00:00:00Z">
                          <w:dateFormat w:val="d MMMM yyyy"/>
                          <w:lid w:val="nl"/>
                          <w:storeMappedDataAs w:val="dateTime"/>
                          <w:calendar w:val="gregorian"/>
                        </w:date>
                      </w:sdtPr>
                      <w:sdtContent>
                        <w:r w:rsidR="00731051">
                          <w:rPr>
                            <w:lang w:val="nl"/>
                          </w:rPr>
                          <w:t>31 maart 2026</w:t>
                        </w:r>
                      </w:sdtContent>
                    </w:sdt>
                  </w:p>
                  <w:p w14:paraId="67088D4D" w14:textId="77777777" w:rsidR="0032341D" w:rsidRDefault="0032341D">
                    <w:pPr>
                      <w:pStyle w:val="WitregelW1"/>
                    </w:pPr>
                  </w:p>
                  <w:p w14:paraId="4E21BC48" w14:textId="77777777" w:rsidR="0032341D" w:rsidRDefault="006F5E1A">
                    <w:pPr>
                      <w:pStyle w:val="Referentiegegevensbold"/>
                    </w:pPr>
                    <w:r>
                      <w:t>Onze referentie</w:t>
                    </w:r>
                  </w:p>
                  <w:p w14:paraId="7F40F2EA" w14:textId="77777777" w:rsidR="0032341D" w:rsidRDefault="006F5E1A">
                    <w:pPr>
                      <w:pStyle w:val="Referentiegegevens"/>
                    </w:pPr>
                    <w:r>
                      <w:t>7269396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ECF9ED6" wp14:editId="0E0D4B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FB60E7" w14:textId="77777777" w:rsidR="005212D5" w:rsidRDefault="005212D5"/>
                      </w:txbxContent>
                    </wps:txbx>
                    <wps:bodyPr vert="horz" wrap="square" lIns="0" tIns="0" rIns="0" bIns="0" anchor="t" anchorCtr="0"/>
                  </wps:wsp>
                </a:graphicData>
              </a:graphic>
            </wp:anchor>
          </w:drawing>
        </mc:Choice>
        <mc:Fallback>
          <w:pict>
            <v:shape w14:anchorId="4ECF9ED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7FB60E7" w14:textId="77777777" w:rsidR="005212D5" w:rsidRDefault="005212D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16BD47" wp14:editId="16681AB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11F008" w14:textId="073B3559" w:rsidR="0032341D" w:rsidRDefault="006F5E1A">
                          <w:pPr>
                            <w:pStyle w:val="Referentiegegevens"/>
                          </w:pPr>
                          <w:r>
                            <w:t xml:space="preserve">Pagina </w:t>
                          </w:r>
                          <w:r>
                            <w:fldChar w:fldCharType="begin"/>
                          </w:r>
                          <w:r>
                            <w:instrText>PAGE</w:instrText>
                          </w:r>
                          <w:r>
                            <w:fldChar w:fldCharType="separate"/>
                          </w:r>
                          <w:r w:rsidR="00983B1E">
                            <w:rPr>
                              <w:noProof/>
                            </w:rPr>
                            <w:t>2</w:t>
                          </w:r>
                          <w:r>
                            <w:fldChar w:fldCharType="end"/>
                          </w:r>
                          <w:r>
                            <w:t xml:space="preserve"> van </w:t>
                          </w:r>
                          <w:r>
                            <w:fldChar w:fldCharType="begin"/>
                          </w:r>
                          <w:r>
                            <w:instrText>NUMPAGES</w:instrText>
                          </w:r>
                          <w:r>
                            <w:fldChar w:fldCharType="separate"/>
                          </w:r>
                          <w:r w:rsidR="00983B1E">
                            <w:rPr>
                              <w:noProof/>
                            </w:rPr>
                            <w:t>1</w:t>
                          </w:r>
                          <w:r>
                            <w:fldChar w:fldCharType="end"/>
                          </w:r>
                        </w:p>
                      </w:txbxContent>
                    </wps:txbx>
                    <wps:bodyPr vert="horz" wrap="square" lIns="0" tIns="0" rIns="0" bIns="0" anchor="t" anchorCtr="0"/>
                  </wps:wsp>
                </a:graphicData>
              </a:graphic>
            </wp:anchor>
          </w:drawing>
        </mc:Choice>
        <mc:Fallback>
          <w:pict>
            <v:shape w14:anchorId="2F16BD4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11F008" w14:textId="073B3559" w:rsidR="0032341D" w:rsidRDefault="006F5E1A">
                    <w:pPr>
                      <w:pStyle w:val="Referentiegegevens"/>
                    </w:pPr>
                    <w:r>
                      <w:t xml:space="preserve">Pagina </w:t>
                    </w:r>
                    <w:r>
                      <w:fldChar w:fldCharType="begin"/>
                    </w:r>
                    <w:r>
                      <w:instrText>PAGE</w:instrText>
                    </w:r>
                    <w:r>
                      <w:fldChar w:fldCharType="separate"/>
                    </w:r>
                    <w:r w:rsidR="00983B1E">
                      <w:rPr>
                        <w:noProof/>
                      </w:rPr>
                      <w:t>2</w:t>
                    </w:r>
                    <w:r>
                      <w:fldChar w:fldCharType="end"/>
                    </w:r>
                    <w:r>
                      <w:t xml:space="preserve"> van </w:t>
                    </w:r>
                    <w:r>
                      <w:fldChar w:fldCharType="begin"/>
                    </w:r>
                    <w:r>
                      <w:instrText>NUMPAGES</w:instrText>
                    </w:r>
                    <w:r>
                      <w:fldChar w:fldCharType="separate"/>
                    </w:r>
                    <w:r w:rsidR="00983B1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000A" w14:textId="77777777" w:rsidR="0032341D" w:rsidRDefault="006F5E1A">
    <w:pPr>
      <w:spacing w:after="6377" w:line="14" w:lineRule="exact"/>
    </w:pPr>
    <w:r>
      <w:rPr>
        <w:noProof/>
      </w:rPr>
      <mc:AlternateContent>
        <mc:Choice Requires="wps">
          <w:drawing>
            <wp:anchor distT="0" distB="0" distL="0" distR="0" simplePos="0" relativeHeight="251656192" behindDoc="0" locked="1" layoutInCell="1" allowOverlap="1" wp14:anchorId="32D5DB16" wp14:editId="5142B77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BB15D2" w14:textId="77777777" w:rsidR="0032341D" w:rsidRDefault="006F5E1A">
                          <w:pPr>
                            <w:spacing w:line="240" w:lineRule="auto"/>
                          </w:pPr>
                          <w:r>
                            <w:rPr>
                              <w:noProof/>
                            </w:rPr>
                            <w:drawing>
                              <wp:inline distT="0" distB="0" distL="0" distR="0" wp14:anchorId="09F159FB" wp14:editId="0B15B46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D5DB1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9BB15D2" w14:textId="77777777" w:rsidR="0032341D" w:rsidRDefault="006F5E1A">
                    <w:pPr>
                      <w:spacing w:line="240" w:lineRule="auto"/>
                    </w:pPr>
                    <w:r>
                      <w:rPr>
                        <w:noProof/>
                      </w:rPr>
                      <w:drawing>
                        <wp:inline distT="0" distB="0" distL="0" distR="0" wp14:anchorId="09F159FB" wp14:editId="0B15B46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784BC87" wp14:editId="0A41434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F04ADC" w14:textId="77777777" w:rsidR="0032341D" w:rsidRDefault="006F5E1A">
                          <w:pPr>
                            <w:spacing w:line="240" w:lineRule="auto"/>
                          </w:pPr>
                          <w:r>
                            <w:rPr>
                              <w:noProof/>
                            </w:rPr>
                            <w:drawing>
                              <wp:inline distT="0" distB="0" distL="0" distR="0" wp14:anchorId="5AB75C96" wp14:editId="4767E00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84BC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F04ADC" w14:textId="77777777" w:rsidR="0032341D" w:rsidRDefault="006F5E1A">
                    <w:pPr>
                      <w:spacing w:line="240" w:lineRule="auto"/>
                    </w:pPr>
                    <w:r>
                      <w:rPr>
                        <w:noProof/>
                      </w:rPr>
                      <w:drawing>
                        <wp:inline distT="0" distB="0" distL="0" distR="0" wp14:anchorId="5AB75C96" wp14:editId="4767E00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BF22DC" wp14:editId="33A9158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5CC0C1" w14:textId="77777777" w:rsidR="0032341D" w:rsidRDefault="006F5E1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4BF22D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D5CC0C1" w14:textId="77777777" w:rsidR="0032341D" w:rsidRDefault="006F5E1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AAEFEB" wp14:editId="50C306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666695" w14:textId="0A6CDF97" w:rsidR="00731051" w:rsidRDefault="00731051">
                          <w:r>
                            <w:t>Aan</w:t>
                          </w:r>
                          <w:r w:rsidR="006F5E1A">
                            <w:t xml:space="preserve"> de Voorzitter van de Tweede Kamer</w:t>
                          </w:r>
                        </w:p>
                        <w:p w14:paraId="370032DA" w14:textId="0DCA4A13" w:rsidR="0032341D" w:rsidRDefault="006F5E1A">
                          <w:r>
                            <w:t>der Staten-Generaal</w:t>
                          </w:r>
                        </w:p>
                        <w:p w14:paraId="1DABB003" w14:textId="77777777" w:rsidR="0032341D" w:rsidRDefault="006F5E1A">
                          <w:r>
                            <w:t xml:space="preserve">Postbus 20018 </w:t>
                          </w:r>
                        </w:p>
                        <w:p w14:paraId="5E8C1C42" w14:textId="24886072" w:rsidR="0032341D" w:rsidRDefault="006F5E1A">
                          <w:r>
                            <w:t xml:space="preserve">2500 EA  </w:t>
                          </w:r>
                          <w:r w:rsidR="00731051">
                            <w:t>DEN HAAG</w:t>
                          </w:r>
                        </w:p>
                      </w:txbxContent>
                    </wps:txbx>
                    <wps:bodyPr vert="horz" wrap="square" lIns="0" tIns="0" rIns="0" bIns="0" anchor="t" anchorCtr="0"/>
                  </wps:wsp>
                </a:graphicData>
              </a:graphic>
            </wp:anchor>
          </w:drawing>
        </mc:Choice>
        <mc:Fallback>
          <w:pict>
            <v:shape w14:anchorId="78AAEFE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666695" w14:textId="0A6CDF97" w:rsidR="00731051" w:rsidRDefault="00731051">
                    <w:r>
                      <w:t>Aan</w:t>
                    </w:r>
                    <w:r w:rsidR="006F5E1A">
                      <w:t xml:space="preserve"> de Voorzitter van de Tweede Kamer</w:t>
                    </w:r>
                  </w:p>
                  <w:p w14:paraId="370032DA" w14:textId="0DCA4A13" w:rsidR="0032341D" w:rsidRDefault="006F5E1A">
                    <w:r>
                      <w:t>der Staten-Generaal</w:t>
                    </w:r>
                  </w:p>
                  <w:p w14:paraId="1DABB003" w14:textId="77777777" w:rsidR="0032341D" w:rsidRDefault="006F5E1A">
                    <w:r>
                      <w:t xml:space="preserve">Postbus 20018 </w:t>
                    </w:r>
                  </w:p>
                  <w:p w14:paraId="5E8C1C42" w14:textId="24886072" w:rsidR="0032341D" w:rsidRDefault="006F5E1A">
                    <w:r>
                      <w:t xml:space="preserve">2500 EA  </w:t>
                    </w:r>
                    <w:r w:rsidR="00731051">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4DB622F" wp14:editId="5C4C92D7">
              <wp:simplePos x="0" y="0"/>
              <wp:positionH relativeFrom="margin">
                <wp:align>left</wp:align>
              </wp:positionH>
              <wp:positionV relativeFrom="page">
                <wp:posOffset>3355340</wp:posOffset>
              </wp:positionV>
              <wp:extent cx="4771390" cy="95377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1390" cy="954157"/>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2341D" w14:paraId="5827021F" w14:textId="77777777">
                            <w:trPr>
                              <w:trHeight w:val="240"/>
                            </w:trPr>
                            <w:tc>
                              <w:tcPr>
                                <w:tcW w:w="1140" w:type="dxa"/>
                              </w:tcPr>
                              <w:p w14:paraId="6691C169" w14:textId="77777777" w:rsidR="0032341D" w:rsidRDefault="006F5E1A">
                                <w:r>
                                  <w:t>Datum</w:t>
                                </w:r>
                              </w:p>
                            </w:tc>
                            <w:tc>
                              <w:tcPr>
                                <w:tcW w:w="5918" w:type="dxa"/>
                              </w:tcPr>
                              <w:p w14:paraId="00B5C3D9" w14:textId="1EE8A8F8" w:rsidR="0032341D" w:rsidRDefault="0023767A">
                                <w:sdt>
                                  <w:sdtPr>
                                    <w:id w:val="1434245738"/>
                                    <w:date w:fullDate="2026-03-31T00:00:00Z">
                                      <w:dateFormat w:val="d MMMM yyyy"/>
                                      <w:lid w:val="nl"/>
                                      <w:storeMappedDataAs w:val="dateTime"/>
                                      <w:calendar w:val="gregorian"/>
                                    </w:date>
                                  </w:sdtPr>
                                  <w:sdtEndPr/>
                                  <w:sdtContent>
                                    <w:r w:rsidR="00731051">
                                      <w:rPr>
                                        <w:lang w:val="nl"/>
                                      </w:rPr>
                                      <w:t>31 maart 2026</w:t>
                                    </w:r>
                                  </w:sdtContent>
                                </w:sdt>
                              </w:p>
                            </w:tc>
                          </w:tr>
                          <w:tr w:rsidR="0032341D" w14:paraId="2243E8D2" w14:textId="77777777">
                            <w:trPr>
                              <w:trHeight w:val="240"/>
                            </w:trPr>
                            <w:tc>
                              <w:tcPr>
                                <w:tcW w:w="1140" w:type="dxa"/>
                              </w:tcPr>
                              <w:p w14:paraId="6B893222" w14:textId="77777777" w:rsidR="0032341D" w:rsidRDefault="006F5E1A">
                                <w:r>
                                  <w:t>Betreft</w:t>
                                </w:r>
                              </w:p>
                            </w:tc>
                            <w:tc>
                              <w:tcPr>
                                <w:tcW w:w="5918" w:type="dxa"/>
                              </w:tcPr>
                              <w:p w14:paraId="0955239D" w14:textId="0B28266C" w:rsidR="0032341D" w:rsidRDefault="006F5E1A">
                                <w:r>
                                  <w:t xml:space="preserve">Antwoorden Kamervragen over de positie van kinderen en familieleden van </w:t>
                                </w:r>
                                <w:proofErr w:type="spellStart"/>
                                <w:r w:rsidR="00983B1E">
                                  <w:t>femicideslachtoffers</w:t>
                                </w:r>
                                <w:proofErr w:type="spellEnd"/>
                              </w:p>
                            </w:tc>
                          </w:tr>
                        </w:tbl>
                        <w:p w14:paraId="22478F44" w14:textId="77777777" w:rsidR="005212D5" w:rsidRDefault="005212D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622F" id="1670fa0c-13cb-45ec-92be-ef1f34d237c5" o:spid="_x0000_s1034" type="#_x0000_t202" style="position:absolute;margin-left:0;margin-top:264.2pt;width:375.7pt;height:75.1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2341D" w14:paraId="5827021F" w14:textId="77777777">
                      <w:trPr>
                        <w:trHeight w:val="240"/>
                      </w:trPr>
                      <w:tc>
                        <w:tcPr>
                          <w:tcW w:w="1140" w:type="dxa"/>
                        </w:tcPr>
                        <w:p w14:paraId="6691C169" w14:textId="77777777" w:rsidR="0032341D" w:rsidRDefault="006F5E1A">
                          <w:r>
                            <w:t>Datum</w:t>
                          </w:r>
                        </w:p>
                      </w:tc>
                      <w:tc>
                        <w:tcPr>
                          <w:tcW w:w="5918" w:type="dxa"/>
                        </w:tcPr>
                        <w:p w14:paraId="00B5C3D9" w14:textId="1EE8A8F8" w:rsidR="0032341D" w:rsidRDefault="0023767A">
                          <w:sdt>
                            <w:sdtPr>
                              <w:id w:val="1434245738"/>
                              <w:date w:fullDate="2026-03-31T00:00:00Z">
                                <w:dateFormat w:val="d MMMM yyyy"/>
                                <w:lid w:val="nl"/>
                                <w:storeMappedDataAs w:val="dateTime"/>
                                <w:calendar w:val="gregorian"/>
                              </w:date>
                            </w:sdtPr>
                            <w:sdtEndPr/>
                            <w:sdtContent>
                              <w:r w:rsidR="00731051">
                                <w:rPr>
                                  <w:lang w:val="nl"/>
                                </w:rPr>
                                <w:t>31 maart 2026</w:t>
                              </w:r>
                            </w:sdtContent>
                          </w:sdt>
                        </w:p>
                      </w:tc>
                    </w:tr>
                    <w:tr w:rsidR="0032341D" w14:paraId="2243E8D2" w14:textId="77777777">
                      <w:trPr>
                        <w:trHeight w:val="240"/>
                      </w:trPr>
                      <w:tc>
                        <w:tcPr>
                          <w:tcW w:w="1140" w:type="dxa"/>
                        </w:tcPr>
                        <w:p w14:paraId="6B893222" w14:textId="77777777" w:rsidR="0032341D" w:rsidRDefault="006F5E1A">
                          <w:r>
                            <w:t>Betreft</w:t>
                          </w:r>
                        </w:p>
                      </w:tc>
                      <w:tc>
                        <w:tcPr>
                          <w:tcW w:w="5918" w:type="dxa"/>
                        </w:tcPr>
                        <w:p w14:paraId="0955239D" w14:textId="0B28266C" w:rsidR="0032341D" w:rsidRDefault="006F5E1A">
                          <w:r>
                            <w:t xml:space="preserve">Antwoorden Kamervragen over de positie van kinderen en familieleden van </w:t>
                          </w:r>
                          <w:proofErr w:type="spellStart"/>
                          <w:r w:rsidR="00983B1E">
                            <w:t>femicideslachtoffers</w:t>
                          </w:r>
                          <w:proofErr w:type="spellEnd"/>
                        </w:p>
                      </w:tc>
                    </w:tr>
                  </w:tbl>
                  <w:p w14:paraId="22478F44" w14:textId="77777777" w:rsidR="005212D5" w:rsidRDefault="005212D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0030D52" wp14:editId="0022D06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93F3A3" w14:textId="77777777" w:rsidR="0032341D" w:rsidRDefault="006F5E1A">
                          <w:pPr>
                            <w:pStyle w:val="Referentiegegevensbold"/>
                          </w:pPr>
                          <w:r>
                            <w:t>Directoraat-Generaal Straffen en Beschermen</w:t>
                          </w:r>
                        </w:p>
                        <w:p w14:paraId="28F698D8" w14:textId="77777777" w:rsidR="0032341D" w:rsidRDefault="006F5E1A">
                          <w:pPr>
                            <w:pStyle w:val="Referentiegegevens"/>
                          </w:pPr>
                          <w:r>
                            <w:t>Directie Jeugd, Familie en aanpak Criminaliteitsfenomenen</w:t>
                          </w:r>
                        </w:p>
                        <w:p w14:paraId="17526E23" w14:textId="77777777" w:rsidR="0032341D" w:rsidRPr="00983B1E" w:rsidRDefault="006F5E1A">
                          <w:pPr>
                            <w:pStyle w:val="Referentiegegevens"/>
                            <w:rPr>
                              <w:lang w:val="de-DE"/>
                            </w:rPr>
                          </w:pPr>
                          <w:r w:rsidRPr="00983B1E">
                            <w:rPr>
                              <w:lang w:val="de-DE"/>
                            </w:rPr>
                            <w:t>Familie</w:t>
                          </w:r>
                        </w:p>
                        <w:p w14:paraId="5057FC1F" w14:textId="77777777" w:rsidR="0032341D" w:rsidRPr="00983B1E" w:rsidRDefault="0032341D">
                          <w:pPr>
                            <w:pStyle w:val="WitregelW1"/>
                            <w:rPr>
                              <w:lang w:val="de-DE"/>
                            </w:rPr>
                          </w:pPr>
                        </w:p>
                        <w:p w14:paraId="5A700F12" w14:textId="77777777" w:rsidR="0032341D" w:rsidRPr="00983B1E" w:rsidRDefault="006F5E1A">
                          <w:pPr>
                            <w:pStyle w:val="Referentiegegevens"/>
                            <w:rPr>
                              <w:lang w:val="de-DE"/>
                            </w:rPr>
                          </w:pPr>
                          <w:r w:rsidRPr="00983B1E">
                            <w:rPr>
                              <w:lang w:val="de-DE"/>
                            </w:rPr>
                            <w:t>Turfmarkt 147</w:t>
                          </w:r>
                        </w:p>
                        <w:p w14:paraId="17FF0F44" w14:textId="77777777" w:rsidR="0032341D" w:rsidRPr="00983B1E" w:rsidRDefault="006F5E1A">
                          <w:pPr>
                            <w:pStyle w:val="Referentiegegevens"/>
                            <w:rPr>
                              <w:lang w:val="de-DE"/>
                            </w:rPr>
                          </w:pPr>
                          <w:r w:rsidRPr="00983B1E">
                            <w:rPr>
                              <w:lang w:val="de-DE"/>
                            </w:rPr>
                            <w:t>2511 DP  Den Haag</w:t>
                          </w:r>
                        </w:p>
                        <w:p w14:paraId="2EF9627F" w14:textId="77777777" w:rsidR="0032341D" w:rsidRPr="00983B1E" w:rsidRDefault="006F5E1A">
                          <w:pPr>
                            <w:pStyle w:val="Referentiegegevens"/>
                            <w:rPr>
                              <w:lang w:val="de-DE"/>
                            </w:rPr>
                          </w:pPr>
                          <w:r w:rsidRPr="00983B1E">
                            <w:rPr>
                              <w:lang w:val="de-DE"/>
                            </w:rPr>
                            <w:t>Postbus 20301</w:t>
                          </w:r>
                        </w:p>
                        <w:p w14:paraId="30445DDB" w14:textId="77777777" w:rsidR="0032341D" w:rsidRPr="00983B1E" w:rsidRDefault="006F5E1A">
                          <w:pPr>
                            <w:pStyle w:val="Referentiegegevens"/>
                            <w:rPr>
                              <w:lang w:val="de-DE"/>
                            </w:rPr>
                          </w:pPr>
                          <w:r w:rsidRPr="00983B1E">
                            <w:rPr>
                              <w:lang w:val="de-DE"/>
                            </w:rPr>
                            <w:t>2500 EH  Den Haag</w:t>
                          </w:r>
                        </w:p>
                        <w:p w14:paraId="49D16B7B" w14:textId="77777777" w:rsidR="0032341D" w:rsidRPr="00983B1E" w:rsidRDefault="006F5E1A">
                          <w:pPr>
                            <w:pStyle w:val="Referentiegegevens"/>
                            <w:rPr>
                              <w:lang w:val="de-DE"/>
                            </w:rPr>
                          </w:pPr>
                          <w:r w:rsidRPr="00983B1E">
                            <w:rPr>
                              <w:lang w:val="de-DE"/>
                            </w:rPr>
                            <w:t>www.rijksoverheid.nl/jenv</w:t>
                          </w:r>
                        </w:p>
                        <w:p w14:paraId="02152E1F" w14:textId="77777777" w:rsidR="0032341D" w:rsidRPr="00983B1E" w:rsidRDefault="0032341D">
                          <w:pPr>
                            <w:pStyle w:val="WitregelW1"/>
                            <w:rPr>
                              <w:lang w:val="de-DE"/>
                            </w:rPr>
                          </w:pPr>
                        </w:p>
                        <w:p w14:paraId="1F3EB7D1" w14:textId="77777777" w:rsidR="0032341D" w:rsidRPr="00C85D2C" w:rsidRDefault="0032341D">
                          <w:pPr>
                            <w:pStyle w:val="WitregelW2"/>
                            <w:rPr>
                              <w:lang w:val="de-DE"/>
                            </w:rPr>
                          </w:pPr>
                        </w:p>
                        <w:p w14:paraId="441E845F" w14:textId="77777777" w:rsidR="0032341D" w:rsidRDefault="006F5E1A">
                          <w:pPr>
                            <w:pStyle w:val="Referentiegegevensbold"/>
                          </w:pPr>
                          <w:r>
                            <w:t>Onze referentie</w:t>
                          </w:r>
                        </w:p>
                        <w:p w14:paraId="61C91A3C" w14:textId="77777777" w:rsidR="0032341D" w:rsidRDefault="006F5E1A">
                          <w:pPr>
                            <w:pStyle w:val="Referentiegegevens"/>
                          </w:pPr>
                          <w:r>
                            <w:t>7269396</w:t>
                          </w:r>
                        </w:p>
                        <w:p w14:paraId="7B0054F2" w14:textId="77777777" w:rsidR="0032341D" w:rsidRDefault="0032341D">
                          <w:pPr>
                            <w:pStyle w:val="WitregelW1"/>
                          </w:pPr>
                        </w:p>
                        <w:p w14:paraId="56C7D05B" w14:textId="77777777" w:rsidR="0032341D" w:rsidRDefault="006F5E1A">
                          <w:pPr>
                            <w:pStyle w:val="Referentiegegevensbold"/>
                          </w:pPr>
                          <w:r>
                            <w:t>Uw referentie</w:t>
                          </w:r>
                        </w:p>
                        <w:p w14:paraId="4A912A6B" w14:textId="77777777" w:rsidR="0032341D" w:rsidRDefault="0023767A">
                          <w:pPr>
                            <w:pStyle w:val="Referentiegegevens"/>
                          </w:pPr>
                          <w:sdt>
                            <w:sdtPr>
                              <w:id w:val="-2075961184"/>
                              <w:dataBinding w:prefixMappings="xmlns:ns0='docgen-assistant'" w:xpath="/ns0:CustomXml[1]/ns0:Variables[1]/ns0:Variable[1]/ns0:Value[1]" w:storeItemID="{69D6EEC8-C9E1-4904-8281-341938F2DEB0}"/>
                              <w:text/>
                            </w:sdtPr>
                            <w:sdtEndPr/>
                            <w:sdtContent>
                              <w:r w:rsidR="006D57E0">
                                <w:t>2026Z02619</w:t>
                              </w:r>
                            </w:sdtContent>
                          </w:sdt>
                        </w:p>
                      </w:txbxContent>
                    </wps:txbx>
                    <wps:bodyPr vert="horz" wrap="square" lIns="0" tIns="0" rIns="0" bIns="0" anchor="t" anchorCtr="0"/>
                  </wps:wsp>
                </a:graphicData>
              </a:graphic>
            </wp:anchor>
          </w:drawing>
        </mc:Choice>
        <mc:Fallback>
          <w:pict>
            <v:shape w14:anchorId="30030D5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A93F3A3" w14:textId="77777777" w:rsidR="0032341D" w:rsidRDefault="006F5E1A">
                    <w:pPr>
                      <w:pStyle w:val="Referentiegegevensbold"/>
                    </w:pPr>
                    <w:r>
                      <w:t>Directoraat-Generaal Straffen en Beschermen</w:t>
                    </w:r>
                  </w:p>
                  <w:p w14:paraId="28F698D8" w14:textId="77777777" w:rsidR="0032341D" w:rsidRDefault="006F5E1A">
                    <w:pPr>
                      <w:pStyle w:val="Referentiegegevens"/>
                    </w:pPr>
                    <w:r>
                      <w:t>Directie Jeugd, Familie en aanpak Criminaliteitsfenomenen</w:t>
                    </w:r>
                  </w:p>
                  <w:p w14:paraId="17526E23" w14:textId="77777777" w:rsidR="0032341D" w:rsidRPr="00983B1E" w:rsidRDefault="006F5E1A">
                    <w:pPr>
                      <w:pStyle w:val="Referentiegegevens"/>
                      <w:rPr>
                        <w:lang w:val="de-DE"/>
                      </w:rPr>
                    </w:pPr>
                    <w:r w:rsidRPr="00983B1E">
                      <w:rPr>
                        <w:lang w:val="de-DE"/>
                      </w:rPr>
                      <w:t>Familie</w:t>
                    </w:r>
                  </w:p>
                  <w:p w14:paraId="5057FC1F" w14:textId="77777777" w:rsidR="0032341D" w:rsidRPr="00983B1E" w:rsidRDefault="0032341D">
                    <w:pPr>
                      <w:pStyle w:val="WitregelW1"/>
                      <w:rPr>
                        <w:lang w:val="de-DE"/>
                      </w:rPr>
                    </w:pPr>
                  </w:p>
                  <w:p w14:paraId="5A700F12" w14:textId="77777777" w:rsidR="0032341D" w:rsidRPr="00983B1E" w:rsidRDefault="006F5E1A">
                    <w:pPr>
                      <w:pStyle w:val="Referentiegegevens"/>
                      <w:rPr>
                        <w:lang w:val="de-DE"/>
                      </w:rPr>
                    </w:pPr>
                    <w:r w:rsidRPr="00983B1E">
                      <w:rPr>
                        <w:lang w:val="de-DE"/>
                      </w:rPr>
                      <w:t>Turfmarkt 147</w:t>
                    </w:r>
                  </w:p>
                  <w:p w14:paraId="17FF0F44" w14:textId="77777777" w:rsidR="0032341D" w:rsidRPr="00983B1E" w:rsidRDefault="006F5E1A">
                    <w:pPr>
                      <w:pStyle w:val="Referentiegegevens"/>
                      <w:rPr>
                        <w:lang w:val="de-DE"/>
                      </w:rPr>
                    </w:pPr>
                    <w:r w:rsidRPr="00983B1E">
                      <w:rPr>
                        <w:lang w:val="de-DE"/>
                      </w:rPr>
                      <w:t>2511 DP  Den Haag</w:t>
                    </w:r>
                  </w:p>
                  <w:p w14:paraId="2EF9627F" w14:textId="77777777" w:rsidR="0032341D" w:rsidRPr="00983B1E" w:rsidRDefault="006F5E1A">
                    <w:pPr>
                      <w:pStyle w:val="Referentiegegevens"/>
                      <w:rPr>
                        <w:lang w:val="de-DE"/>
                      </w:rPr>
                    </w:pPr>
                    <w:r w:rsidRPr="00983B1E">
                      <w:rPr>
                        <w:lang w:val="de-DE"/>
                      </w:rPr>
                      <w:t>Postbus 20301</w:t>
                    </w:r>
                  </w:p>
                  <w:p w14:paraId="30445DDB" w14:textId="77777777" w:rsidR="0032341D" w:rsidRPr="00983B1E" w:rsidRDefault="006F5E1A">
                    <w:pPr>
                      <w:pStyle w:val="Referentiegegevens"/>
                      <w:rPr>
                        <w:lang w:val="de-DE"/>
                      </w:rPr>
                    </w:pPr>
                    <w:r w:rsidRPr="00983B1E">
                      <w:rPr>
                        <w:lang w:val="de-DE"/>
                      </w:rPr>
                      <w:t>2500 EH  Den Haag</w:t>
                    </w:r>
                  </w:p>
                  <w:p w14:paraId="49D16B7B" w14:textId="77777777" w:rsidR="0032341D" w:rsidRPr="00983B1E" w:rsidRDefault="006F5E1A">
                    <w:pPr>
                      <w:pStyle w:val="Referentiegegevens"/>
                      <w:rPr>
                        <w:lang w:val="de-DE"/>
                      </w:rPr>
                    </w:pPr>
                    <w:r w:rsidRPr="00983B1E">
                      <w:rPr>
                        <w:lang w:val="de-DE"/>
                      </w:rPr>
                      <w:t>www.rijksoverheid.nl/jenv</w:t>
                    </w:r>
                  </w:p>
                  <w:p w14:paraId="02152E1F" w14:textId="77777777" w:rsidR="0032341D" w:rsidRPr="00983B1E" w:rsidRDefault="0032341D">
                    <w:pPr>
                      <w:pStyle w:val="WitregelW1"/>
                      <w:rPr>
                        <w:lang w:val="de-DE"/>
                      </w:rPr>
                    </w:pPr>
                  </w:p>
                  <w:p w14:paraId="1F3EB7D1" w14:textId="77777777" w:rsidR="0032341D" w:rsidRPr="00C85D2C" w:rsidRDefault="0032341D">
                    <w:pPr>
                      <w:pStyle w:val="WitregelW2"/>
                      <w:rPr>
                        <w:lang w:val="de-DE"/>
                      </w:rPr>
                    </w:pPr>
                  </w:p>
                  <w:p w14:paraId="441E845F" w14:textId="77777777" w:rsidR="0032341D" w:rsidRDefault="006F5E1A">
                    <w:pPr>
                      <w:pStyle w:val="Referentiegegevensbold"/>
                    </w:pPr>
                    <w:r>
                      <w:t>Onze referentie</w:t>
                    </w:r>
                  </w:p>
                  <w:p w14:paraId="61C91A3C" w14:textId="77777777" w:rsidR="0032341D" w:rsidRDefault="006F5E1A">
                    <w:pPr>
                      <w:pStyle w:val="Referentiegegevens"/>
                    </w:pPr>
                    <w:r>
                      <w:t>7269396</w:t>
                    </w:r>
                  </w:p>
                  <w:p w14:paraId="7B0054F2" w14:textId="77777777" w:rsidR="0032341D" w:rsidRDefault="0032341D">
                    <w:pPr>
                      <w:pStyle w:val="WitregelW1"/>
                    </w:pPr>
                  </w:p>
                  <w:p w14:paraId="56C7D05B" w14:textId="77777777" w:rsidR="0032341D" w:rsidRDefault="006F5E1A">
                    <w:pPr>
                      <w:pStyle w:val="Referentiegegevensbold"/>
                    </w:pPr>
                    <w:r>
                      <w:t>Uw referentie</w:t>
                    </w:r>
                  </w:p>
                  <w:p w14:paraId="4A912A6B" w14:textId="77777777" w:rsidR="0032341D" w:rsidRDefault="00000000">
                    <w:pPr>
                      <w:pStyle w:val="Referentiegegevens"/>
                    </w:pPr>
                    <w:sdt>
                      <w:sdtPr>
                        <w:id w:val="-2075961184"/>
                        <w:dataBinding w:prefixMappings="xmlns:ns0='docgen-assistant'" w:xpath="/ns0:CustomXml[1]/ns0:Variables[1]/ns0:Variable[1]/ns0:Value[1]" w:storeItemID="{69D6EEC8-C9E1-4904-8281-341938F2DEB0}"/>
                        <w:text/>
                      </w:sdtPr>
                      <w:sdtContent>
                        <w:r w:rsidR="006D57E0">
                          <w:t>2026Z02619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A2533D" wp14:editId="3860381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367461" w14:textId="77777777" w:rsidR="0032341D" w:rsidRDefault="006F5E1A">
                          <w:pPr>
                            <w:pStyle w:val="Referentiegegevens"/>
                          </w:pPr>
                          <w:r>
                            <w:t xml:space="preserve">Pagina </w:t>
                          </w:r>
                          <w:r>
                            <w:fldChar w:fldCharType="begin"/>
                          </w:r>
                          <w:r>
                            <w:instrText>PAGE</w:instrText>
                          </w:r>
                          <w:r>
                            <w:fldChar w:fldCharType="separate"/>
                          </w:r>
                          <w:r w:rsidR="00983B1E">
                            <w:rPr>
                              <w:noProof/>
                            </w:rPr>
                            <w:t>1</w:t>
                          </w:r>
                          <w:r>
                            <w:fldChar w:fldCharType="end"/>
                          </w:r>
                          <w:r>
                            <w:t xml:space="preserve"> van </w:t>
                          </w:r>
                          <w:r>
                            <w:fldChar w:fldCharType="begin"/>
                          </w:r>
                          <w:r>
                            <w:instrText>NUMPAGES</w:instrText>
                          </w:r>
                          <w:r>
                            <w:fldChar w:fldCharType="separate"/>
                          </w:r>
                          <w:r w:rsidR="00983B1E">
                            <w:rPr>
                              <w:noProof/>
                            </w:rPr>
                            <w:t>1</w:t>
                          </w:r>
                          <w:r>
                            <w:fldChar w:fldCharType="end"/>
                          </w:r>
                        </w:p>
                      </w:txbxContent>
                    </wps:txbx>
                    <wps:bodyPr vert="horz" wrap="square" lIns="0" tIns="0" rIns="0" bIns="0" anchor="t" anchorCtr="0"/>
                  </wps:wsp>
                </a:graphicData>
              </a:graphic>
            </wp:anchor>
          </w:drawing>
        </mc:Choice>
        <mc:Fallback>
          <w:pict>
            <v:shape w14:anchorId="52A2533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E367461" w14:textId="77777777" w:rsidR="0032341D" w:rsidRDefault="006F5E1A">
                    <w:pPr>
                      <w:pStyle w:val="Referentiegegevens"/>
                    </w:pPr>
                    <w:r>
                      <w:t xml:space="preserve">Pagina </w:t>
                    </w:r>
                    <w:r>
                      <w:fldChar w:fldCharType="begin"/>
                    </w:r>
                    <w:r>
                      <w:instrText>PAGE</w:instrText>
                    </w:r>
                    <w:r>
                      <w:fldChar w:fldCharType="separate"/>
                    </w:r>
                    <w:r w:rsidR="00983B1E">
                      <w:rPr>
                        <w:noProof/>
                      </w:rPr>
                      <w:t>1</w:t>
                    </w:r>
                    <w:r>
                      <w:fldChar w:fldCharType="end"/>
                    </w:r>
                    <w:r>
                      <w:t xml:space="preserve"> van </w:t>
                    </w:r>
                    <w:r>
                      <w:fldChar w:fldCharType="begin"/>
                    </w:r>
                    <w:r>
                      <w:instrText>NUMPAGES</w:instrText>
                    </w:r>
                    <w:r>
                      <w:fldChar w:fldCharType="separate"/>
                    </w:r>
                    <w:r w:rsidR="00983B1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555014" wp14:editId="09EDFB2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3BD7DB" w14:textId="77777777" w:rsidR="005212D5" w:rsidRDefault="005212D5"/>
                      </w:txbxContent>
                    </wps:txbx>
                    <wps:bodyPr vert="horz" wrap="square" lIns="0" tIns="0" rIns="0" bIns="0" anchor="t" anchorCtr="0"/>
                  </wps:wsp>
                </a:graphicData>
              </a:graphic>
            </wp:anchor>
          </w:drawing>
        </mc:Choice>
        <mc:Fallback>
          <w:pict>
            <v:shape w14:anchorId="5E55501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3BD7DB" w14:textId="77777777" w:rsidR="005212D5" w:rsidRDefault="005212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FBAE7"/>
    <w:multiLevelType w:val="multilevel"/>
    <w:tmpl w:val="0A9C12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45ED3F"/>
    <w:multiLevelType w:val="multilevel"/>
    <w:tmpl w:val="EE433B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94E316"/>
    <w:multiLevelType w:val="multilevel"/>
    <w:tmpl w:val="E296DD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BC15DF"/>
    <w:multiLevelType w:val="hybridMultilevel"/>
    <w:tmpl w:val="FC9A54DE"/>
    <w:lvl w:ilvl="0" w:tplc="1BB415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BB48E4"/>
    <w:multiLevelType w:val="multilevel"/>
    <w:tmpl w:val="1B6EC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7A9855"/>
    <w:multiLevelType w:val="multilevel"/>
    <w:tmpl w:val="F73BF1B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777BA4D"/>
    <w:multiLevelType w:val="multilevel"/>
    <w:tmpl w:val="7C61C6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19957B5"/>
    <w:multiLevelType w:val="hybridMultilevel"/>
    <w:tmpl w:val="94D06D3C"/>
    <w:lvl w:ilvl="0" w:tplc="643E2584">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9463177">
    <w:abstractNumId w:val="5"/>
  </w:num>
  <w:num w:numId="2" w16cid:durableId="1581478983">
    <w:abstractNumId w:val="0"/>
  </w:num>
  <w:num w:numId="3" w16cid:durableId="337537487">
    <w:abstractNumId w:val="6"/>
  </w:num>
  <w:num w:numId="4" w16cid:durableId="1785228871">
    <w:abstractNumId w:val="4"/>
  </w:num>
  <w:num w:numId="5" w16cid:durableId="633874304">
    <w:abstractNumId w:val="2"/>
  </w:num>
  <w:num w:numId="6" w16cid:durableId="774640582">
    <w:abstractNumId w:val="1"/>
  </w:num>
  <w:num w:numId="7" w16cid:durableId="2100834855">
    <w:abstractNumId w:val="7"/>
  </w:num>
  <w:num w:numId="8" w16cid:durableId="348802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E"/>
    <w:rsid w:val="00002DCE"/>
    <w:rsid w:val="0000609B"/>
    <w:rsid w:val="0000692A"/>
    <w:rsid w:val="0002683D"/>
    <w:rsid w:val="00083C65"/>
    <w:rsid w:val="00093AD6"/>
    <w:rsid w:val="000A1CC5"/>
    <w:rsid w:val="000A55E0"/>
    <w:rsid w:val="000C5D79"/>
    <w:rsid w:val="000E076B"/>
    <w:rsid w:val="000E307E"/>
    <w:rsid w:val="00105BCB"/>
    <w:rsid w:val="00136C0A"/>
    <w:rsid w:val="00151E11"/>
    <w:rsid w:val="001543A0"/>
    <w:rsid w:val="001708D2"/>
    <w:rsid w:val="0017411C"/>
    <w:rsid w:val="001764E8"/>
    <w:rsid w:val="00176B26"/>
    <w:rsid w:val="001808DA"/>
    <w:rsid w:val="001B65F4"/>
    <w:rsid w:val="0021279F"/>
    <w:rsid w:val="0022059E"/>
    <w:rsid w:val="00230FED"/>
    <w:rsid w:val="002310B9"/>
    <w:rsid w:val="0023613A"/>
    <w:rsid w:val="0023767A"/>
    <w:rsid w:val="00254BA4"/>
    <w:rsid w:val="00254DA5"/>
    <w:rsid w:val="00266579"/>
    <w:rsid w:val="00284F58"/>
    <w:rsid w:val="00286D37"/>
    <w:rsid w:val="002A3532"/>
    <w:rsid w:val="002C38BA"/>
    <w:rsid w:val="002D004A"/>
    <w:rsid w:val="00305BE0"/>
    <w:rsid w:val="00321D2F"/>
    <w:rsid w:val="0032341D"/>
    <w:rsid w:val="00323D0C"/>
    <w:rsid w:val="00382079"/>
    <w:rsid w:val="003A43EE"/>
    <w:rsid w:val="003B418D"/>
    <w:rsid w:val="003F04F2"/>
    <w:rsid w:val="003F3C38"/>
    <w:rsid w:val="004353F2"/>
    <w:rsid w:val="00436896"/>
    <w:rsid w:val="00440B8B"/>
    <w:rsid w:val="00455AEB"/>
    <w:rsid w:val="004815CE"/>
    <w:rsid w:val="00481800"/>
    <w:rsid w:val="00485418"/>
    <w:rsid w:val="00497924"/>
    <w:rsid w:val="004A10C7"/>
    <w:rsid w:val="004C50D1"/>
    <w:rsid w:val="004D44A2"/>
    <w:rsid w:val="004E5026"/>
    <w:rsid w:val="004F2EFD"/>
    <w:rsid w:val="00502502"/>
    <w:rsid w:val="005026D6"/>
    <w:rsid w:val="00502EBC"/>
    <w:rsid w:val="005178F4"/>
    <w:rsid w:val="005212D5"/>
    <w:rsid w:val="00531950"/>
    <w:rsid w:val="00537BC3"/>
    <w:rsid w:val="005401E2"/>
    <w:rsid w:val="00580DF8"/>
    <w:rsid w:val="00585CA9"/>
    <w:rsid w:val="005A7872"/>
    <w:rsid w:val="005D2B6B"/>
    <w:rsid w:val="005E0770"/>
    <w:rsid w:val="006041F2"/>
    <w:rsid w:val="00631521"/>
    <w:rsid w:val="00643157"/>
    <w:rsid w:val="00661CD7"/>
    <w:rsid w:val="00672A76"/>
    <w:rsid w:val="006A1FBC"/>
    <w:rsid w:val="006B1DE7"/>
    <w:rsid w:val="006B417A"/>
    <w:rsid w:val="006C2805"/>
    <w:rsid w:val="006C3C5F"/>
    <w:rsid w:val="006C6922"/>
    <w:rsid w:val="006D57E0"/>
    <w:rsid w:val="006D5AE1"/>
    <w:rsid w:val="006F5E1A"/>
    <w:rsid w:val="006F6434"/>
    <w:rsid w:val="00721011"/>
    <w:rsid w:val="00722AB3"/>
    <w:rsid w:val="00726C1D"/>
    <w:rsid w:val="00731051"/>
    <w:rsid w:val="007550EE"/>
    <w:rsid w:val="007849F8"/>
    <w:rsid w:val="00784B47"/>
    <w:rsid w:val="007A410A"/>
    <w:rsid w:val="007C4FB1"/>
    <w:rsid w:val="007D53B4"/>
    <w:rsid w:val="007E6073"/>
    <w:rsid w:val="007F5E06"/>
    <w:rsid w:val="00805324"/>
    <w:rsid w:val="0081032B"/>
    <w:rsid w:val="00813BC9"/>
    <w:rsid w:val="00816312"/>
    <w:rsid w:val="00831DE5"/>
    <w:rsid w:val="00891404"/>
    <w:rsid w:val="008A15D7"/>
    <w:rsid w:val="008A27F1"/>
    <w:rsid w:val="008B4560"/>
    <w:rsid w:val="00903E8A"/>
    <w:rsid w:val="00904C22"/>
    <w:rsid w:val="00924083"/>
    <w:rsid w:val="00935DC8"/>
    <w:rsid w:val="0094067C"/>
    <w:rsid w:val="00943AD3"/>
    <w:rsid w:val="00950AC6"/>
    <w:rsid w:val="009607ED"/>
    <w:rsid w:val="00967A09"/>
    <w:rsid w:val="0097395B"/>
    <w:rsid w:val="00973AC5"/>
    <w:rsid w:val="0097598C"/>
    <w:rsid w:val="00983931"/>
    <w:rsid w:val="00983B1E"/>
    <w:rsid w:val="00991D9A"/>
    <w:rsid w:val="00994C8F"/>
    <w:rsid w:val="00996358"/>
    <w:rsid w:val="009A08E2"/>
    <w:rsid w:val="009B117E"/>
    <w:rsid w:val="009B407F"/>
    <w:rsid w:val="009B51DE"/>
    <w:rsid w:val="009D18EA"/>
    <w:rsid w:val="009D48A9"/>
    <w:rsid w:val="009E49F5"/>
    <w:rsid w:val="00A67334"/>
    <w:rsid w:val="00AD3D03"/>
    <w:rsid w:val="00AF156F"/>
    <w:rsid w:val="00B045A0"/>
    <w:rsid w:val="00B06305"/>
    <w:rsid w:val="00B0659A"/>
    <w:rsid w:val="00B07B4E"/>
    <w:rsid w:val="00B1259D"/>
    <w:rsid w:val="00B12AD1"/>
    <w:rsid w:val="00B1554A"/>
    <w:rsid w:val="00B164C7"/>
    <w:rsid w:val="00B50E3A"/>
    <w:rsid w:val="00B51A2B"/>
    <w:rsid w:val="00B65D75"/>
    <w:rsid w:val="00B8231B"/>
    <w:rsid w:val="00BA47B1"/>
    <w:rsid w:val="00BD3444"/>
    <w:rsid w:val="00C238E8"/>
    <w:rsid w:val="00C25D9F"/>
    <w:rsid w:val="00C27E62"/>
    <w:rsid w:val="00C51352"/>
    <w:rsid w:val="00C8377A"/>
    <w:rsid w:val="00C85D2C"/>
    <w:rsid w:val="00C879AE"/>
    <w:rsid w:val="00CA0438"/>
    <w:rsid w:val="00CC7461"/>
    <w:rsid w:val="00CC7C69"/>
    <w:rsid w:val="00CF1E07"/>
    <w:rsid w:val="00D22DCA"/>
    <w:rsid w:val="00D368FE"/>
    <w:rsid w:val="00D423A3"/>
    <w:rsid w:val="00D43125"/>
    <w:rsid w:val="00D5286D"/>
    <w:rsid w:val="00D554B9"/>
    <w:rsid w:val="00D57910"/>
    <w:rsid w:val="00D60D6D"/>
    <w:rsid w:val="00D81766"/>
    <w:rsid w:val="00DA2745"/>
    <w:rsid w:val="00DA48B8"/>
    <w:rsid w:val="00DB711E"/>
    <w:rsid w:val="00DB7241"/>
    <w:rsid w:val="00DC0662"/>
    <w:rsid w:val="00DC481E"/>
    <w:rsid w:val="00DF592E"/>
    <w:rsid w:val="00E13BB4"/>
    <w:rsid w:val="00E179A6"/>
    <w:rsid w:val="00E62BEC"/>
    <w:rsid w:val="00E74480"/>
    <w:rsid w:val="00E9174C"/>
    <w:rsid w:val="00EA3F7B"/>
    <w:rsid w:val="00EA4CB7"/>
    <w:rsid w:val="00EB307D"/>
    <w:rsid w:val="00EE0C59"/>
    <w:rsid w:val="00F000B5"/>
    <w:rsid w:val="00F071DC"/>
    <w:rsid w:val="00F24D43"/>
    <w:rsid w:val="00F32927"/>
    <w:rsid w:val="00F403E1"/>
    <w:rsid w:val="00F44DD7"/>
    <w:rsid w:val="00F51963"/>
    <w:rsid w:val="00F61C60"/>
    <w:rsid w:val="00F7547C"/>
    <w:rsid w:val="00FE5EE6"/>
    <w:rsid w:val="00FE6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83B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3B1E"/>
    <w:rPr>
      <w:rFonts w:ascii="Verdana" w:hAnsi="Verdana"/>
      <w:color w:val="000000"/>
      <w:sz w:val="18"/>
      <w:szCs w:val="18"/>
    </w:rPr>
  </w:style>
  <w:style w:type="paragraph" w:styleId="Voetnoottekst">
    <w:name w:val="footnote text"/>
    <w:basedOn w:val="Standaard"/>
    <w:link w:val="VoetnoottekstChar"/>
    <w:uiPriority w:val="99"/>
    <w:semiHidden/>
    <w:unhideWhenUsed/>
    <w:rsid w:val="00813B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3BC9"/>
    <w:rPr>
      <w:rFonts w:ascii="Verdana" w:hAnsi="Verdana"/>
      <w:color w:val="000000"/>
    </w:rPr>
  </w:style>
  <w:style w:type="character" w:styleId="Voetnootmarkering">
    <w:name w:val="footnote reference"/>
    <w:basedOn w:val="Standaardalinea-lettertype"/>
    <w:uiPriority w:val="99"/>
    <w:semiHidden/>
    <w:unhideWhenUsed/>
    <w:rsid w:val="00813BC9"/>
    <w:rPr>
      <w:vertAlign w:val="superscript"/>
    </w:rPr>
  </w:style>
  <w:style w:type="character" w:styleId="Onopgelostemelding">
    <w:name w:val="Unresolved Mention"/>
    <w:basedOn w:val="Standaardalinea-lettertype"/>
    <w:uiPriority w:val="99"/>
    <w:semiHidden/>
    <w:unhideWhenUsed/>
    <w:rsid w:val="00813BC9"/>
    <w:rPr>
      <w:color w:val="605E5C"/>
      <w:shd w:val="clear" w:color="auto" w:fill="E1DFDD"/>
    </w:rPr>
  </w:style>
  <w:style w:type="paragraph" w:styleId="Lijstalinea">
    <w:name w:val="List Paragraph"/>
    <w:basedOn w:val="Standaard"/>
    <w:uiPriority w:val="34"/>
    <w:semiHidden/>
    <w:rsid w:val="00176B26"/>
    <w:pPr>
      <w:ind w:left="720"/>
      <w:contextualSpacing/>
    </w:pPr>
  </w:style>
  <w:style w:type="character" w:styleId="Verwijzingopmerking">
    <w:name w:val="annotation reference"/>
    <w:basedOn w:val="Standaardalinea-lettertype"/>
    <w:uiPriority w:val="99"/>
    <w:semiHidden/>
    <w:unhideWhenUsed/>
    <w:rsid w:val="000A55E0"/>
    <w:rPr>
      <w:sz w:val="16"/>
      <w:szCs w:val="16"/>
    </w:rPr>
  </w:style>
  <w:style w:type="paragraph" w:styleId="Tekstopmerking">
    <w:name w:val="annotation text"/>
    <w:basedOn w:val="Standaard"/>
    <w:link w:val="TekstopmerkingChar"/>
    <w:uiPriority w:val="99"/>
    <w:unhideWhenUsed/>
    <w:rsid w:val="000A55E0"/>
    <w:pPr>
      <w:spacing w:line="240" w:lineRule="auto"/>
    </w:pPr>
    <w:rPr>
      <w:sz w:val="20"/>
      <w:szCs w:val="20"/>
    </w:rPr>
  </w:style>
  <w:style w:type="character" w:customStyle="1" w:styleId="TekstopmerkingChar">
    <w:name w:val="Tekst opmerking Char"/>
    <w:basedOn w:val="Standaardalinea-lettertype"/>
    <w:link w:val="Tekstopmerking"/>
    <w:uiPriority w:val="99"/>
    <w:rsid w:val="000A55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A55E0"/>
    <w:rPr>
      <w:b/>
      <w:bCs/>
    </w:rPr>
  </w:style>
  <w:style w:type="character" w:customStyle="1" w:styleId="OnderwerpvanopmerkingChar">
    <w:name w:val="Onderwerp van opmerking Char"/>
    <w:basedOn w:val="TekstopmerkingChar"/>
    <w:link w:val="Onderwerpvanopmerking"/>
    <w:uiPriority w:val="99"/>
    <w:semiHidden/>
    <w:rsid w:val="000A55E0"/>
    <w:rPr>
      <w:rFonts w:ascii="Verdana" w:hAnsi="Verdana"/>
      <w:b/>
      <w:bCs/>
      <w:color w:val="000000"/>
    </w:rPr>
  </w:style>
  <w:style w:type="character" w:styleId="GevolgdeHyperlink">
    <w:name w:val="FollowedHyperlink"/>
    <w:basedOn w:val="Standaardalinea-lettertype"/>
    <w:uiPriority w:val="99"/>
    <w:semiHidden/>
    <w:unhideWhenUsed/>
    <w:rsid w:val="0022059E"/>
    <w:rPr>
      <w:color w:val="96607D" w:themeColor="followedHyperlink"/>
      <w:u w:val="single"/>
    </w:rPr>
  </w:style>
  <w:style w:type="paragraph" w:styleId="Revisie">
    <w:name w:val="Revision"/>
    <w:hidden/>
    <w:uiPriority w:val="99"/>
    <w:semiHidden/>
    <w:rsid w:val="002205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2088">
      <w:bodyDiv w:val="1"/>
      <w:marLeft w:val="0"/>
      <w:marRight w:val="0"/>
      <w:marTop w:val="0"/>
      <w:marBottom w:val="0"/>
      <w:divBdr>
        <w:top w:val="none" w:sz="0" w:space="0" w:color="auto"/>
        <w:left w:val="none" w:sz="0" w:space="0" w:color="auto"/>
        <w:bottom w:val="none" w:sz="0" w:space="0" w:color="auto"/>
        <w:right w:val="none" w:sz="0" w:space="0" w:color="auto"/>
      </w:divBdr>
    </w:div>
    <w:div w:id="1344475392">
      <w:bodyDiv w:val="1"/>
      <w:marLeft w:val="0"/>
      <w:marRight w:val="0"/>
      <w:marTop w:val="0"/>
      <w:marBottom w:val="0"/>
      <w:divBdr>
        <w:top w:val="none" w:sz="0" w:space="0" w:color="auto"/>
        <w:left w:val="none" w:sz="0" w:space="0" w:color="auto"/>
        <w:bottom w:val="none" w:sz="0" w:space="0" w:color="auto"/>
        <w:right w:val="none" w:sz="0" w:space="0" w:color="auto"/>
      </w:divBdr>
    </w:div>
    <w:div w:id="1543208825">
      <w:bodyDiv w:val="1"/>
      <w:marLeft w:val="0"/>
      <w:marRight w:val="0"/>
      <w:marTop w:val="0"/>
      <w:marBottom w:val="0"/>
      <w:divBdr>
        <w:top w:val="none" w:sz="0" w:space="0" w:color="auto"/>
        <w:left w:val="none" w:sz="0" w:space="0" w:color="auto"/>
        <w:bottom w:val="none" w:sz="0" w:space="0" w:color="auto"/>
        <w:right w:val="none" w:sz="0" w:space="0" w:color="auto"/>
      </w:divBdr>
    </w:div>
    <w:div w:id="1936668730">
      <w:bodyDiv w:val="1"/>
      <w:marLeft w:val="0"/>
      <w:marRight w:val="0"/>
      <w:marTop w:val="0"/>
      <w:marBottom w:val="0"/>
      <w:divBdr>
        <w:top w:val="none" w:sz="0" w:space="0" w:color="auto"/>
        <w:left w:val="none" w:sz="0" w:space="0" w:color="auto"/>
        <w:bottom w:val="none" w:sz="0" w:space="0" w:color="auto"/>
        <w:right w:val="none" w:sz="0" w:space="0" w:color="auto"/>
      </w:divBdr>
    </w:div>
    <w:div w:id="2135634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c12d2d9-1b63-4bec-8e2b-3aae5107aad1/file" TargetMode="External"/><Relationship Id="rId2" Type="http://schemas.openxmlformats.org/officeDocument/2006/relationships/hyperlink" Target="https://www.universiteitleiden.nl/binaries/content/assets/governance-and-global-affairs/isga/factsheet-onzichtbare-slachtoffers---kinderen-wiens-moeder-is-omgebracht-door-een-mannelijke-ex-partner-2014-2024-nl.pdf" TargetMode="External"/><Relationship Id="rId1" Type="http://schemas.openxmlformats.org/officeDocument/2006/relationships/hyperlink" Target="https://www.volkskrant.nl/columns-opinie/opinie-de-wet-schiet-tekort-voor-de-kinderen-van-femicideslachtoffers~b6b560f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2238</ap:Words>
  <ap:Characters>12315</ap:Characters>
  <ap:DocSecurity>4</ap:DocSecurity>
  <ap:Lines>102</ap:Lines>
  <ap:Paragraphs>29</ap:Paragraphs>
  <ap:ScaleCrop>false</ap:ScaleCrop>
  <ap:LinksUpToDate>false</ap:LinksUpToDate>
  <ap:CharactersWithSpaces>14524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2026-03-31T13:11:00.0000000Z</dcterms:created>
  <dcterms:modified xsi:type="dcterms:W3CDTF">2026-03-31T13:11:00.0000000Z</dcterms:modified>
  <dc:description>------------------------</dc:description>
  <version/>
  <category/>
</coreProperties>
</file>