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25013" w:rsidP="00725013" w:rsidRDefault="00725013" w14:paraId="4CBE5FA0" w14:textId="618E02AE">
      <w:r>
        <w:t>Geachte Voorzitter,</w:t>
      </w:r>
    </w:p>
    <w:p w:rsidRPr="006373B2" w:rsidR="00725013" w:rsidP="00725013" w:rsidRDefault="00725013" w14:paraId="3E675936" w14:textId="77777777">
      <w:pPr>
        <w:rPr>
          <w:b/>
          <w:bCs/>
        </w:rPr>
      </w:pPr>
    </w:p>
    <w:p w:rsidR="002C5844" w:rsidP="00725013" w:rsidRDefault="00725013" w14:paraId="6A1FCB9E" w14:textId="06E8C196">
      <w:pPr>
        <w:rPr>
          <w:rFonts w:eastAsia="Verdana" w:cs="Verdana"/>
        </w:rPr>
      </w:pPr>
      <w:r w:rsidRPr="15DE5775">
        <w:rPr>
          <w:rFonts w:eastAsia="Verdana" w:cs="Verdana"/>
        </w:rPr>
        <w:t xml:space="preserve">Grensoverschrijdende verbindingen tussen het elektriciteitssysteem van Nederland en </w:t>
      </w:r>
      <w:r>
        <w:rPr>
          <w:rFonts w:eastAsia="Verdana" w:cs="Verdana"/>
        </w:rPr>
        <w:t xml:space="preserve">ons </w:t>
      </w:r>
      <w:r w:rsidRPr="15DE5775">
        <w:rPr>
          <w:rFonts w:eastAsia="Verdana" w:cs="Verdana"/>
        </w:rPr>
        <w:t>omringende landen zijn cruciaal voor een betrouwbare en betaalbare energievoorziening. Het belang van deze</w:t>
      </w:r>
      <w:r>
        <w:rPr>
          <w:rFonts w:eastAsia="Verdana" w:cs="Verdana"/>
        </w:rPr>
        <w:t xml:space="preserve"> zogenoemde</w:t>
      </w:r>
      <w:r w:rsidRPr="15DE5775">
        <w:rPr>
          <w:rFonts w:eastAsia="Verdana" w:cs="Verdana"/>
        </w:rPr>
        <w:t xml:space="preserve"> </w:t>
      </w:r>
      <w:proofErr w:type="spellStart"/>
      <w:r w:rsidRPr="15DE5775">
        <w:rPr>
          <w:rFonts w:eastAsia="Verdana" w:cs="Verdana"/>
        </w:rPr>
        <w:t>interconnectoren</w:t>
      </w:r>
      <w:proofErr w:type="spellEnd"/>
      <w:r w:rsidRPr="15DE5775">
        <w:rPr>
          <w:rFonts w:eastAsia="Verdana" w:cs="Verdana"/>
        </w:rPr>
        <w:t xml:space="preserve"> voor elektriciteit neemt toe naarmate ons energiesysteem verduurzaamt en verder elektrificeert. </w:t>
      </w:r>
      <w:proofErr w:type="spellStart"/>
      <w:r w:rsidRPr="15DE5775">
        <w:rPr>
          <w:rFonts w:eastAsia="Verdana" w:cs="Verdana"/>
        </w:rPr>
        <w:t>Interconnectoren</w:t>
      </w:r>
      <w:proofErr w:type="spellEnd"/>
      <w:r w:rsidRPr="15DE5775">
        <w:rPr>
          <w:rFonts w:eastAsia="Verdana" w:cs="Verdana"/>
        </w:rPr>
        <w:t xml:space="preserve"> maken het mogelijk om elektriciteit uit buurlanden te importeren wanneer beperkt zon en wind beschikbaar </w:t>
      </w:r>
      <w:r>
        <w:rPr>
          <w:rFonts w:eastAsia="Verdana" w:cs="Verdana"/>
        </w:rPr>
        <w:t>zijn</w:t>
      </w:r>
      <w:r w:rsidRPr="15DE5775">
        <w:rPr>
          <w:rFonts w:eastAsia="Verdana" w:cs="Verdana"/>
        </w:rPr>
        <w:t xml:space="preserve"> in Nederland</w:t>
      </w:r>
      <w:r>
        <w:rPr>
          <w:rFonts w:eastAsia="Verdana" w:cs="Verdana"/>
        </w:rPr>
        <w:t>,</w:t>
      </w:r>
      <w:r w:rsidRPr="15DE5775">
        <w:rPr>
          <w:rFonts w:eastAsia="Verdana" w:cs="Verdana"/>
        </w:rPr>
        <w:t xml:space="preserve"> en te exporteren wanneer het aanbod van </w:t>
      </w:r>
      <w:r>
        <w:rPr>
          <w:rFonts w:eastAsia="Verdana" w:cs="Verdana"/>
        </w:rPr>
        <w:t>deze hernieuwbare energiebronnen</w:t>
      </w:r>
      <w:r w:rsidRPr="15DE5775">
        <w:rPr>
          <w:rFonts w:eastAsia="Verdana" w:cs="Verdana"/>
        </w:rPr>
        <w:t xml:space="preserve"> de nationale vraag overschrijdt. </w:t>
      </w:r>
      <w:r w:rsidRPr="00AC11C0">
        <w:rPr>
          <w:rFonts w:eastAsia="Verdana" w:cs="Verdana"/>
        </w:rPr>
        <w:t xml:space="preserve">In deze brief gaat het kabinet in op de ontwikkeling van </w:t>
      </w:r>
      <w:r>
        <w:rPr>
          <w:rFonts w:eastAsia="Verdana" w:cs="Verdana"/>
        </w:rPr>
        <w:t xml:space="preserve">de geplande </w:t>
      </w:r>
      <w:proofErr w:type="spellStart"/>
      <w:r>
        <w:rPr>
          <w:rFonts w:eastAsia="Verdana" w:cs="Verdana"/>
        </w:rPr>
        <w:t>interconnector</w:t>
      </w:r>
      <w:proofErr w:type="spellEnd"/>
      <w:r>
        <w:rPr>
          <w:rFonts w:eastAsia="Verdana" w:cs="Verdana"/>
        </w:rPr>
        <w:t xml:space="preserve"> naar het Verenigd Koninkrijk (</w:t>
      </w:r>
      <w:proofErr w:type="spellStart"/>
      <w:r w:rsidRPr="00AC11C0">
        <w:rPr>
          <w:rFonts w:eastAsia="Verdana" w:cs="Verdana"/>
        </w:rPr>
        <w:t>LionLink</w:t>
      </w:r>
      <w:proofErr w:type="spellEnd"/>
      <w:r>
        <w:rPr>
          <w:rFonts w:eastAsia="Verdana" w:cs="Verdana"/>
        </w:rPr>
        <w:t>)</w:t>
      </w:r>
      <w:r w:rsidRPr="00AC11C0">
        <w:rPr>
          <w:rFonts w:eastAsia="Verdana" w:cs="Verdana"/>
        </w:rPr>
        <w:t xml:space="preserve"> en het besluit tot het instellen van een biedzone op zee.</w:t>
      </w:r>
      <w:r w:rsidRPr="00A168FE">
        <w:rPr>
          <w:sz w:val="24"/>
        </w:rPr>
        <w:t xml:space="preserve"> </w:t>
      </w:r>
      <w:r>
        <w:rPr>
          <w:rFonts w:eastAsia="Verdana" w:cs="Verdana"/>
        </w:rPr>
        <w:t>Met</w:t>
      </w:r>
      <w:r w:rsidRPr="00A168FE">
        <w:rPr>
          <w:rFonts w:eastAsia="Verdana" w:cs="Verdana"/>
        </w:rPr>
        <w:t xml:space="preserve"> deze brief voldoe ik tevens aan de motie Dassen-</w:t>
      </w:r>
      <w:proofErr w:type="spellStart"/>
      <w:r w:rsidRPr="00A168FE">
        <w:rPr>
          <w:rFonts w:eastAsia="Verdana" w:cs="Verdana"/>
        </w:rPr>
        <w:t>Grinwis</w:t>
      </w:r>
      <w:proofErr w:type="spellEnd"/>
      <w:r w:rsidRPr="00A168FE">
        <w:rPr>
          <w:rFonts w:eastAsia="Verdana" w:cs="Verdana"/>
        </w:rPr>
        <w:t xml:space="preserve"> van 12 februari 2026</w:t>
      </w:r>
      <w:r w:rsidR="00C27B0B">
        <w:rPr>
          <w:rStyle w:val="Voetnootmarkering"/>
          <w:rFonts w:eastAsia="Verdana" w:cs="Verdana"/>
        </w:rPr>
        <w:footnoteReference w:id="1"/>
      </w:r>
      <w:r w:rsidR="0051107D">
        <w:rPr>
          <w:rFonts w:eastAsia="Verdana" w:cs="Verdana"/>
        </w:rPr>
        <w:t>.</w:t>
      </w:r>
    </w:p>
    <w:p w:rsidR="00725013" w:rsidP="00725013" w:rsidRDefault="00725013" w14:paraId="41B59887" w14:textId="77777777">
      <w:pPr>
        <w:rPr>
          <w:rFonts w:eastAsia="Verdana" w:cs="Verdana"/>
        </w:rPr>
      </w:pPr>
    </w:p>
    <w:p w:rsidRPr="00623B07" w:rsidR="00725013" w:rsidP="00725013" w:rsidRDefault="00725013" w14:paraId="6EA94C81" w14:textId="77777777">
      <w:pPr>
        <w:rPr>
          <w:rFonts w:eastAsia="Verdana" w:cs="Verdana"/>
          <w:b/>
          <w:bCs/>
          <w:u w:val="single"/>
        </w:rPr>
      </w:pPr>
      <w:r>
        <w:rPr>
          <w:rFonts w:eastAsia="Verdana" w:cs="Verdana"/>
          <w:b/>
          <w:bCs/>
          <w:u w:val="single"/>
        </w:rPr>
        <w:t xml:space="preserve">Ontwikkeling van </w:t>
      </w:r>
      <w:proofErr w:type="spellStart"/>
      <w:r>
        <w:rPr>
          <w:rFonts w:eastAsia="Verdana" w:cs="Verdana"/>
          <w:b/>
          <w:bCs/>
          <w:u w:val="single"/>
        </w:rPr>
        <w:t>interconnectoren</w:t>
      </w:r>
      <w:proofErr w:type="spellEnd"/>
      <w:r>
        <w:rPr>
          <w:rFonts w:eastAsia="Verdana" w:cs="Verdana"/>
          <w:b/>
          <w:bCs/>
          <w:u w:val="single"/>
        </w:rPr>
        <w:t xml:space="preserve"> voor elektriciteit</w:t>
      </w:r>
    </w:p>
    <w:p w:rsidR="00725013" w:rsidP="00725013" w:rsidRDefault="00725013" w14:paraId="6FE8EC6B" w14:textId="77777777">
      <w:pPr>
        <w:rPr>
          <w:rFonts w:eastAsia="Verdana" w:cs="Verdana"/>
        </w:rPr>
      </w:pPr>
      <w:r>
        <w:rPr>
          <w:rFonts w:eastAsia="Verdana" w:cs="Verdana"/>
        </w:rPr>
        <w:t xml:space="preserve">Omdat </w:t>
      </w:r>
      <w:proofErr w:type="spellStart"/>
      <w:r>
        <w:rPr>
          <w:rFonts w:eastAsia="Verdana" w:cs="Verdana"/>
        </w:rPr>
        <w:t>interconnectoren</w:t>
      </w:r>
      <w:proofErr w:type="spellEnd"/>
      <w:r>
        <w:rPr>
          <w:rFonts w:eastAsia="Verdana" w:cs="Verdana"/>
        </w:rPr>
        <w:t xml:space="preserve"> een</w:t>
      </w:r>
      <w:r w:rsidRPr="15DE5775">
        <w:rPr>
          <w:rFonts w:eastAsia="Verdana" w:cs="Verdana"/>
        </w:rPr>
        <w:t xml:space="preserve"> fundamenteel onderdeel</w:t>
      </w:r>
      <w:r>
        <w:rPr>
          <w:rFonts w:eastAsia="Verdana" w:cs="Verdana"/>
        </w:rPr>
        <w:t xml:space="preserve"> vormen</w:t>
      </w:r>
      <w:r w:rsidRPr="15DE5775">
        <w:rPr>
          <w:rFonts w:eastAsia="Verdana" w:cs="Verdana"/>
        </w:rPr>
        <w:t xml:space="preserve"> voor het realiseren van een duurzame, betrouwbare en betaalbare energievoorziening</w:t>
      </w:r>
      <w:r>
        <w:rPr>
          <w:rFonts w:eastAsia="Verdana" w:cs="Verdana"/>
        </w:rPr>
        <w:t>, zet h</w:t>
      </w:r>
      <w:r w:rsidRPr="15DE5775">
        <w:rPr>
          <w:rFonts w:eastAsia="Verdana" w:cs="Verdana"/>
        </w:rPr>
        <w:t xml:space="preserve">et kabinet in op uitbreiding van de </w:t>
      </w:r>
      <w:proofErr w:type="spellStart"/>
      <w:r w:rsidRPr="15DE5775">
        <w:rPr>
          <w:rFonts w:eastAsia="Verdana" w:cs="Verdana"/>
        </w:rPr>
        <w:t>interconnectiecapaciteit</w:t>
      </w:r>
      <w:proofErr w:type="spellEnd"/>
      <w:r w:rsidRPr="15DE5775">
        <w:rPr>
          <w:rFonts w:eastAsia="Verdana" w:cs="Verdana"/>
        </w:rPr>
        <w:t>. Om invulling te geven aan deze behoefte</w:t>
      </w:r>
      <w:r>
        <w:rPr>
          <w:rFonts w:eastAsia="Verdana" w:cs="Verdana"/>
        </w:rPr>
        <w:t xml:space="preserve"> onderzoekt het ministerie van Economische Zaken en Klimaat (EZK) samen met </w:t>
      </w:r>
      <w:proofErr w:type="spellStart"/>
      <w:r>
        <w:rPr>
          <w:rFonts w:eastAsia="Verdana" w:cs="Verdana"/>
        </w:rPr>
        <w:t>TenneT</w:t>
      </w:r>
      <w:proofErr w:type="spellEnd"/>
      <w:r>
        <w:rPr>
          <w:rFonts w:eastAsia="Verdana" w:cs="Verdana"/>
        </w:rPr>
        <w:t xml:space="preserve"> de mogelijkheden voor de aanleg en het versnellen van investeringen in nieuwe </w:t>
      </w:r>
      <w:proofErr w:type="spellStart"/>
      <w:r>
        <w:rPr>
          <w:rFonts w:eastAsia="Verdana" w:cs="Verdana"/>
        </w:rPr>
        <w:t>interconnectoren</w:t>
      </w:r>
      <w:proofErr w:type="spellEnd"/>
      <w:r>
        <w:rPr>
          <w:rFonts w:eastAsia="Verdana" w:cs="Verdana"/>
        </w:rPr>
        <w:t xml:space="preserve">. Hiervoor volgt het kabinet het beleidskader voor nieuwe </w:t>
      </w:r>
      <w:proofErr w:type="spellStart"/>
      <w:r>
        <w:rPr>
          <w:rFonts w:eastAsia="Verdana" w:cs="Verdana"/>
        </w:rPr>
        <w:t>interconnectoren</w:t>
      </w:r>
      <w:proofErr w:type="spellEnd"/>
      <w:r>
        <w:rPr>
          <w:rFonts w:eastAsia="Verdana" w:cs="Verdana"/>
        </w:rPr>
        <w:t>, zoals opgenomen in het Windenergie Infrastructuurplan Noordzee (WIN)</w:t>
      </w:r>
      <w:r>
        <w:rPr>
          <w:rStyle w:val="Voetnootmarkering"/>
          <w:rFonts w:eastAsia="Verdana" w:cs="Verdana"/>
        </w:rPr>
        <w:footnoteReference w:id="2"/>
      </w:r>
      <w:r>
        <w:rPr>
          <w:rFonts w:eastAsia="Verdana" w:cs="Verdana"/>
        </w:rPr>
        <w:t>. Dit beleidskader geeft</w:t>
      </w:r>
      <w:r w:rsidRPr="00E128C6">
        <w:rPr>
          <w:rFonts w:eastAsia="Verdana" w:cs="Verdana"/>
        </w:rPr>
        <w:t xml:space="preserve"> prioriteit aan verbindingen met landen die een positieve bijdrage leveren aan het versterken van de leveringszekerheid en </w:t>
      </w:r>
      <w:r>
        <w:rPr>
          <w:rFonts w:eastAsia="Verdana" w:cs="Verdana"/>
        </w:rPr>
        <w:t>de</w:t>
      </w:r>
      <w:r w:rsidRPr="00E128C6">
        <w:rPr>
          <w:rFonts w:eastAsia="Verdana" w:cs="Verdana"/>
        </w:rPr>
        <w:t xml:space="preserve"> betaalbaarheid van elektriciteit in Nederland.</w:t>
      </w:r>
      <w:r>
        <w:rPr>
          <w:rFonts w:eastAsia="Verdana" w:cs="Verdana"/>
        </w:rPr>
        <w:t xml:space="preserve"> Ook </w:t>
      </w:r>
      <w:r w:rsidRPr="00C7695F">
        <w:rPr>
          <w:rFonts w:eastAsia="Verdana" w:cs="Verdana"/>
        </w:rPr>
        <w:t xml:space="preserve">geeft het kabinet door het instellen van een biedzone op zee uitvoering aan de beleidsmatige ontwikkeling van </w:t>
      </w:r>
      <w:proofErr w:type="spellStart"/>
      <w:r w:rsidRPr="00C7695F">
        <w:rPr>
          <w:rFonts w:eastAsia="Verdana" w:cs="Verdana"/>
        </w:rPr>
        <w:t>LionLink</w:t>
      </w:r>
      <w:proofErr w:type="spellEnd"/>
      <w:r w:rsidRPr="00C7695F">
        <w:rPr>
          <w:rFonts w:eastAsia="Verdana" w:cs="Verdana"/>
        </w:rPr>
        <w:t>.</w:t>
      </w:r>
      <w:r>
        <w:rPr>
          <w:rFonts w:eastAsia="Verdana" w:cs="Verdana"/>
        </w:rPr>
        <w:t xml:space="preserve"> </w:t>
      </w:r>
    </w:p>
    <w:p w:rsidR="00725013" w:rsidP="00725013" w:rsidRDefault="00725013" w14:paraId="55C2B2F1" w14:textId="77777777">
      <w:pPr>
        <w:rPr>
          <w:rFonts w:eastAsia="Verdana" w:cs="Verdana"/>
        </w:rPr>
      </w:pPr>
    </w:p>
    <w:p w:rsidR="00725013" w:rsidP="00725013" w:rsidRDefault="00725013" w14:paraId="29579AF3" w14:textId="2D218E72">
      <w:pPr>
        <w:rPr>
          <w:rFonts w:eastAsia="Verdana" w:cs="Verdana"/>
        </w:rPr>
      </w:pPr>
      <w:r>
        <w:rPr>
          <w:rFonts w:eastAsia="Verdana" w:cs="Verdana"/>
        </w:rPr>
        <w:t xml:space="preserve">Voor de financiering van grensoverschrijdende projecten, waaronder ook </w:t>
      </w:r>
      <w:proofErr w:type="spellStart"/>
      <w:r>
        <w:rPr>
          <w:rFonts w:eastAsia="Verdana" w:cs="Verdana"/>
        </w:rPr>
        <w:t>LionLink</w:t>
      </w:r>
      <w:proofErr w:type="spellEnd"/>
      <w:r>
        <w:rPr>
          <w:rFonts w:eastAsia="Verdana" w:cs="Verdana"/>
        </w:rPr>
        <w:t xml:space="preserve">, beschouwen </w:t>
      </w:r>
      <w:proofErr w:type="spellStart"/>
      <w:r>
        <w:rPr>
          <w:rFonts w:eastAsia="Verdana" w:cs="Verdana"/>
        </w:rPr>
        <w:t>TenneT</w:t>
      </w:r>
      <w:proofErr w:type="spellEnd"/>
      <w:r>
        <w:rPr>
          <w:rFonts w:eastAsia="Verdana" w:cs="Verdana"/>
        </w:rPr>
        <w:t xml:space="preserve"> en EZK actief de mogelijkheden om aanspraak te maken op het EU subsidie </w:t>
      </w:r>
      <w:r w:rsidRPr="006C76DA">
        <w:rPr>
          <w:rFonts w:eastAsia="Verdana" w:cs="Verdana"/>
        </w:rPr>
        <w:t xml:space="preserve">instrument </w:t>
      </w:r>
      <w:proofErr w:type="spellStart"/>
      <w:r w:rsidRPr="006C76DA">
        <w:rPr>
          <w:rFonts w:eastAsia="Verdana" w:cs="Verdana"/>
        </w:rPr>
        <w:t>Connecting</w:t>
      </w:r>
      <w:proofErr w:type="spellEnd"/>
      <w:r w:rsidRPr="006C76DA">
        <w:rPr>
          <w:rFonts w:eastAsia="Verdana" w:cs="Verdana"/>
        </w:rPr>
        <w:t xml:space="preserve"> Europe Facility </w:t>
      </w:r>
      <w:r>
        <w:rPr>
          <w:rFonts w:eastAsia="Verdana" w:cs="Verdana"/>
        </w:rPr>
        <w:t xml:space="preserve">(CEF) </w:t>
      </w:r>
      <w:proofErr w:type="spellStart"/>
      <w:r w:rsidRPr="006C76DA">
        <w:rPr>
          <w:rFonts w:eastAsia="Verdana" w:cs="Verdana"/>
        </w:rPr>
        <w:t>for</w:t>
      </w:r>
      <w:proofErr w:type="spellEnd"/>
      <w:r w:rsidRPr="006C76DA">
        <w:rPr>
          <w:rFonts w:eastAsia="Verdana" w:cs="Verdana"/>
        </w:rPr>
        <w:t xml:space="preserve"> Energy</w:t>
      </w:r>
      <w:r w:rsidRPr="00623B07">
        <w:rPr>
          <w:rFonts w:eastAsia="Verdana" w:cs="Verdana"/>
        </w:rPr>
        <w:t>.</w:t>
      </w:r>
      <w:r>
        <w:rPr>
          <w:rFonts w:eastAsia="Verdana" w:cs="Verdana"/>
        </w:rPr>
        <w:t xml:space="preserve"> H</w:t>
      </w:r>
      <w:r w:rsidRPr="00623B07">
        <w:rPr>
          <w:rFonts w:eastAsia="Verdana" w:cs="Verdana"/>
        </w:rPr>
        <w:t>iermee ge</w:t>
      </w:r>
      <w:r>
        <w:rPr>
          <w:rFonts w:eastAsia="Verdana" w:cs="Verdana"/>
        </w:rPr>
        <w:t xml:space="preserve">eft het kabinet uitvoering </w:t>
      </w:r>
      <w:r w:rsidRPr="00623B07">
        <w:rPr>
          <w:rFonts w:eastAsia="Verdana" w:cs="Verdana"/>
        </w:rPr>
        <w:t xml:space="preserve">aan </w:t>
      </w:r>
      <w:r>
        <w:rPr>
          <w:rFonts w:eastAsia="Verdana" w:cs="Verdana"/>
        </w:rPr>
        <w:t>bovengenoemde</w:t>
      </w:r>
      <w:r w:rsidRPr="00623B07">
        <w:rPr>
          <w:rFonts w:eastAsia="Verdana" w:cs="Verdana"/>
        </w:rPr>
        <w:t xml:space="preserve"> motie</w:t>
      </w:r>
      <w:r>
        <w:rPr>
          <w:rFonts w:eastAsia="Verdana" w:cs="Verdana"/>
        </w:rPr>
        <w:t xml:space="preserve"> Dassen-</w:t>
      </w:r>
      <w:proofErr w:type="spellStart"/>
      <w:r>
        <w:rPr>
          <w:rFonts w:eastAsia="Verdana" w:cs="Verdana"/>
        </w:rPr>
        <w:t>Grinwis</w:t>
      </w:r>
      <w:proofErr w:type="spellEnd"/>
      <w:r w:rsidR="00C20D70">
        <w:rPr>
          <w:rFonts w:eastAsia="Verdana" w:cs="Verdana"/>
        </w:rPr>
        <w:t>,</w:t>
      </w:r>
      <w:r w:rsidRPr="00C20D70" w:rsidR="00C20D70">
        <w:t xml:space="preserve"> </w:t>
      </w:r>
      <w:r w:rsidR="00C20D70">
        <w:t xml:space="preserve">die de regering oproept versneld te investeren in </w:t>
      </w:r>
      <w:proofErr w:type="spellStart"/>
      <w:r w:rsidR="00C20D70">
        <w:t>interconnectoren</w:t>
      </w:r>
      <w:proofErr w:type="spellEnd"/>
      <w:r w:rsidR="00C20D70">
        <w:t xml:space="preserve"> en daarvoor ook gebruik te maken van EU subsidie</w:t>
      </w:r>
      <w:r w:rsidR="00E3121B">
        <w:t>,</w:t>
      </w:r>
      <w:r w:rsidR="00C20D70">
        <w:rPr>
          <w:rFonts w:eastAsia="Verdana" w:cs="Verdana"/>
        </w:rPr>
        <w:t xml:space="preserve"> </w:t>
      </w:r>
      <w:r>
        <w:rPr>
          <w:rFonts w:eastAsia="Verdana" w:cs="Verdana"/>
        </w:rPr>
        <w:t xml:space="preserve">en derhalve beschouw ik de motie als afgedaan. </w:t>
      </w:r>
    </w:p>
    <w:p w:rsidRPr="006C76DA" w:rsidR="00725013" w:rsidP="00725013" w:rsidRDefault="00725013" w14:paraId="20E01620" w14:textId="77777777">
      <w:pPr>
        <w:rPr>
          <w:rFonts w:eastAsia="Verdana" w:cs="Verdana"/>
        </w:rPr>
      </w:pPr>
    </w:p>
    <w:p w:rsidRPr="00623B07" w:rsidR="00725013" w:rsidP="00725013" w:rsidRDefault="00725013" w14:paraId="4FBD85CB" w14:textId="77777777">
      <w:pPr>
        <w:rPr>
          <w:rFonts w:eastAsia="Verdana" w:cs="Verdana"/>
          <w:b/>
          <w:bCs/>
          <w:u w:val="single"/>
        </w:rPr>
      </w:pPr>
      <w:proofErr w:type="spellStart"/>
      <w:r>
        <w:rPr>
          <w:rFonts w:eastAsia="Verdana" w:cs="Verdana"/>
          <w:b/>
          <w:bCs/>
          <w:u w:val="single"/>
        </w:rPr>
        <w:t>LionLink</w:t>
      </w:r>
      <w:proofErr w:type="spellEnd"/>
    </w:p>
    <w:p w:rsidR="00725013" w:rsidP="00725013" w:rsidRDefault="00725013" w14:paraId="34C2911E" w14:textId="77777777">
      <w:pPr>
        <w:rPr>
          <w:rFonts w:eastAsia="Verdana" w:cs="Verdana"/>
        </w:rPr>
      </w:pPr>
      <w:proofErr w:type="spellStart"/>
      <w:r w:rsidRPr="48D9C0D8">
        <w:rPr>
          <w:rFonts w:eastAsia="Verdana" w:cs="Verdana"/>
        </w:rPr>
        <w:t>LionLink</w:t>
      </w:r>
      <w:proofErr w:type="spellEnd"/>
      <w:r w:rsidRPr="48D9C0D8">
        <w:rPr>
          <w:rFonts w:eastAsia="Verdana" w:cs="Verdana"/>
        </w:rPr>
        <w:t xml:space="preserve"> is een geplande </w:t>
      </w:r>
      <w:proofErr w:type="spellStart"/>
      <w:r w:rsidRPr="48D9C0D8">
        <w:rPr>
          <w:rFonts w:eastAsia="Verdana" w:cs="Verdana"/>
        </w:rPr>
        <w:t>interconnector</w:t>
      </w:r>
      <w:proofErr w:type="spellEnd"/>
      <w:r w:rsidRPr="48D9C0D8">
        <w:rPr>
          <w:rFonts w:eastAsia="Verdana" w:cs="Verdana"/>
        </w:rPr>
        <w:t xml:space="preserve"> van 1,8 GW die wordt aangesloten op het platform op zee waarop ook de windparken in kavel </w:t>
      </w:r>
      <w:proofErr w:type="spellStart"/>
      <w:r w:rsidRPr="48D9C0D8">
        <w:rPr>
          <w:rFonts w:eastAsia="Verdana" w:cs="Verdana"/>
        </w:rPr>
        <w:t>Nederwiek</w:t>
      </w:r>
      <w:proofErr w:type="spellEnd"/>
      <w:r w:rsidRPr="48D9C0D8">
        <w:rPr>
          <w:rFonts w:eastAsia="Verdana" w:cs="Verdana"/>
        </w:rPr>
        <w:t xml:space="preserve"> 3 worden aangesloten (zie Figuur 1). Deze verbinding vergroot de mogelijkheden voor handel van elektriciteit tussen het Verenigd Koninkrijk en Nederland en versterkt daarmee de integratie van beide elektriciteitsmarkten. </w:t>
      </w:r>
      <w:proofErr w:type="spellStart"/>
      <w:r w:rsidRPr="48D9C0D8">
        <w:rPr>
          <w:rFonts w:eastAsia="Verdana" w:cs="Verdana"/>
        </w:rPr>
        <w:t>LionLink</w:t>
      </w:r>
      <w:proofErr w:type="spellEnd"/>
      <w:r w:rsidRPr="48D9C0D8">
        <w:rPr>
          <w:rFonts w:eastAsia="Verdana" w:cs="Verdana"/>
        </w:rPr>
        <w:t xml:space="preserve"> zal bijdragen aan het borgen van de leveringszekerheid van elektriciteit, de verduurzaming van de energievoorziening en resulteert in stabielere en lagere elektriciteitsprijzen. </w:t>
      </w:r>
    </w:p>
    <w:p w:rsidR="00725013" w:rsidP="00725013" w:rsidRDefault="00725013" w14:paraId="2745F39B" w14:textId="77777777">
      <w:pPr>
        <w:rPr>
          <w:rFonts w:eastAsia="Verdana" w:cs="Verdana"/>
          <w:szCs w:val="18"/>
        </w:rPr>
      </w:pPr>
    </w:p>
    <w:p w:rsidR="00725013" w:rsidP="00725013" w:rsidRDefault="00725013" w14:paraId="419F54A1" w14:textId="77777777">
      <w:pPr>
        <w:rPr>
          <w:rFonts w:eastAsia="Verdana" w:cs="Verdana"/>
        </w:rPr>
      </w:pPr>
      <w:r w:rsidRPr="15DE5775">
        <w:rPr>
          <w:rFonts w:eastAsia="Verdana" w:cs="Verdana"/>
        </w:rPr>
        <w:t xml:space="preserve">Anders dan de bestaande reguliere </w:t>
      </w:r>
      <w:proofErr w:type="spellStart"/>
      <w:r w:rsidRPr="15DE5775">
        <w:rPr>
          <w:rFonts w:eastAsia="Verdana" w:cs="Verdana"/>
        </w:rPr>
        <w:t>interconnectoren</w:t>
      </w:r>
      <w:proofErr w:type="spellEnd"/>
      <w:r w:rsidRPr="15DE5775">
        <w:rPr>
          <w:rFonts w:eastAsia="Verdana" w:cs="Verdana"/>
        </w:rPr>
        <w:t xml:space="preserve"> waarmee de Nederlandse elektriciteitsmarkt verbonden is met </w:t>
      </w:r>
      <w:r>
        <w:rPr>
          <w:rFonts w:eastAsia="Verdana" w:cs="Verdana"/>
        </w:rPr>
        <w:t xml:space="preserve">die van </w:t>
      </w:r>
      <w:r w:rsidRPr="15DE5775">
        <w:rPr>
          <w:rFonts w:eastAsia="Verdana" w:cs="Verdana"/>
        </w:rPr>
        <w:t xml:space="preserve">ons omringende landen, wordt </w:t>
      </w:r>
      <w:proofErr w:type="spellStart"/>
      <w:r w:rsidRPr="15DE5775">
        <w:rPr>
          <w:rFonts w:eastAsia="Verdana" w:cs="Verdana"/>
        </w:rPr>
        <w:t>LionLink</w:t>
      </w:r>
      <w:proofErr w:type="spellEnd"/>
      <w:r w:rsidRPr="15DE5775">
        <w:rPr>
          <w:rFonts w:eastAsia="Verdana" w:cs="Verdana"/>
        </w:rPr>
        <w:t xml:space="preserve"> ontwikkeld als een hybride </w:t>
      </w:r>
      <w:proofErr w:type="spellStart"/>
      <w:r w:rsidRPr="15DE5775">
        <w:rPr>
          <w:rFonts w:eastAsia="Verdana" w:cs="Verdana"/>
        </w:rPr>
        <w:t>interconnector</w:t>
      </w:r>
      <w:proofErr w:type="spellEnd"/>
      <w:r w:rsidRPr="15DE5775">
        <w:rPr>
          <w:rFonts w:eastAsia="Verdana" w:cs="Verdana"/>
        </w:rPr>
        <w:t xml:space="preserve">. Een hybride </w:t>
      </w:r>
      <w:proofErr w:type="spellStart"/>
      <w:r w:rsidRPr="15DE5775">
        <w:rPr>
          <w:rFonts w:eastAsia="Verdana" w:cs="Verdana"/>
        </w:rPr>
        <w:t>interconnector</w:t>
      </w:r>
      <w:proofErr w:type="spellEnd"/>
      <w:r w:rsidRPr="15DE5775">
        <w:rPr>
          <w:rFonts w:eastAsia="Verdana" w:cs="Verdana"/>
        </w:rPr>
        <w:t xml:space="preserve"> combineert de functies van </w:t>
      </w:r>
      <w:proofErr w:type="spellStart"/>
      <w:r w:rsidRPr="15DE5775">
        <w:rPr>
          <w:rFonts w:eastAsia="Verdana" w:cs="Verdana"/>
        </w:rPr>
        <w:t>interconnectie</w:t>
      </w:r>
      <w:proofErr w:type="spellEnd"/>
      <w:r w:rsidRPr="15DE5775">
        <w:rPr>
          <w:rFonts w:eastAsia="Verdana" w:cs="Verdana"/>
        </w:rPr>
        <w:t xml:space="preserve"> met de aanlanding van windenergie op zee. Deze opzet heeft de voorkeur omdat het </w:t>
      </w:r>
      <w:r>
        <w:rPr>
          <w:rFonts w:eastAsia="Verdana" w:cs="Verdana"/>
        </w:rPr>
        <w:t>beter gebruik maakt van het</w:t>
      </w:r>
      <w:r w:rsidRPr="15DE5775">
        <w:rPr>
          <w:rFonts w:eastAsia="Verdana" w:cs="Verdana"/>
        </w:rPr>
        <w:t xml:space="preserve"> net op zee </w:t>
      </w:r>
      <w:r>
        <w:rPr>
          <w:rFonts w:eastAsia="Verdana" w:cs="Verdana"/>
        </w:rPr>
        <w:t xml:space="preserve">en slechts een </w:t>
      </w:r>
      <w:r w:rsidRPr="15DE5775">
        <w:rPr>
          <w:rFonts w:eastAsia="Verdana" w:cs="Verdana"/>
        </w:rPr>
        <w:t>beperkte uitbreiding van de infrastructuur op zee</w:t>
      </w:r>
      <w:r>
        <w:rPr>
          <w:rFonts w:eastAsia="Verdana" w:cs="Verdana"/>
        </w:rPr>
        <w:t xml:space="preserve"> vergt</w:t>
      </w:r>
      <w:r>
        <w:rPr>
          <w:rStyle w:val="Voetnootmarkering"/>
          <w:rFonts w:eastAsia="Verdana" w:cs="Verdana"/>
        </w:rPr>
        <w:footnoteReference w:id="3"/>
      </w:r>
      <w:r w:rsidRPr="15DE5775">
        <w:rPr>
          <w:rFonts w:eastAsia="Verdana" w:cs="Verdana"/>
        </w:rPr>
        <w:t>. Hierdoor wordt het gebruik van schaarse publieke ruimte op zee en op land</w:t>
      </w:r>
      <w:r>
        <w:rPr>
          <w:rFonts w:eastAsia="Verdana" w:cs="Verdana"/>
        </w:rPr>
        <w:t xml:space="preserve"> </w:t>
      </w:r>
      <w:r w:rsidRPr="15DE5775">
        <w:rPr>
          <w:rFonts w:eastAsia="Verdana" w:cs="Verdana"/>
        </w:rPr>
        <w:t>beperkt</w:t>
      </w:r>
      <w:r>
        <w:rPr>
          <w:rFonts w:eastAsia="Verdana" w:cs="Verdana"/>
        </w:rPr>
        <w:t>,</w:t>
      </w:r>
      <w:r w:rsidRPr="15DE5775">
        <w:rPr>
          <w:rFonts w:eastAsia="Verdana" w:cs="Verdana"/>
        </w:rPr>
        <w:t xml:space="preserve"> en wordt voorkomen dat de ontwikkeling van </w:t>
      </w:r>
      <w:proofErr w:type="spellStart"/>
      <w:r w:rsidRPr="15DE5775">
        <w:rPr>
          <w:rFonts w:eastAsia="Verdana" w:cs="Verdana"/>
        </w:rPr>
        <w:t>interconnectore</w:t>
      </w:r>
      <w:r>
        <w:rPr>
          <w:rFonts w:eastAsia="Verdana" w:cs="Verdana"/>
        </w:rPr>
        <w:t>n</w:t>
      </w:r>
      <w:proofErr w:type="spellEnd"/>
      <w:r>
        <w:rPr>
          <w:rFonts w:eastAsia="Verdana" w:cs="Verdana"/>
        </w:rPr>
        <w:t xml:space="preserve"> met</w:t>
      </w:r>
      <w:r w:rsidRPr="15DE5775">
        <w:rPr>
          <w:rFonts w:eastAsia="Verdana" w:cs="Verdana"/>
        </w:rPr>
        <w:t xml:space="preserve"> windenergie op zee</w:t>
      </w:r>
      <w:r>
        <w:rPr>
          <w:rFonts w:eastAsia="Verdana" w:cs="Verdana"/>
        </w:rPr>
        <w:t xml:space="preserve"> concurreert om </w:t>
      </w:r>
      <w:bookmarkStart w:name="OLE_LINK2" w:id="0"/>
      <w:r>
        <w:rPr>
          <w:rFonts w:eastAsia="Verdana" w:cs="Verdana"/>
        </w:rPr>
        <w:t>publieke ruimte voor aanlanding</w:t>
      </w:r>
      <w:bookmarkEnd w:id="0"/>
      <w:r w:rsidRPr="15DE5775">
        <w:rPr>
          <w:rFonts w:eastAsia="Verdana" w:cs="Verdana"/>
        </w:rPr>
        <w:t>.</w:t>
      </w:r>
    </w:p>
    <w:p w:rsidR="00725013" w:rsidP="00725013" w:rsidRDefault="00725013" w14:paraId="187E7DBB" w14:textId="77777777">
      <w:pPr>
        <w:rPr>
          <w:rFonts w:eastAsia="Verdana" w:cs="Verdana"/>
        </w:rPr>
      </w:pPr>
    </w:p>
    <w:p w:rsidR="00E3121B" w:rsidP="00725013" w:rsidRDefault="00725013" w14:paraId="06B5EBB6" w14:textId="17AF57C9">
      <w:pPr>
        <w:rPr>
          <w:rFonts w:eastAsia="Verdana" w:cs="Verdana"/>
          <w:u w:val="single"/>
        </w:rPr>
      </w:pPr>
      <w:r>
        <w:rPr>
          <w:rFonts w:eastAsia="Verdana" w:cs="Verdana"/>
          <w:u w:val="single"/>
        </w:rPr>
        <w:t xml:space="preserve">Figuur 1: opzet van de hybride </w:t>
      </w:r>
      <w:proofErr w:type="spellStart"/>
      <w:r>
        <w:rPr>
          <w:rFonts w:eastAsia="Verdana" w:cs="Verdana"/>
          <w:u w:val="single"/>
        </w:rPr>
        <w:t>interconnector</w:t>
      </w:r>
      <w:proofErr w:type="spellEnd"/>
      <w:r>
        <w:rPr>
          <w:rFonts w:eastAsia="Verdana" w:cs="Verdana"/>
          <w:u w:val="single"/>
        </w:rPr>
        <w:t xml:space="preserve">, </w:t>
      </w:r>
      <w:proofErr w:type="spellStart"/>
      <w:r>
        <w:rPr>
          <w:rFonts w:eastAsia="Verdana" w:cs="Verdana"/>
          <w:u w:val="single"/>
        </w:rPr>
        <w:t>LionLink</w:t>
      </w:r>
      <w:proofErr w:type="spellEnd"/>
      <w:r w:rsidR="00E3121B">
        <w:rPr>
          <w:rFonts w:eastAsia="Verdana" w:cs="Verdana"/>
          <w:u w:val="single"/>
        </w:rPr>
        <w:t>.</w:t>
      </w:r>
    </w:p>
    <w:p w:rsidRPr="00E3121B" w:rsidR="00E3121B" w:rsidP="00725013" w:rsidRDefault="00E3121B" w14:paraId="6CFD4853" w14:textId="7BFA2CB8">
      <w:pPr>
        <w:rPr>
          <w:rFonts w:eastAsia="Verdana" w:cs="Verdana"/>
          <w:u w:val="single"/>
        </w:rPr>
      </w:pPr>
    </w:p>
    <w:p w:rsidR="00725013" w:rsidP="00725013" w:rsidRDefault="009B5494" w14:paraId="1830D19F" w14:textId="4D0747D5">
      <w:pPr>
        <w:rPr>
          <w:rFonts w:eastAsia="Verdana" w:cs="Verdana"/>
          <w:szCs w:val="18"/>
        </w:rPr>
      </w:pPr>
      <w:r>
        <w:rPr>
          <w:noProof/>
          <w:color w:val="000000"/>
        </w:rPr>
        <w:drawing>
          <wp:inline distT="0" distB="0" distL="0" distR="0" wp14:anchorId="6DF34D4C" wp14:editId="25D298D7">
            <wp:extent cx="4780915" cy="2502535"/>
            <wp:effectExtent l="0" t="0" r="635" b="12065"/>
            <wp:docPr id="1013435770" name="Afbeelding 1" descr="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d-4D46BC75-A6FC-49E7-8DFD-F1DCA987AFA5" descr="image.png"/>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4780915" cy="2502535"/>
                    </a:xfrm>
                    <a:prstGeom prst="rect">
                      <a:avLst/>
                    </a:prstGeom>
                    <a:noFill/>
                    <a:ln>
                      <a:noFill/>
                    </a:ln>
                  </pic:spPr>
                </pic:pic>
              </a:graphicData>
            </a:graphic>
          </wp:inline>
        </w:drawing>
      </w:r>
    </w:p>
    <w:p w:rsidR="00E3121B" w:rsidP="00725013" w:rsidRDefault="00E3121B" w14:paraId="709BC3B1" w14:textId="77777777">
      <w:pPr>
        <w:rPr>
          <w:rFonts w:eastAsia="Verdana" w:cs="Verdana"/>
          <w:b/>
          <w:bCs/>
        </w:rPr>
      </w:pPr>
    </w:p>
    <w:p w:rsidR="00725013" w:rsidP="00725013" w:rsidRDefault="00725013" w14:paraId="5D228184" w14:textId="3160FB77">
      <w:pPr>
        <w:rPr>
          <w:rFonts w:eastAsia="Verdana" w:cs="Verdana"/>
        </w:rPr>
      </w:pPr>
      <w:r w:rsidRPr="48D9C0D8">
        <w:rPr>
          <w:rFonts w:eastAsia="Verdana" w:cs="Verdana"/>
          <w:b/>
          <w:bCs/>
        </w:rPr>
        <w:t>Besluit tot het instellen van een nieuwe biedzone</w:t>
      </w:r>
    </w:p>
    <w:p w:rsidR="00725013" w:rsidP="00725013" w:rsidRDefault="00725013" w14:paraId="0FCF9D37" w14:textId="77777777">
      <w:pPr>
        <w:rPr>
          <w:rFonts w:eastAsia="Verdana" w:cs="Verdana"/>
        </w:rPr>
      </w:pPr>
      <w:r w:rsidRPr="15DE5775">
        <w:rPr>
          <w:rFonts w:eastAsia="Verdana" w:cs="Verdana"/>
        </w:rPr>
        <w:t>Vanwege het</w:t>
      </w:r>
      <w:r>
        <w:rPr>
          <w:rFonts w:eastAsia="Verdana" w:cs="Verdana"/>
        </w:rPr>
        <w:t xml:space="preserve"> ontwerp van hybride </w:t>
      </w:r>
      <w:proofErr w:type="spellStart"/>
      <w:r>
        <w:rPr>
          <w:rFonts w:eastAsia="Verdana" w:cs="Verdana"/>
        </w:rPr>
        <w:t>interconnectoren</w:t>
      </w:r>
      <w:proofErr w:type="spellEnd"/>
      <w:r>
        <w:rPr>
          <w:rFonts w:eastAsia="Verdana" w:cs="Verdana"/>
        </w:rPr>
        <w:t xml:space="preserve">, waarin de twee bovengenoemde functies worden gecombineerd, zal altijd structurele congestie optreden op een of meerdere verbindingen. In onder meer haar </w:t>
      </w:r>
      <w:r w:rsidRPr="00FC186B">
        <w:rPr>
          <w:rFonts w:eastAsia="Verdana" w:cs="Verdana"/>
        </w:rPr>
        <w:t>“EU-strategie voor offshore hernieuwbare energie</w:t>
      </w:r>
      <w:r>
        <w:rPr>
          <w:rFonts w:eastAsia="Verdana" w:cs="Verdana"/>
        </w:rPr>
        <w:t>”</w:t>
      </w:r>
      <w:r>
        <w:rPr>
          <w:rStyle w:val="Voetnootmarkering"/>
          <w:rFonts w:eastAsia="Verdana" w:cs="Verdana"/>
        </w:rPr>
        <w:footnoteReference w:id="4"/>
      </w:r>
      <w:r>
        <w:rPr>
          <w:rFonts w:eastAsia="Verdana" w:cs="Verdana"/>
          <w:vertAlign w:val="superscript"/>
        </w:rPr>
        <w:t>,</w:t>
      </w:r>
      <w:r>
        <w:rPr>
          <w:rStyle w:val="Voetnootmarkering"/>
          <w:rFonts w:eastAsia="Verdana" w:cs="Verdana"/>
        </w:rPr>
        <w:footnoteReference w:id="5"/>
      </w:r>
      <w:r>
        <w:rPr>
          <w:rFonts w:eastAsia="Verdana" w:cs="Verdana"/>
        </w:rPr>
        <w:t xml:space="preserve"> doet de Europese Commissie de aanbeveling om biedzones</w:t>
      </w:r>
      <w:r>
        <w:rPr>
          <w:rStyle w:val="Voetnootmarkering"/>
          <w:rFonts w:eastAsia="Verdana" w:cs="Verdana"/>
        </w:rPr>
        <w:footnoteReference w:id="6"/>
      </w:r>
      <w:r>
        <w:rPr>
          <w:rFonts w:eastAsia="Verdana" w:cs="Verdana"/>
        </w:rPr>
        <w:t xml:space="preserve"> in te stellen om deze congestie te adresseren.</w:t>
      </w:r>
    </w:p>
    <w:p w:rsidRPr="00132E25" w:rsidR="00725013" w:rsidP="00725013" w:rsidRDefault="00725013" w14:paraId="2ACF0EEA" w14:textId="77777777">
      <w:pPr>
        <w:rPr>
          <w:rFonts w:eastAsia="Verdana" w:cs="Verdana"/>
        </w:rPr>
      </w:pPr>
    </w:p>
    <w:p w:rsidR="00725013" w:rsidP="00725013" w:rsidRDefault="00725013" w14:paraId="647BE8DE" w14:textId="77777777">
      <w:pPr>
        <w:rPr>
          <w:rFonts w:eastAsia="Verdana" w:cs="Verdana"/>
        </w:rPr>
      </w:pPr>
      <w:r>
        <w:rPr>
          <w:rFonts w:eastAsia="Verdana" w:cs="Verdana"/>
        </w:rPr>
        <w:t xml:space="preserve">In geval van het </w:t>
      </w:r>
      <w:proofErr w:type="spellStart"/>
      <w:r>
        <w:rPr>
          <w:rFonts w:eastAsia="Verdana" w:cs="Verdana"/>
        </w:rPr>
        <w:t>LionLink</w:t>
      </w:r>
      <w:proofErr w:type="spellEnd"/>
      <w:r>
        <w:rPr>
          <w:rFonts w:eastAsia="Verdana" w:cs="Verdana"/>
        </w:rPr>
        <w:t>-</w:t>
      </w:r>
      <w:r w:rsidRPr="15DE5775">
        <w:rPr>
          <w:rFonts w:eastAsia="Verdana" w:cs="Verdana"/>
        </w:rPr>
        <w:t>project</w:t>
      </w:r>
      <w:r>
        <w:rPr>
          <w:rFonts w:eastAsia="Verdana" w:cs="Verdana"/>
        </w:rPr>
        <w:t xml:space="preserve"> </w:t>
      </w:r>
      <w:r w:rsidRPr="15DE5775">
        <w:rPr>
          <w:rFonts w:eastAsia="Verdana" w:cs="Verdana"/>
        </w:rPr>
        <w:t>zal structurele congestie optreden op de verbinding tussen het platform op zee en de Nederlandse kust</w:t>
      </w:r>
      <w:r>
        <w:rPr>
          <w:rFonts w:eastAsia="Verdana" w:cs="Verdana"/>
        </w:rPr>
        <w:t xml:space="preserve"> (verbinding 1 in Figuur 1)</w:t>
      </w:r>
      <w:r w:rsidRPr="15DE5775">
        <w:rPr>
          <w:rFonts w:eastAsia="Verdana" w:cs="Verdana"/>
        </w:rPr>
        <w:t>.</w:t>
      </w:r>
      <w:r>
        <w:rPr>
          <w:rFonts w:eastAsia="Verdana" w:cs="Verdana"/>
        </w:rPr>
        <w:t xml:space="preserve"> </w:t>
      </w:r>
      <w:proofErr w:type="spellStart"/>
      <w:r>
        <w:rPr>
          <w:rFonts w:eastAsia="Verdana" w:cs="Verdana"/>
        </w:rPr>
        <w:t>TenneT</w:t>
      </w:r>
      <w:proofErr w:type="spellEnd"/>
      <w:r>
        <w:rPr>
          <w:rFonts w:eastAsia="Verdana" w:cs="Verdana"/>
        </w:rPr>
        <w:t xml:space="preserve"> heeft dit</w:t>
      </w:r>
      <w:r w:rsidRPr="15DE5775">
        <w:rPr>
          <w:rFonts w:eastAsia="Verdana" w:cs="Verdana"/>
        </w:rPr>
        <w:t xml:space="preserve"> aangetoond in een rapport</w:t>
      </w:r>
      <w:r>
        <w:rPr>
          <w:rStyle w:val="Voetnootmarkering"/>
          <w:rFonts w:eastAsia="Verdana" w:cs="Verdana"/>
        </w:rPr>
        <w:footnoteReference w:id="7"/>
      </w:r>
      <w:r>
        <w:rPr>
          <w:rFonts w:eastAsia="Verdana" w:cs="Verdana"/>
        </w:rPr>
        <w:t xml:space="preserve"> dat door de </w:t>
      </w:r>
      <w:r w:rsidRPr="15DE5775">
        <w:rPr>
          <w:rFonts w:eastAsia="Verdana" w:cs="Verdana"/>
        </w:rPr>
        <w:t>Autoriteit Consument en Markt (ACM)</w:t>
      </w:r>
      <w:r>
        <w:rPr>
          <w:rStyle w:val="Voetnootmarkering"/>
          <w:rFonts w:eastAsia="Verdana" w:cs="Verdana"/>
        </w:rPr>
        <w:footnoteReference w:id="8"/>
      </w:r>
      <w:r>
        <w:rPr>
          <w:rFonts w:eastAsia="Verdana" w:cs="Verdana"/>
        </w:rPr>
        <w:t xml:space="preserve"> is goedgekeurd op 25 maart 2025</w:t>
      </w:r>
      <w:r w:rsidRPr="15DE5775">
        <w:rPr>
          <w:rFonts w:eastAsia="Verdana" w:cs="Verdana"/>
        </w:rPr>
        <w:t xml:space="preserve">. EU wet- en regelgeving schrijft voor dat biedzones geen structurele congestie mogen bevatten. Realisatie van </w:t>
      </w:r>
      <w:proofErr w:type="spellStart"/>
      <w:r w:rsidRPr="15DE5775">
        <w:rPr>
          <w:rFonts w:eastAsia="Verdana" w:cs="Verdana"/>
        </w:rPr>
        <w:t>LionLink</w:t>
      </w:r>
      <w:proofErr w:type="spellEnd"/>
      <w:r w:rsidRPr="15DE5775">
        <w:rPr>
          <w:rFonts w:eastAsia="Verdana" w:cs="Verdana"/>
        </w:rPr>
        <w:t xml:space="preserve"> binnen de huidige Nederlandse biedzone zou daarom niet in overeenstemming zijn met deze regelgeving. De voorspelde structurele congestie kan worden geadresseerd door het instellen van een nieuwe biedzone</w:t>
      </w:r>
      <w:r>
        <w:rPr>
          <w:rFonts w:eastAsia="Verdana" w:cs="Verdana"/>
        </w:rPr>
        <w:t xml:space="preserve"> op zee</w:t>
      </w:r>
      <w:r w:rsidRPr="15DE5775">
        <w:rPr>
          <w:rFonts w:eastAsia="Verdana" w:cs="Verdana"/>
        </w:rPr>
        <w:t xml:space="preserve">, ook wel “offshore biedzone” </w:t>
      </w:r>
      <w:r w:rsidRPr="48D9C0D8">
        <w:rPr>
          <w:rFonts w:eastAsia="Verdana" w:cs="Verdana"/>
        </w:rPr>
        <w:t>genoemd</w:t>
      </w:r>
      <w:r>
        <w:rPr>
          <w:rFonts w:eastAsia="Verdana" w:cs="Verdana"/>
        </w:rPr>
        <w:t xml:space="preserve">. </w:t>
      </w:r>
    </w:p>
    <w:p w:rsidR="00725013" w:rsidP="00725013" w:rsidRDefault="00725013" w14:paraId="00A17FE4" w14:textId="77777777">
      <w:pPr>
        <w:rPr>
          <w:rFonts w:eastAsia="Verdana" w:cs="Verdana"/>
          <w:szCs w:val="18"/>
        </w:rPr>
      </w:pPr>
    </w:p>
    <w:p w:rsidR="00725013" w:rsidP="00725013" w:rsidRDefault="00725013" w14:paraId="4EB40F3D" w14:textId="77777777">
      <w:pPr>
        <w:rPr>
          <w:rFonts w:eastAsia="Verdana" w:cs="Verdana"/>
        </w:rPr>
      </w:pPr>
      <w:r w:rsidRPr="15DE5775">
        <w:rPr>
          <w:rFonts w:eastAsia="Verdana" w:cs="Verdana"/>
        </w:rPr>
        <w:t xml:space="preserve">Deze biedzone zal de windparken binnen kavel </w:t>
      </w:r>
      <w:proofErr w:type="spellStart"/>
      <w:r w:rsidRPr="15DE5775">
        <w:rPr>
          <w:rFonts w:eastAsia="Verdana" w:cs="Verdana"/>
        </w:rPr>
        <w:t>Nederwiek</w:t>
      </w:r>
      <w:proofErr w:type="spellEnd"/>
      <w:r w:rsidRPr="15DE5775">
        <w:rPr>
          <w:rFonts w:eastAsia="Verdana" w:cs="Verdana"/>
        </w:rPr>
        <w:t xml:space="preserve"> 3 omvatten. Het </w:t>
      </w:r>
      <w:r>
        <w:rPr>
          <w:rFonts w:eastAsia="Verdana" w:cs="Verdana"/>
        </w:rPr>
        <w:t xml:space="preserve">besluit tot het </w:t>
      </w:r>
      <w:r w:rsidRPr="15DE5775">
        <w:rPr>
          <w:rFonts w:eastAsia="Verdana" w:cs="Verdana"/>
        </w:rPr>
        <w:t xml:space="preserve">instellen van een nieuwe biedzone is in overeenstemming met het Europese regelgevend kader </w:t>
      </w:r>
      <w:r>
        <w:rPr>
          <w:rFonts w:eastAsia="Verdana" w:cs="Verdana"/>
        </w:rPr>
        <w:t xml:space="preserve">en </w:t>
      </w:r>
      <w:r w:rsidRPr="15DE5775">
        <w:rPr>
          <w:rFonts w:eastAsia="Verdana" w:cs="Verdana"/>
        </w:rPr>
        <w:t>leidt tot de hoogste maatschappelijke welvaart</w:t>
      </w:r>
      <w:r>
        <w:rPr>
          <w:rFonts w:eastAsia="Verdana" w:cs="Verdana"/>
        </w:rPr>
        <w:t>.</w:t>
      </w:r>
    </w:p>
    <w:p w:rsidR="00725013" w:rsidP="00725013" w:rsidRDefault="00725013" w14:paraId="6CB986F4" w14:textId="77777777">
      <w:pPr>
        <w:rPr>
          <w:rFonts w:eastAsia="Verdana" w:cs="Verdana"/>
        </w:rPr>
      </w:pPr>
      <w:r>
        <w:t xml:space="preserve">Door het instellen van deze biedzone wordt de beschikbare transportcapaciteit efficiënt toegewezen en worden operationele kosten voor </w:t>
      </w:r>
      <w:proofErr w:type="spellStart"/>
      <w:r>
        <w:t>TenneT</w:t>
      </w:r>
      <w:proofErr w:type="spellEnd"/>
      <w:r>
        <w:t xml:space="preserve"> </w:t>
      </w:r>
      <w:r w:rsidRPr="005E2ED3">
        <w:t>voorkomen</w:t>
      </w:r>
      <w:r>
        <w:t>.</w:t>
      </w:r>
      <w:r>
        <w:rPr>
          <w:rFonts w:eastAsia="Verdana" w:cs="Verdana"/>
        </w:rPr>
        <w:t xml:space="preserve"> Tegelijk</w:t>
      </w:r>
      <w:r w:rsidRPr="15DE5775">
        <w:rPr>
          <w:rFonts w:eastAsia="Verdana" w:cs="Verdana"/>
        </w:rPr>
        <w:t xml:space="preserve"> heeft dit gevolgen voor de businesscase van deze windparken. Dit licht ik verder</w:t>
      </w:r>
      <w:r>
        <w:rPr>
          <w:rFonts w:eastAsia="Verdana" w:cs="Verdana"/>
        </w:rPr>
        <w:t>o</w:t>
      </w:r>
      <w:r w:rsidRPr="15DE5775">
        <w:rPr>
          <w:rFonts w:eastAsia="Verdana" w:cs="Verdana"/>
        </w:rPr>
        <w:t>p in de brief nader toe.</w:t>
      </w:r>
    </w:p>
    <w:p w:rsidR="00725013" w:rsidP="00725013" w:rsidRDefault="00725013" w14:paraId="247B243F" w14:textId="77777777">
      <w:pPr>
        <w:rPr>
          <w:rFonts w:eastAsia="Verdana" w:cs="Verdana"/>
        </w:rPr>
      </w:pPr>
    </w:p>
    <w:p w:rsidR="00725013" w:rsidP="00725013" w:rsidRDefault="00725013" w14:paraId="232A440E" w14:textId="77777777">
      <w:pPr>
        <w:rPr>
          <w:rFonts w:eastAsia="Verdana" w:cs="Verdana"/>
          <w:szCs w:val="18"/>
        </w:rPr>
      </w:pPr>
      <w:r w:rsidRPr="2DF4DD1E">
        <w:rPr>
          <w:rFonts w:eastAsia="Verdana" w:cs="Verdana"/>
          <w:b/>
          <w:bCs/>
          <w:szCs w:val="18"/>
        </w:rPr>
        <w:t>Proces tot besluitvorming</w:t>
      </w:r>
    </w:p>
    <w:p w:rsidR="00725013" w:rsidP="00725013" w:rsidRDefault="00725013" w14:paraId="27818549" w14:textId="77777777">
      <w:pPr>
        <w:rPr>
          <w:rFonts w:eastAsia="Verdana" w:cs="Verdana"/>
        </w:rPr>
      </w:pPr>
      <w:r w:rsidRPr="15DE5775">
        <w:rPr>
          <w:rFonts w:eastAsia="Verdana" w:cs="Verdana"/>
        </w:rPr>
        <w:t>Het instellen van een nieuwe biedzone is gebonden aan EU-regels. Na vaststell</w:t>
      </w:r>
      <w:r>
        <w:rPr>
          <w:rFonts w:eastAsia="Verdana" w:cs="Verdana"/>
        </w:rPr>
        <w:t>ing</w:t>
      </w:r>
      <w:r w:rsidRPr="15DE5775">
        <w:rPr>
          <w:rFonts w:eastAsia="Verdana" w:cs="Verdana"/>
        </w:rPr>
        <w:t xml:space="preserve"> van structurele congestie </w:t>
      </w:r>
      <w:r>
        <w:rPr>
          <w:rFonts w:eastAsia="Verdana" w:cs="Verdana"/>
        </w:rPr>
        <w:t>door</w:t>
      </w:r>
      <w:r w:rsidRPr="15DE5775">
        <w:rPr>
          <w:rFonts w:eastAsia="Verdana" w:cs="Verdana"/>
        </w:rPr>
        <w:t xml:space="preserve"> </w:t>
      </w:r>
      <w:proofErr w:type="spellStart"/>
      <w:r w:rsidRPr="15DE5775">
        <w:rPr>
          <w:rFonts w:eastAsia="Verdana" w:cs="Verdana"/>
        </w:rPr>
        <w:t>TenneT</w:t>
      </w:r>
      <w:proofErr w:type="spellEnd"/>
      <w:r w:rsidRPr="15DE5775">
        <w:rPr>
          <w:rFonts w:eastAsia="Verdana" w:cs="Verdana"/>
        </w:rPr>
        <w:t xml:space="preserve"> en de goedkeuring door de </w:t>
      </w:r>
      <w:r>
        <w:rPr>
          <w:rFonts w:eastAsia="Verdana" w:cs="Verdana"/>
        </w:rPr>
        <w:t>ACM</w:t>
      </w:r>
      <w:r w:rsidRPr="15DE5775">
        <w:rPr>
          <w:rFonts w:eastAsia="Verdana" w:cs="Verdana"/>
        </w:rPr>
        <w:t xml:space="preserve">, heeft het ministerie samen met </w:t>
      </w:r>
      <w:proofErr w:type="spellStart"/>
      <w:r w:rsidRPr="15DE5775">
        <w:rPr>
          <w:rFonts w:eastAsia="Verdana" w:cs="Verdana"/>
        </w:rPr>
        <w:t>TenneT</w:t>
      </w:r>
      <w:proofErr w:type="spellEnd"/>
      <w:r w:rsidRPr="15DE5775">
        <w:rPr>
          <w:rFonts w:eastAsia="Verdana" w:cs="Verdana"/>
        </w:rPr>
        <w:t xml:space="preserve"> </w:t>
      </w:r>
      <w:r>
        <w:rPr>
          <w:rFonts w:eastAsia="Verdana" w:cs="Verdana"/>
        </w:rPr>
        <w:t>de beschikbare opties o</w:t>
      </w:r>
      <w:r w:rsidRPr="15DE5775">
        <w:rPr>
          <w:rFonts w:eastAsia="Verdana" w:cs="Verdana"/>
        </w:rPr>
        <w:t xml:space="preserve">nderzocht om </w:t>
      </w:r>
      <w:r>
        <w:rPr>
          <w:rFonts w:eastAsia="Verdana" w:cs="Verdana"/>
        </w:rPr>
        <w:t xml:space="preserve">de </w:t>
      </w:r>
      <w:r w:rsidRPr="15DE5775">
        <w:rPr>
          <w:rFonts w:eastAsia="Verdana" w:cs="Verdana"/>
        </w:rPr>
        <w:t xml:space="preserve">congestie te adresseren. </w:t>
      </w:r>
      <w:r>
        <w:rPr>
          <w:rFonts w:eastAsia="Verdana" w:cs="Verdana"/>
        </w:rPr>
        <w:t xml:space="preserve">Op basis daarvan is gekozen voor </w:t>
      </w:r>
      <w:r w:rsidRPr="15DE5775">
        <w:rPr>
          <w:rFonts w:eastAsia="Verdana" w:cs="Verdana"/>
        </w:rPr>
        <w:t xml:space="preserve">een herziening van de biedzone-indeling. </w:t>
      </w:r>
    </w:p>
    <w:p w:rsidR="00725013" w:rsidP="00725013" w:rsidRDefault="00725013" w14:paraId="2EE2FDD7" w14:textId="77777777">
      <w:pPr>
        <w:rPr>
          <w:rFonts w:eastAsia="Verdana" w:cs="Verdana"/>
        </w:rPr>
      </w:pPr>
    </w:p>
    <w:p w:rsidR="00725013" w:rsidP="00725013" w:rsidRDefault="00725013" w14:paraId="5530DD0C" w14:textId="77777777">
      <w:pPr>
        <w:rPr>
          <w:rFonts w:eastAsia="Verdana" w:cs="Verdana"/>
        </w:rPr>
      </w:pPr>
      <w:r w:rsidRPr="48D9C0D8">
        <w:rPr>
          <w:rFonts w:eastAsia="Verdana" w:cs="Verdana"/>
        </w:rPr>
        <w:t xml:space="preserve">Voorafgaand aan dit besluit zijn relevante EU-lidstaten en belanghebbenden geraadpleegd. Ook de Europese Commissie en het EU Agentschap van energietoezichthouders (ACER) zijn geïnformeerd over het traject en dit voorgenomen besluit.   </w:t>
      </w:r>
    </w:p>
    <w:p w:rsidRPr="00E44B2C" w:rsidR="00725013" w:rsidP="00725013" w:rsidRDefault="00725013" w14:paraId="4E9CFB30" w14:textId="77777777">
      <w:pPr>
        <w:rPr>
          <w:rFonts w:eastAsia="Verdana" w:cs="Verdana"/>
        </w:rPr>
      </w:pPr>
      <w:r w:rsidRPr="15DE5775">
        <w:rPr>
          <w:rFonts w:eastAsia="Verdana" w:cs="Verdana"/>
        </w:rPr>
        <w:t xml:space="preserve"> </w:t>
      </w:r>
    </w:p>
    <w:p w:rsidRPr="006373B2" w:rsidR="00725013" w:rsidP="00725013" w:rsidRDefault="00725013" w14:paraId="775D3481" w14:textId="77777777">
      <w:pPr>
        <w:rPr>
          <w:rFonts w:eastAsia="Verdana" w:cs="Verdana"/>
          <w:b/>
          <w:bCs/>
          <w:color w:val="000000" w:themeColor="text1"/>
        </w:rPr>
      </w:pPr>
      <w:r w:rsidRPr="15DE5775">
        <w:rPr>
          <w:rFonts w:eastAsia="Verdana" w:cs="Verdana"/>
          <w:b/>
          <w:bCs/>
          <w:color w:val="000000" w:themeColor="text1"/>
        </w:rPr>
        <w:t xml:space="preserve">Gevolgen voor de businesscase van de windparken op zee in </w:t>
      </w:r>
      <w:proofErr w:type="spellStart"/>
      <w:r w:rsidRPr="15DE5775">
        <w:rPr>
          <w:rFonts w:eastAsia="Verdana" w:cs="Verdana"/>
          <w:b/>
          <w:bCs/>
          <w:color w:val="000000" w:themeColor="text1"/>
        </w:rPr>
        <w:t>Nederwiek</w:t>
      </w:r>
      <w:proofErr w:type="spellEnd"/>
      <w:r w:rsidRPr="15DE5775">
        <w:rPr>
          <w:rFonts w:eastAsia="Verdana" w:cs="Verdana"/>
          <w:b/>
          <w:bCs/>
          <w:color w:val="000000" w:themeColor="text1"/>
        </w:rPr>
        <w:t xml:space="preserve"> 3</w:t>
      </w:r>
    </w:p>
    <w:p w:rsidRPr="00A752CA" w:rsidR="00725013" w:rsidP="00725013" w:rsidRDefault="00725013" w14:paraId="4DB4316C" w14:textId="77777777">
      <w:pPr>
        <w:rPr>
          <w:rFonts w:eastAsia="Verdana" w:cs="Verdana"/>
        </w:rPr>
      </w:pPr>
      <w:r w:rsidRPr="00A752CA">
        <w:rPr>
          <w:rFonts w:eastAsia="Verdana" w:cs="Verdana"/>
        </w:rPr>
        <w:t xml:space="preserve">De Europese elektriciteitsmarkt is ingedeeld in biedzones, waarbinnen een uniforme prijs voor elektriciteit geldt. Nederland kent momenteel één biedzone. </w:t>
      </w:r>
      <w:r w:rsidRPr="00A752CA">
        <w:rPr>
          <w:rFonts w:eastAsia="Verdana" w:cs="Verdana"/>
          <w:color w:val="000000" w:themeColor="text1"/>
        </w:rPr>
        <w:t xml:space="preserve">Met het instellen van een nieuwe biedzone op zee wordt een tweede biedzone binnen Nederland gevormd, met een eigen prijsvorming. </w:t>
      </w:r>
    </w:p>
    <w:p w:rsidRPr="00A752CA" w:rsidR="00725013" w:rsidP="00725013" w:rsidRDefault="00725013" w14:paraId="14D8E01E" w14:textId="77777777">
      <w:pPr>
        <w:rPr>
          <w:rFonts w:eastAsia="Verdana" w:cs="Verdana"/>
          <w:color w:val="000000" w:themeColor="text1"/>
        </w:rPr>
      </w:pPr>
    </w:p>
    <w:p w:rsidR="00725013" w:rsidP="00725013" w:rsidRDefault="00725013" w14:paraId="5F1A973E" w14:textId="77777777">
      <w:r w:rsidRPr="00A752CA">
        <w:rPr>
          <w:rFonts w:eastAsia="Verdana" w:cs="Verdana"/>
          <w:color w:val="000000" w:themeColor="text1"/>
        </w:rPr>
        <w:t>De gemiddelde elektriciteitsprijs in de nieuwe biedzone zal naar verwachting op jaarbasis lager zijn dan de prijs in de reguliere Nederlandse biedzone.</w:t>
      </w:r>
      <w:r>
        <w:rPr>
          <w:rFonts w:eastAsia="Verdana" w:cs="Verdana"/>
          <w:color w:val="000000" w:themeColor="text1"/>
        </w:rPr>
        <w:t xml:space="preserve"> Dit komt doordat in de nieuwe biedzone geen vraag naar elektriciteit zal zijn.</w:t>
      </w:r>
      <w:r w:rsidRPr="00A752CA">
        <w:rPr>
          <w:rFonts w:eastAsia="Verdana" w:cs="Verdana"/>
          <w:color w:val="000000" w:themeColor="text1"/>
        </w:rPr>
        <w:t xml:space="preserve"> Als gevolg van de lagere elektriciteitsprijs zullen de toekomstige windparken in kavel </w:t>
      </w:r>
      <w:proofErr w:type="spellStart"/>
      <w:r w:rsidRPr="00A752CA">
        <w:rPr>
          <w:rFonts w:eastAsia="Verdana" w:cs="Verdana"/>
          <w:color w:val="000000" w:themeColor="text1"/>
        </w:rPr>
        <w:t>Nederwiek</w:t>
      </w:r>
      <w:proofErr w:type="spellEnd"/>
      <w:r w:rsidRPr="00A752CA">
        <w:rPr>
          <w:rFonts w:eastAsia="Verdana" w:cs="Verdana"/>
          <w:color w:val="000000" w:themeColor="text1"/>
        </w:rPr>
        <w:t xml:space="preserve"> 3 lagere opbrengsten genereren in vergelijking met windparken die onderdeel zijn van de Nederlandse biedzone.</w:t>
      </w:r>
      <w:r>
        <w:rPr>
          <w:rFonts w:eastAsia="Verdana" w:cs="Verdana"/>
          <w:color w:val="000000" w:themeColor="text1"/>
        </w:rPr>
        <w:t xml:space="preserve"> </w:t>
      </w:r>
      <w:r w:rsidRPr="00A752CA">
        <w:rPr>
          <w:rFonts w:eastAsia="Verdana" w:cs="Verdana"/>
          <w:color w:val="000000" w:themeColor="text1"/>
        </w:rPr>
        <w:t xml:space="preserve">Daarmee heeft het besluit tot instelling van een biedzone op zee een negatief effect op de businesscase van de windparken in de nieuwe biedzone. Dit kan leiden tot een additionele </w:t>
      </w:r>
      <w:bookmarkStart w:name="OLE_LINK1" w:id="1"/>
      <w:r w:rsidRPr="00A752CA">
        <w:rPr>
          <w:rFonts w:eastAsia="Verdana" w:cs="Verdana"/>
          <w:color w:val="000000" w:themeColor="text1"/>
        </w:rPr>
        <w:t xml:space="preserve">behoefte aan financiële steun </w:t>
      </w:r>
      <w:bookmarkEnd w:id="1"/>
      <w:r w:rsidRPr="00A752CA">
        <w:rPr>
          <w:rFonts w:eastAsia="Verdana" w:cs="Verdana"/>
          <w:color w:val="000000" w:themeColor="text1"/>
        </w:rPr>
        <w:t xml:space="preserve">voor deze windparken. </w:t>
      </w:r>
      <w:bookmarkStart w:name="OLE_LINK5" w:id="2"/>
      <w:r w:rsidRPr="00A752CA">
        <w:rPr>
          <w:rFonts w:eastAsia="Verdana" w:cs="Verdana"/>
          <w:color w:val="000000" w:themeColor="text1"/>
        </w:rPr>
        <w:t xml:space="preserve">Dit neemt niet weg dat de realisatie van </w:t>
      </w:r>
      <w:proofErr w:type="spellStart"/>
      <w:r w:rsidRPr="00A752CA">
        <w:rPr>
          <w:rFonts w:eastAsia="Verdana" w:cs="Verdana"/>
          <w:color w:val="000000" w:themeColor="text1"/>
        </w:rPr>
        <w:t>LionLink</w:t>
      </w:r>
      <w:proofErr w:type="spellEnd"/>
      <w:r w:rsidRPr="00A752CA">
        <w:rPr>
          <w:rFonts w:eastAsia="Verdana" w:cs="Verdana"/>
          <w:color w:val="000000" w:themeColor="text1"/>
        </w:rPr>
        <w:t xml:space="preserve">, inclusief het instellen van een nieuwe biedzone, maatschappelijk een substantieel positief resultaat oplevert. Het project genereert inkomsten voor </w:t>
      </w:r>
      <w:proofErr w:type="spellStart"/>
      <w:r w:rsidRPr="00A752CA">
        <w:rPr>
          <w:rFonts w:eastAsia="Verdana" w:cs="Verdana"/>
          <w:color w:val="000000" w:themeColor="text1"/>
        </w:rPr>
        <w:t>TenneT</w:t>
      </w:r>
      <w:proofErr w:type="spellEnd"/>
      <w:r w:rsidRPr="00A752CA">
        <w:rPr>
          <w:rFonts w:eastAsia="Verdana" w:cs="Verdana"/>
          <w:color w:val="000000" w:themeColor="text1"/>
        </w:rPr>
        <w:t xml:space="preserve"> die kunnen bijdragen aan lagere nettarieven en versterkt de leveringszekerheid van elektriciteit.</w:t>
      </w:r>
      <w:r w:rsidRPr="00A752CA">
        <w:t xml:space="preserve"> Doordat </w:t>
      </w:r>
      <w:proofErr w:type="spellStart"/>
      <w:r w:rsidRPr="00A752CA">
        <w:t>interconnectie</w:t>
      </w:r>
      <w:proofErr w:type="spellEnd"/>
      <w:r w:rsidRPr="00A752CA">
        <w:t xml:space="preserve"> wordt gecombineerd met de aanlanding van windenergie op zee, volstaat bovendien één aanlanding voor beide doeleinden. Dit beperkt de druk op schaarse ruimte voor aanlanding en verlaagt de investeringskosten voor </w:t>
      </w:r>
      <w:proofErr w:type="spellStart"/>
      <w:r w:rsidRPr="00A752CA">
        <w:t>TenneT</w:t>
      </w:r>
      <w:proofErr w:type="spellEnd"/>
      <w:r w:rsidRPr="00A752CA">
        <w:t xml:space="preserve"> in het net op zee.</w:t>
      </w:r>
      <w:r>
        <w:t xml:space="preserve"> </w:t>
      </w:r>
    </w:p>
    <w:bookmarkEnd w:id="2"/>
    <w:p w:rsidR="00725013" w:rsidP="00725013" w:rsidRDefault="00725013" w14:paraId="1A291625" w14:textId="77777777">
      <w:pPr>
        <w:rPr>
          <w:rFonts w:eastAsia="Verdana" w:cs="Verdana"/>
          <w:color w:val="000000" w:themeColor="text1"/>
          <w:szCs w:val="18"/>
        </w:rPr>
      </w:pPr>
    </w:p>
    <w:p w:rsidR="00725013" w:rsidP="00725013" w:rsidRDefault="00725013" w14:paraId="35433D25" w14:textId="53EDB7A0">
      <w:r>
        <w:t>Gelet op de huidige marktomstandigheden is een vorm van prijszekerheid nodig voor de ontwikkeling van windparken op zee</w:t>
      </w:r>
      <w:r>
        <w:rPr>
          <w:rStyle w:val="Voetnootmarkering"/>
        </w:rPr>
        <w:footnoteReference w:id="9"/>
      </w:r>
      <w:r>
        <w:t xml:space="preserve">. De verwachte uitgaven aan prijsondersteuning (subsidies) zullen afhankelijk zijn van de ontwikkeling van onder andere de elektriciteitsvraag- en prijzen. Het kabinet is voornemens de hierboven genoemde (additionele) subsidiebehoefte voor </w:t>
      </w:r>
      <w:proofErr w:type="spellStart"/>
      <w:r>
        <w:t>Nederwiek</w:t>
      </w:r>
      <w:proofErr w:type="spellEnd"/>
      <w:r>
        <w:t xml:space="preserve"> 3 te dekken binnen de reservering die voor de uitrol van windenergie op zee is getroffen in het coalitieakkoord.</w:t>
      </w:r>
      <w:r w:rsidR="005E6362">
        <w:t xml:space="preserve"> Daarmee kan dit een onvoorziene spanning leggen op de uitrol. Daarbij</w:t>
      </w:r>
      <w:r>
        <w:t xml:space="preserve"> geldt </w:t>
      </w:r>
      <w:r w:rsidR="005E6362">
        <w:t xml:space="preserve">wel </w:t>
      </w:r>
      <w:r>
        <w:t xml:space="preserve">dat deze reservering is gebaseerd op de huidige marktomstandigheden. Ontwikkelingen in de elektriciteitsvraag, de elektriciteitsprijzen en de productiekosten zullen de komende jaren nog van invloed zijn op de per GW benodigde middelen en het doelbereik van windenergie op zee. Het PBL zal voorafgaand aan de tender adviseren over het maximale indieningsbedrag, op basis waarvan het kabinet het benodigde verplichtingenbudget kan bepalen. Het kabinet verwacht eind dit jaar de nieuwe routekaart voor windenergie op zee te delen en zal dan ook verder ingaan op het doelbereik van windenergie op zee. </w:t>
      </w:r>
    </w:p>
    <w:p w:rsidR="00725013" w:rsidP="00725013" w:rsidRDefault="00725013" w14:paraId="6F8D74A7" w14:textId="77777777"/>
    <w:p w:rsidR="00725013" w:rsidP="00725013" w:rsidRDefault="00725013" w14:paraId="20C11E0F" w14:textId="77777777">
      <w:pPr>
        <w:rPr>
          <w:rFonts w:eastAsia="Verdana" w:cs="Verdana"/>
          <w:b/>
          <w:bCs/>
          <w:color w:val="000000" w:themeColor="text1"/>
        </w:rPr>
      </w:pPr>
      <w:r w:rsidRPr="66A45D47">
        <w:rPr>
          <w:rFonts w:eastAsia="Verdana" w:cs="Verdana"/>
          <w:b/>
          <w:bCs/>
          <w:color w:val="000000" w:themeColor="text1"/>
        </w:rPr>
        <w:t>Vervolgstappen</w:t>
      </w:r>
    </w:p>
    <w:p w:rsidRPr="00FF24CA" w:rsidR="00725013" w:rsidP="00725013" w:rsidRDefault="00725013" w14:paraId="2BAAF4CD" w14:textId="77777777">
      <w:pPr>
        <w:rPr>
          <w:rFonts w:eastAsia="Verdana" w:cs="Verdana"/>
          <w:color w:val="000000" w:themeColor="text1"/>
        </w:rPr>
      </w:pPr>
      <w:r w:rsidRPr="15DE5775">
        <w:rPr>
          <w:rFonts w:eastAsia="Verdana" w:cs="Verdana"/>
          <w:color w:val="000000" w:themeColor="text1"/>
        </w:rPr>
        <w:t xml:space="preserve">In overeenstemming met de Europese regelgeving zal het besluit worden gemeld aan de Europese Commissie, het EU-Agentschap ACER en de relevante </w:t>
      </w:r>
      <w:r>
        <w:rPr>
          <w:rFonts w:eastAsia="Verdana" w:cs="Verdana"/>
          <w:color w:val="000000" w:themeColor="text1"/>
        </w:rPr>
        <w:t>EU-</w:t>
      </w:r>
      <w:r w:rsidRPr="15DE5775">
        <w:rPr>
          <w:rFonts w:eastAsia="Verdana" w:cs="Verdana"/>
          <w:color w:val="000000" w:themeColor="text1"/>
        </w:rPr>
        <w:t>lidstaten.</w:t>
      </w:r>
    </w:p>
    <w:p w:rsidR="00725013" w:rsidP="00725013" w:rsidRDefault="00725013" w14:paraId="587E1DA9" w14:textId="77777777">
      <w:pPr>
        <w:rPr>
          <w:rFonts w:eastAsia="Verdana" w:cs="Verdana"/>
          <w:color w:val="000000" w:themeColor="text1"/>
          <w:szCs w:val="18"/>
          <w:highlight w:val="yellow"/>
        </w:rPr>
      </w:pPr>
    </w:p>
    <w:p w:rsidR="00725013" w:rsidP="00725013" w:rsidRDefault="00725013" w14:paraId="7944B748" w14:textId="77777777">
      <w:pPr>
        <w:rPr>
          <w:rFonts w:eastAsia="Verdana" w:cs="Verdana"/>
        </w:rPr>
      </w:pPr>
      <w:r w:rsidRPr="48D9C0D8">
        <w:rPr>
          <w:rFonts w:eastAsia="Verdana" w:cs="Verdana"/>
          <w:color w:val="000000" w:themeColor="text1"/>
        </w:rPr>
        <w:t xml:space="preserve">Het kabinet vindt tijdige duidelijkheid voorafgaand aan de tender voor de windparken in kavel </w:t>
      </w:r>
      <w:proofErr w:type="spellStart"/>
      <w:r w:rsidRPr="48D9C0D8">
        <w:rPr>
          <w:rFonts w:eastAsia="Verdana" w:cs="Verdana"/>
          <w:color w:val="000000" w:themeColor="text1"/>
        </w:rPr>
        <w:t>Nederwiek</w:t>
      </w:r>
      <w:proofErr w:type="spellEnd"/>
      <w:r w:rsidRPr="48D9C0D8">
        <w:rPr>
          <w:rFonts w:eastAsia="Verdana" w:cs="Verdana"/>
          <w:color w:val="000000" w:themeColor="text1"/>
        </w:rPr>
        <w:t xml:space="preserve"> 3 belangrijk en is mede daarom vroegtijdig gestart met het proces voor het instellen van deze nieuwe biedzone op zee. Het kabinet hecht waarde aan de constructieve gesprekken die tot op heden met de sector zijn gevoerd en staat open voor het voortzetten van deze dialoog over de efficiënte inrichting van de toekomstige markt op zee.</w:t>
      </w:r>
    </w:p>
    <w:p w:rsidR="00725013" w:rsidP="00725013" w:rsidRDefault="00725013" w14:paraId="5C382BA8" w14:textId="77777777">
      <w:pPr>
        <w:rPr>
          <w:rFonts w:eastAsia="Verdana" w:cs="Verdana"/>
        </w:rPr>
      </w:pPr>
    </w:p>
    <w:p w:rsidR="00E3121B" w:rsidP="00725013" w:rsidRDefault="00E3121B" w14:paraId="1FF38817" w14:textId="77777777"/>
    <w:p w:rsidR="00725013" w:rsidP="00725013" w:rsidRDefault="00725013" w14:paraId="14840D9D" w14:textId="77777777">
      <w:pPr>
        <w:rPr>
          <w:szCs w:val="18"/>
        </w:rPr>
      </w:pPr>
      <w:proofErr w:type="spellStart"/>
      <w:r>
        <w:rPr>
          <w:szCs w:val="18"/>
        </w:rPr>
        <w:t>Stientje</w:t>
      </w:r>
      <w:proofErr w:type="spellEnd"/>
      <w:r>
        <w:rPr>
          <w:szCs w:val="18"/>
        </w:rPr>
        <w:t xml:space="preserve"> van </w:t>
      </w:r>
      <w:r w:rsidRPr="00695B19">
        <w:rPr>
          <w:szCs w:val="18"/>
        </w:rPr>
        <w:t>Veldhoven-van der Meer</w:t>
      </w:r>
    </w:p>
    <w:p w:rsidRPr="00E3121B" w:rsidR="00D05F90" w:rsidP="00725013" w:rsidRDefault="00725013" w14:paraId="3A39ABD7" w14:textId="48FDBBB9">
      <w:pPr>
        <w:rPr>
          <w:szCs w:val="18"/>
        </w:rPr>
      </w:pPr>
      <w:r>
        <w:rPr>
          <w:szCs w:val="18"/>
        </w:rPr>
        <w:t>Minister van Klimaat en Groene Groe</w:t>
      </w:r>
      <w:r w:rsidR="00E3121B">
        <w:rPr>
          <w:szCs w:val="18"/>
        </w:rPr>
        <w:t>i</w:t>
      </w:r>
    </w:p>
    <w:sectPr w:rsidRPr="00E3121B" w:rsidR="00D05F90" w:rsidSect="00D604B3">
      <w:headerReference w:type="default"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32243E" w14:textId="77777777" w:rsidR="00701CF0" w:rsidRDefault="00701CF0">
      <w:r>
        <w:separator/>
      </w:r>
    </w:p>
    <w:p w14:paraId="29A51D51" w14:textId="77777777" w:rsidR="00701CF0" w:rsidRDefault="00701CF0"/>
  </w:endnote>
  <w:endnote w:type="continuationSeparator" w:id="0">
    <w:p w14:paraId="6042245D" w14:textId="77777777" w:rsidR="00701CF0" w:rsidRDefault="00701CF0">
      <w:r>
        <w:continuationSeparator/>
      </w:r>
    </w:p>
    <w:p w14:paraId="6479E437" w14:textId="77777777" w:rsidR="00701CF0" w:rsidRDefault="00701C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CE669"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6E027B" w14:paraId="14912C44" w14:textId="77777777" w:rsidTr="00CA6A25">
      <w:trPr>
        <w:trHeight w:hRule="exact" w:val="240"/>
      </w:trPr>
      <w:tc>
        <w:tcPr>
          <w:tcW w:w="7601" w:type="dxa"/>
        </w:tcPr>
        <w:p w14:paraId="4FC03F08" w14:textId="77777777" w:rsidR="00527BD4" w:rsidRDefault="00527BD4" w:rsidP="003F1F6B">
          <w:pPr>
            <w:pStyle w:val="Huisstijl-Rubricering"/>
          </w:pPr>
        </w:p>
      </w:tc>
      <w:tc>
        <w:tcPr>
          <w:tcW w:w="2156" w:type="dxa"/>
        </w:tcPr>
        <w:p w14:paraId="1D3EFD89" w14:textId="05A10B69" w:rsidR="00527BD4" w:rsidRPr="00645414" w:rsidRDefault="00701CF0"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4425CC">
            <w:fldChar w:fldCharType="begin"/>
          </w:r>
          <w:r>
            <w:instrText xml:space="preserve"> SECTIONPAGES   \* MERGEFORMAT </w:instrText>
          </w:r>
          <w:r w:rsidR="004425CC">
            <w:fldChar w:fldCharType="separate"/>
          </w:r>
          <w:r w:rsidR="006544A8">
            <w:t>4</w:t>
          </w:r>
          <w:r w:rsidR="004425CC">
            <w:fldChar w:fldCharType="end"/>
          </w:r>
        </w:p>
      </w:tc>
    </w:tr>
  </w:tbl>
  <w:p w14:paraId="205BE8B9"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6E027B" w14:paraId="7DD142A4" w14:textId="77777777" w:rsidTr="00CA6A25">
      <w:trPr>
        <w:trHeight w:hRule="exact" w:val="240"/>
      </w:trPr>
      <w:tc>
        <w:tcPr>
          <w:tcW w:w="7601" w:type="dxa"/>
        </w:tcPr>
        <w:p w14:paraId="74A1D51E" w14:textId="77777777" w:rsidR="00527BD4" w:rsidRDefault="00527BD4" w:rsidP="008C356D">
          <w:pPr>
            <w:pStyle w:val="Huisstijl-Rubricering"/>
          </w:pPr>
        </w:p>
      </w:tc>
      <w:tc>
        <w:tcPr>
          <w:tcW w:w="2170" w:type="dxa"/>
        </w:tcPr>
        <w:p w14:paraId="7F79C6EC" w14:textId="610DD9B6" w:rsidR="00527BD4" w:rsidRPr="00ED539E" w:rsidRDefault="00701CF0"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7F77A7">
            <w:fldChar w:fldCharType="begin"/>
          </w:r>
          <w:r>
            <w:instrText xml:space="preserve"> SECTIONPAGES   \* MERGEFORMAT </w:instrText>
          </w:r>
          <w:r w:rsidR="007F77A7">
            <w:fldChar w:fldCharType="separate"/>
          </w:r>
          <w:r w:rsidR="00533FF3">
            <w:t>4</w:t>
          </w:r>
          <w:r w:rsidR="007F77A7">
            <w:fldChar w:fldCharType="end"/>
          </w:r>
        </w:p>
      </w:tc>
    </w:tr>
  </w:tbl>
  <w:p w14:paraId="5FF697F8" w14:textId="77777777" w:rsidR="00527BD4" w:rsidRPr="00BC3B53" w:rsidRDefault="00527BD4" w:rsidP="008C356D">
    <w:pPr>
      <w:pStyle w:val="Voettekst"/>
      <w:spacing w:line="240" w:lineRule="auto"/>
      <w:rPr>
        <w:sz w:val="2"/>
        <w:szCs w:val="2"/>
      </w:rPr>
    </w:pPr>
  </w:p>
  <w:p w14:paraId="1230F1D1"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0D8CF2" w14:textId="77777777" w:rsidR="00701CF0" w:rsidRDefault="00701CF0">
      <w:r>
        <w:separator/>
      </w:r>
    </w:p>
    <w:p w14:paraId="02E5127C" w14:textId="77777777" w:rsidR="00701CF0" w:rsidRDefault="00701CF0"/>
  </w:footnote>
  <w:footnote w:type="continuationSeparator" w:id="0">
    <w:p w14:paraId="6AC3A254" w14:textId="77777777" w:rsidR="00701CF0" w:rsidRDefault="00701CF0">
      <w:r>
        <w:continuationSeparator/>
      </w:r>
    </w:p>
    <w:p w14:paraId="6E375E48" w14:textId="77777777" w:rsidR="00701CF0" w:rsidRDefault="00701CF0"/>
  </w:footnote>
  <w:footnote w:id="1">
    <w:p w14:paraId="2A5754EF" w14:textId="70D5B0BE" w:rsidR="00C27B0B" w:rsidRDefault="00C27B0B">
      <w:pPr>
        <w:pStyle w:val="Voetnoottekst"/>
      </w:pPr>
      <w:r>
        <w:rPr>
          <w:rStyle w:val="Voetnootmarkering"/>
        </w:rPr>
        <w:footnoteRef/>
      </w:r>
      <w:r>
        <w:t xml:space="preserve"> </w:t>
      </w:r>
      <w:r w:rsidRPr="002C5844">
        <w:rPr>
          <w:rFonts w:eastAsia="Verdana" w:cs="Verdana"/>
        </w:rPr>
        <w:t>Kamerstukken II, 2025/26, 36800 – XXIII</w:t>
      </w:r>
      <w:r>
        <w:rPr>
          <w:rFonts w:eastAsia="Verdana" w:cs="Verdana"/>
        </w:rPr>
        <w:t>, nr. 49</w:t>
      </w:r>
    </w:p>
  </w:footnote>
  <w:footnote w:id="2">
    <w:p w14:paraId="05655BD8" w14:textId="77777777" w:rsidR="00725013" w:rsidRDefault="00725013" w:rsidP="00725013">
      <w:pPr>
        <w:pStyle w:val="Voetnoottekst"/>
      </w:pPr>
      <w:r>
        <w:rPr>
          <w:rStyle w:val="Voetnootmarkering"/>
        </w:rPr>
        <w:footnoteRef/>
      </w:r>
      <w:r>
        <w:t xml:space="preserve"> </w:t>
      </w:r>
      <w:hyperlink r:id="rId1" w:history="1">
        <w:r w:rsidRPr="00992362">
          <w:rPr>
            <w:rStyle w:val="Hyperlink"/>
          </w:rPr>
          <w:t>Het Windenergie Infrastructuurplan Noordzee | Rapport | Rijksoverheid.nl</w:t>
        </w:r>
      </w:hyperlink>
    </w:p>
  </w:footnote>
  <w:footnote w:id="3">
    <w:p w14:paraId="1C812A50" w14:textId="77777777" w:rsidR="00725013" w:rsidRDefault="00725013" w:rsidP="00725013">
      <w:pPr>
        <w:pStyle w:val="Voetnoottekst"/>
      </w:pPr>
      <w:r>
        <w:rPr>
          <w:rStyle w:val="Voetnootmarkering"/>
        </w:rPr>
        <w:footnoteRef/>
      </w:r>
      <w:r>
        <w:t xml:space="preserve"> </w:t>
      </w:r>
      <w:hyperlink r:id="rId2" w:history="1">
        <w:r w:rsidRPr="00992362">
          <w:rPr>
            <w:rStyle w:val="Hyperlink"/>
          </w:rPr>
          <w:t>Het Windenergie Infrastructuurplan Noordzee | Rapport | Rijksoverheid.nl</w:t>
        </w:r>
      </w:hyperlink>
    </w:p>
  </w:footnote>
  <w:footnote w:id="4">
    <w:p w14:paraId="2241056C" w14:textId="77777777" w:rsidR="00725013" w:rsidRPr="00833347" w:rsidRDefault="00725013" w:rsidP="00725013">
      <w:pPr>
        <w:pStyle w:val="Voetnoottekst"/>
      </w:pPr>
      <w:r>
        <w:rPr>
          <w:rStyle w:val="Voetnootmarkering"/>
        </w:rPr>
        <w:footnoteRef/>
      </w:r>
      <w:r>
        <w:t xml:space="preserve"> </w:t>
      </w:r>
      <w:hyperlink r:id="rId3" w:history="1">
        <w:r w:rsidRPr="004D756B">
          <w:rPr>
            <w:rStyle w:val="Hyperlink"/>
          </w:rPr>
          <w:t>https://eur-lex.europa.eu/legal-content/EN/TXT/PDF/?uri=CELEX:52020DC0741</w:t>
        </w:r>
      </w:hyperlink>
    </w:p>
  </w:footnote>
  <w:footnote w:id="5">
    <w:p w14:paraId="3379C937" w14:textId="77777777" w:rsidR="00725013" w:rsidRPr="00833347" w:rsidRDefault="00725013" w:rsidP="00725013">
      <w:pPr>
        <w:pStyle w:val="Voetnoottekst"/>
      </w:pPr>
      <w:r>
        <w:rPr>
          <w:rStyle w:val="Voetnootmarkering"/>
        </w:rPr>
        <w:footnoteRef/>
      </w:r>
      <w:r w:rsidRPr="00833347">
        <w:t xml:space="preserve"> </w:t>
      </w:r>
      <w:hyperlink r:id="rId4" w:history="1">
        <w:r w:rsidRPr="00833347">
          <w:rPr>
            <w:rStyle w:val="Hyperlink"/>
          </w:rPr>
          <w:t>EUR-Lex - 52020SC0273 - EN - EUR-Lex</w:t>
        </w:r>
      </w:hyperlink>
    </w:p>
  </w:footnote>
  <w:footnote w:id="6">
    <w:p w14:paraId="622919AC" w14:textId="77777777" w:rsidR="00725013" w:rsidRDefault="00725013" w:rsidP="00725013">
      <w:pPr>
        <w:pStyle w:val="Voetnoottekst"/>
      </w:pPr>
      <w:r>
        <w:rPr>
          <w:rStyle w:val="Voetnootmarkering"/>
        </w:rPr>
        <w:footnoteRef/>
      </w:r>
      <w:r>
        <w:t xml:space="preserve"> Een biedzone is een </w:t>
      </w:r>
      <w:r w:rsidRPr="48D9C0D8">
        <w:rPr>
          <w:rFonts w:eastAsia="Verdana" w:cs="Verdana"/>
        </w:rPr>
        <w:t>geografisch gebied met een uniforme groothandelsprijs voor elektriciteit per tijdseenheid</w:t>
      </w:r>
      <w:r>
        <w:rPr>
          <w:rFonts w:eastAsia="Verdana" w:cs="Verdana"/>
        </w:rPr>
        <w:t>.</w:t>
      </w:r>
    </w:p>
  </w:footnote>
  <w:footnote w:id="7">
    <w:p w14:paraId="5DCABB64" w14:textId="77777777" w:rsidR="00725013" w:rsidRPr="00833347" w:rsidRDefault="00725013" w:rsidP="00725013">
      <w:pPr>
        <w:pStyle w:val="Voetnoottekst"/>
      </w:pPr>
      <w:r>
        <w:rPr>
          <w:rStyle w:val="Voetnootmarkering"/>
        </w:rPr>
        <w:footnoteRef/>
      </w:r>
      <w:r w:rsidRPr="00833347">
        <w:t xml:space="preserve"> </w:t>
      </w:r>
      <w:hyperlink r:id="rId5" w:history="1">
        <w:proofErr w:type="spellStart"/>
        <w:r w:rsidRPr="005E2ED3">
          <w:rPr>
            <w:rStyle w:val="Hyperlink"/>
          </w:rPr>
          <w:t>Structural</w:t>
        </w:r>
        <w:proofErr w:type="spellEnd"/>
        <w:r w:rsidRPr="005E2ED3">
          <w:rPr>
            <w:rStyle w:val="Hyperlink"/>
          </w:rPr>
          <w:t xml:space="preserve"> </w:t>
        </w:r>
        <w:proofErr w:type="spellStart"/>
        <w:r w:rsidRPr="005E2ED3">
          <w:rPr>
            <w:rStyle w:val="Hyperlink"/>
          </w:rPr>
          <w:t>Congestion</w:t>
        </w:r>
        <w:proofErr w:type="spellEnd"/>
        <w:r w:rsidRPr="005E2ED3">
          <w:rPr>
            <w:rStyle w:val="Hyperlink"/>
          </w:rPr>
          <w:t xml:space="preserve"> Report</w:t>
        </w:r>
      </w:hyperlink>
    </w:p>
  </w:footnote>
  <w:footnote w:id="8">
    <w:p w14:paraId="4583D859" w14:textId="77777777" w:rsidR="00725013" w:rsidRDefault="00725013" w:rsidP="00725013">
      <w:pPr>
        <w:pStyle w:val="Voetnoottekst"/>
      </w:pPr>
      <w:r>
        <w:rPr>
          <w:rStyle w:val="Voetnootmarkering"/>
        </w:rPr>
        <w:footnoteRef/>
      </w:r>
      <w:r>
        <w:t xml:space="preserve"> </w:t>
      </w:r>
      <w:hyperlink r:id="rId6" w:history="1">
        <w:r w:rsidRPr="000635C8">
          <w:rPr>
            <w:rStyle w:val="Hyperlink"/>
          </w:rPr>
          <w:t xml:space="preserve">Goedkeuring structurele congestierapport </w:t>
        </w:r>
        <w:proofErr w:type="spellStart"/>
        <w:r w:rsidRPr="000635C8">
          <w:rPr>
            <w:rStyle w:val="Hyperlink"/>
          </w:rPr>
          <w:t>TenneT</w:t>
        </w:r>
        <w:proofErr w:type="spellEnd"/>
        <w:r w:rsidRPr="000635C8">
          <w:rPr>
            <w:rStyle w:val="Hyperlink"/>
          </w:rPr>
          <w:t xml:space="preserve"> over </w:t>
        </w:r>
        <w:proofErr w:type="spellStart"/>
        <w:r w:rsidRPr="000635C8">
          <w:rPr>
            <w:rStyle w:val="Hyperlink"/>
          </w:rPr>
          <w:t>LionLink</w:t>
        </w:r>
        <w:proofErr w:type="spellEnd"/>
        <w:r w:rsidRPr="000635C8">
          <w:rPr>
            <w:rStyle w:val="Hyperlink"/>
          </w:rPr>
          <w:t xml:space="preserve"> | ACM</w:t>
        </w:r>
      </w:hyperlink>
    </w:p>
  </w:footnote>
  <w:footnote w:id="9">
    <w:p w14:paraId="6E0FB32F" w14:textId="77777777" w:rsidR="00725013" w:rsidRDefault="00725013" w:rsidP="00725013">
      <w:pPr>
        <w:pStyle w:val="Voetnoottekst"/>
      </w:pPr>
      <w:r>
        <w:rPr>
          <w:rStyle w:val="Voetnootmarkering"/>
        </w:rPr>
        <w:footnoteRef/>
      </w:r>
      <w:r>
        <w:t xml:space="preserve"> </w:t>
      </w:r>
      <w:hyperlink r:id="rId7" w:history="1">
        <w:r w:rsidRPr="00EF2A3D">
          <w:rPr>
            <w:rStyle w:val="Hyperlink"/>
          </w:rPr>
          <w:t>Actieplan windenergie op zee | Rapport | Rijksoverheid.nl</w:t>
        </w:r>
      </w:hyperlink>
      <w:r w:rsidRPr="00EF2A3D">
        <w:t xml:space="preserve"> en </w:t>
      </w:r>
      <w:hyperlink r:id="rId8" w:history="1">
        <w:r w:rsidRPr="00EF2A3D">
          <w:rPr>
            <w:rStyle w:val="Hyperlink"/>
          </w:rPr>
          <w:t>Kamerbrief over subsidietender voor 1 GW windenergie op zee in 2026 | Kamerstuk | Rijksoverheid.nl</w:t>
        </w:r>
      </w:hyperlink>
      <w:r w:rsidRPr="00EF2A3D">
        <w:t>.</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6E027B" w14:paraId="150518C8" w14:textId="77777777" w:rsidTr="00A50CF6">
      <w:tc>
        <w:tcPr>
          <w:tcW w:w="2156" w:type="dxa"/>
        </w:tcPr>
        <w:p w14:paraId="636E2EC5" w14:textId="77777777" w:rsidR="00527BD4" w:rsidRPr="005819CE" w:rsidRDefault="00701CF0" w:rsidP="00A50CF6">
          <w:pPr>
            <w:pStyle w:val="Huisstijl-Adres"/>
            <w:rPr>
              <w:b/>
            </w:rPr>
          </w:pPr>
          <w:r>
            <w:rPr>
              <w:b/>
            </w:rPr>
            <w:t>Directoraat-generaal Klimaat en Energie</w:t>
          </w:r>
          <w:r w:rsidRPr="005819CE">
            <w:rPr>
              <w:b/>
            </w:rPr>
            <w:br/>
          </w:r>
        </w:p>
      </w:tc>
    </w:tr>
    <w:tr w:rsidR="006E027B" w14:paraId="7A98C09B" w14:textId="77777777" w:rsidTr="00A50CF6">
      <w:trPr>
        <w:trHeight w:hRule="exact" w:val="200"/>
      </w:trPr>
      <w:tc>
        <w:tcPr>
          <w:tcW w:w="2156" w:type="dxa"/>
        </w:tcPr>
        <w:p w14:paraId="7F9462A1" w14:textId="77777777" w:rsidR="00527BD4" w:rsidRPr="005819CE" w:rsidRDefault="00527BD4" w:rsidP="00A50CF6"/>
      </w:tc>
    </w:tr>
    <w:tr w:rsidR="006E027B" w14:paraId="1A029CBB" w14:textId="77777777" w:rsidTr="00502512">
      <w:trPr>
        <w:trHeight w:hRule="exact" w:val="774"/>
      </w:trPr>
      <w:tc>
        <w:tcPr>
          <w:tcW w:w="2156" w:type="dxa"/>
        </w:tcPr>
        <w:p w14:paraId="5121FFE8" w14:textId="77777777" w:rsidR="00527BD4" w:rsidRDefault="00701CF0" w:rsidP="003A5290">
          <w:pPr>
            <w:pStyle w:val="Huisstijl-Kopje"/>
          </w:pPr>
          <w:r>
            <w:t>Ons kenmerk</w:t>
          </w:r>
        </w:p>
        <w:p w14:paraId="20633C07" w14:textId="77777777" w:rsidR="00527BD4" w:rsidRPr="005819CE" w:rsidRDefault="00701CF0" w:rsidP="004425CC">
          <w:pPr>
            <w:pStyle w:val="Huisstijl-Kopje"/>
          </w:pPr>
          <w:r>
            <w:rPr>
              <w:b w:val="0"/>
            </w:rPr>
            <w:t>KGG_DGKE</w:t>
          </w:r>
          <w:r w:rsidRPr="00502512">
            <w:rPr>
              <w:b w:val="0"/>
            </w:rPr>
            <w:t xml:space="preserve"> / </w:t>
          </w:r>
          <w:r>
            <w:rPr>
              <w:b w:val="0"/>
            </w:rPr>
            <w:t>104368147</w:t>
          </w:r>
        </w:p>
      </w:tc>
    </w:tr>
  </w:tbl>
  <w:p w14:paraId="714370A5" w14:textId="77777777" w:rsidR="00527BD4" w:rsidRDefault="00527BD4" w:rsidP="008C356D">
    <w:pPr>
      <w:pStyle w:val="Koptekst"/>
      <w:rPr>
        <w:rFonts w:cs="Verdana-Bold"/>
        <w:b/>
        <w:bCs/>
        <w:smallCaps/>
        <w:szCs w:val="18"/>
      </w:rPr>
    </w:pPr>
  </w:p>
  <w:p w14:paraId="43456B6B" w14:textId="77777777" w:rsidR="00527BD4" w:rsidRDefault="00527BD4" w:rsidP="008C356D"/>
  <w:p w14:paraId="5936BCEA" w14:textId="77777777" w:rsidR="00527BD4" w:rsidRPr="00740712" w:rsidRDefault="00527BD4" w:rsidP="008C356D"/>
  <w:p w14:paraId="23FA3D11" w14:textId="77777777" w:rsidR="00527BD4" w:rsidRPr="00217880" w:rsidRDefault="00527BD4" w:rsidP="008C356D">
    <w:pPr>
      <w:spacing w:line="0" w:lineRule="atLeast"/>
      <w:rPr>
        <w:sz w:val="2"/>
        <w:szCs w:val="2"/>
      </w:rPr>
    </w:pPr>
  </w:p>
  <w:p w14:paraId="520589C5" w14:textId="77777777" w:rsidR="00527BD4" w:rsidRDefault="00527BD4" w:rsidP="004F44C2">
    <w:pPr>
      <w:pStyle w:val="Koptekst"/>
      <w:rPr>
        <w:rFonts w:cs="Verdana-Bold"/>
        <w:b/>
        <w:bCs/>
        <w:smallCaps/>
        <w:szCs w:val="18"/>
      </w:rPr>
    </w:pPr>
  </w:p>
  <w:p w14:paraId="3983272E" w14:textId="77777777" w:rsidR="00527BD4" w:rsidRDefault="00527BD4" w:rsidP="004F44C2"/>
  <w:p w14:paraId="7782D6AA" w14:textId="77777777" w:rsidR="00527BD4" w:rsidRPr="00740712" w:rsidRDefault="00527BD4" w:rsidP="004F44C2"/>
  <w:p w14:paraId="7172387B"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6E027B" w14:paraId="1791DF24" w14:textId="77777777" w:rsidTr="00751A6A">
      <w:trPr>
        <w:trHeight w:val="2636"/>
      </w:trPr>
      <w:tc>
        <w:tcPr>
          <w:tcW w:w="737" w:type="dxa"/>
        </w:tcPr>
        <w:p w14:paraId="5626AE87" w14:textId="77777777" w:rsidR="00527BD4" w:rsidRDefault="00527BD4" w:rsidP="00D0609E">
          <w:pPr>
            <w:framePr w:w="6340" w:h="2750" w:hRule="exact" w:hSpace="180" w:wrap="around" w:vAnchor="page" w:hAnchor="text" w:x="3873" w:y="-140"/>
            <w:spacing w:line="240" w:lineRule="auto"/>
          </w:pPr>
        </w:p>
      </w:tc>
      <w:tc>
        <w:tcPr>
          <w:tcW w:w="5156" w:type="dxa"/>
        </w:tcPr>
        <w:p w14:paraId="2502439E" w14:textId="77777777" w:rsidR="00527BD4" w:rsidRDefault="00701CF0" w:rsidP="00651CEE">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11684171" wp14:editId="67A359AD">
                <wp:extent cx="2343600" cy="1580400"/>
                <wp:effectExtent l="0" t="0" r="0" b="1270"/>
                <wp:docPr id="1" name="Afbeelding 1" descr="Afbeelding met tekst, Lettertype, schermopname, wi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Lettertype, schermopname, wit&#10;&#10;Door AI gegenereerde inhoud is mogelijk onjuist."/>
                        <pic:cNvPicPr>
                          <a:picLocks noChangeAspect="1" noChangeArrowheads="1"/>
                        </pic:cNvPicPr>
                      </pic:nvPicPr>
                      <pic:blipFill>
                        <a:blip r:embed="rId1" r:link="rId2" cstate="print">
                          <a:extLst>
                            <a:ext uri="{28A0092B-C50C-407E-A947-70E740481C1C}">
                              <a14:useLocalDpi xmlns:a14="http://schemas.microsoft.com/office/drawing/2010/main" val="0"/>
                            </a:ext>
                          </a:extLst>
                        </a:blip>
                        <a:stretch>
                          <a:fillRect/>
                        </a:stretch>
                      </pic:blipFill>
                      <pic:spPr bwMode="auto">
                        <a:xfrm>
                          <a:off x="0" y="0"/>
                          <a:ext cx="2343600" cy="1580400"/>
                        </a:xfrm>
                        <a:prstGeom prst="rect">
                          <a:avLst/>
                        </a:prstGeom>
                        <a:noFill/>
                        <a:ln>
                          <a:noFill/>
                        </a:ln>
                      </pic:spPr>
                    </pic:pic>
                  </a:graphicData>
                </a:graphic>
              </wp:inline>
            </w:drawing>
          </w:r>
        </w:p>
        <w:p w14:paraId="62E8C9C8" w14:textId="77777777" w:rsidR="007269E3" w:rsidRDefault="007269E3" w:rsidP="00651CEE">
          <w:pPr>
            <w:framePr w:w="6340" w:h="2750" w:hRule="exact" w:hSpace="180" w:wrap="around" w:vAnchor="page" w:hAnchor="text" w:x="3873" w:y="-140"/>
            <w:spacing w:line="240" w:lineRule="auto"/>
          </w:pPr>
        </w:p>
      </w:tc>
    </w:tr>
  </w:tbl>
  <w:p w14:paraId="522A279E" w14:textId="77777777" w:rsidR="00527BD4" w:rsidRDefault="00527BD4" w:rsidP="00D0609E">
    <w:pPr>
      <w:framePr w:w="6340" w:h="2750" w:hRule="exact" w:hSpace="180" w:wrap="around" w:vAnchor="page" w:hAnchor="text" w:x="3873" w:y="-140"/>
    </w:pPr>
  </w:p>
  <w:p w14:paraId="363EB370"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6E027B" w:rsidRPr="00237D9A" w14:paraId="51DFB18D" w14:textId="77777777" w:rsidTr="00A50CF6">
      <w:tc>
        <w:tcPr>
          <w:tcW w:w="2160" w:type="dxa"/>
        </w:tcPr>
        <w:p w14:paraId="1E769DC4" w14:textId="1B331733" w:rsidR="00527BD4" w:rsidRPr="003B228C" w:rsidRDefault="00701CF0" w:rsidP="00A50CF6">
          <w:pPr>
            <w:pStyle w:val="Huisstijl-Adres"/>
            <w:rPr>
              <w:bCs/>
            </w:rPr>
          </w:pPr>
          <w:r>
            <w:rPr>
              <w:b/>
            </w:rPr>
            <w:t>Directoraat-generaal Klimaat en Energie</w:t>
          </w:r>
          <w:r w:rsidRPr="005819CE">
            <w:rPr>
              <w:b/>
            </w:rPr>
            <w:br/>
          </w:r>
          <w:r w:rsidR="003B228C">
            <w:rPr>
              <w:bCs/>
            </w:rPr>
            <w:t>Directie Energiemarkt</w:t>
          </w:r>
        </w:p>
        <w:p w14:paraId="478F2605" w14:textId="77777777" w:rsidR="00527BD4" w:rsidRPr="00BE5ED9" w:rsidRDefault="00701CF0" w:rsidP="00A50CF6">
          <w:pPr>
            <w:pStyle w:val="Huisstijl-Adres"/>
          </w:pPr>
          <w:r>
            <w:rPr>
              <w:b/>
            </w:rPr>
            <w:t>Bezoekadres</w:t>
          </w:r>
          <w:r>
            <w:rPr>
              <w:b/>
            </w:rPr>
            <w:br/>
          </w:r>
          <w:r>
            <w:t>Bezuidenhoutseweg 73</w:t>
          </w:r>
          <w:r w:rsidRPr="005819CE">
            <w:br/>
          </w:r>
          <w:r>
            <w:t>2594 AC Den Haag</w:t>
          </w:r>
        </w:p>
        <w:p w14:paraId="59B26209" w14:textId="77777777" w:rsidR="00EF495B" w:rsidRDefault="00701CF0" w:rsidP="0098788A">
          <w:pPr>
            <w:pStyle w:val="Huisstijl-Adres"/>
          </w:pPr>
          <w:r>
            <w:rPr>
              <w:b/>
            </w:rPr>
            <w:t>Postadres</w:t>
          </w:r>
          <w:r>
            <w:rPr>
              <w:b/>
            </w:rPr>
            <w:br/>
          </w:r>
          <w:r>
            <w:t>Postbus 20401</w:t>
          </w:r>
          <w:r w:rsidRPr="005819CE">
            <w:br/>
            <w:t>2500 E</w:t>
          </w:r>
          <w:r>
            <w:t>K</w:t>
          </w:r>
          <w:r w:rsidRPr="005819CE">
            <w:t xml:space="preserve"> Den Haag</w:t>
          </w:r>
        </w:p>
        <w:p w14:paraId="2B67D367" w14:textId="77777777" w:rsidR="00EF495B" w:rsidRPr="005B3814" w:rsidRDefault="00701CF0" w:rsidP="0098788A">
          <w:pPr>
            <w:pStyle w:val="Huisstijl-Adres"/>
          </w:pPr>
          <w:r>
            <w:rPr>
              <w:b/>
            </w:rPr>
            <w:t>Overheidsidentificatienr</w:t>
          </w:r>
          <w:r>
            <w:rPr>
              <w:b/>
            </w:rPr>
            <w:br/>
          </w:r>
          <w:r w:rsidRPr="005B3814">
            <w:t>00000001003214369000</w:t>
          </w:r>
        </w:p>
        <w:p w14:paraId="3A906E2E" w14:textId="530D8029" w:rsidR="00527BD4" w:rsidRPr="00B804D0" w:rsidRDefault="00701CF0"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w:t>
          </w:r>
        </w:p>
      </w:tc>
    </w:tr>
    <w:tr w:rsidR="006E027B" w:rsidRPr="00237D9A" w14:paraId="01F7DCF5" w14:textId="77777777" w:rsidTr="00A50CF6">
      <w:trPr>
        <w:trHeight w:hRule="exact" w:val="200"/>
      </w:trPr>
      <w:tc>
        <w:tcPr>
          <w:tcW w:w="2160" w:type="dxa"/>
        </w:tcPr>
        <w:p w14:paraId="0DAB5C12" w14:textId="77777777" w:rsidR="00527BD4" w:rsidRPr="00B804D0" w:rsidRDefault="00527BD4" w:rsidP="00A50CF6"/>
      </w:tc>
    </w:tr>
    <w:tr w:rsidR="006E027B" w14:paraId="04207718" w14:textId="77777777" w:rsidTr="00A50CF6">
      <w:tc>
        <w:tcPr>
          <w:tcW w:w="2160" w:type="dxa"/>
        </w:tcPr>
        <w:p w14:paraId="1CE4623F" w14:textId="77777777" w:rsidR="000C0163" w:rsidRPr="005819CE" w:rsidRDefault="00701CF0" w:rsidP="000C0163">
          <w:pPr>
            <w:pStyle w:val="Huisstijl-Kopje"/>
          </w:pPr>
          <w:r>
            <w:t>Ons kenmerk</w:t>
          </w:r>
          <w:r w:rsidRPr="005819CE">
            <w:t xml:space="preserve"> </w:t>
          </w:r>
        </w:p>
        <w:p w14:paraId="2BD0CBA0" w14:textId="586E4097" w:rsidR="00527BD4" w:rsidRPr="005819CE" w:rsidRDefault="00701CF0" w:rsidP="00B804D0">
          <w:pPr>
            <w:pStyle w:val="Huisstijl-Gegeven"/>
          </w:pPr>
          <w:r>
            <w:t>KGG_DGKE</w:t>
          </w:r>
          <w:r w:rsidR="00926AE2">
            <w:t xml:space="preserve"> / </w:t>
          </w:r>
          <w:r>
            <w:t>104368147</w:t>
          </w:r>
        </w:p>
      </w:tc>
    </w:tr>
  </w:tbl>
  <w:p w14:paraId="6C858F82"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709"/>
      <w:gridCol w:w="6662"/>
    </w:tblGrid>
    <w:tr w:rsidR="006E027B" w14:paraId="48518712" w14:textId="77777777" w:rsidTr="00A2464C">
      <w:trPr>
        <w:trHeight w:val="400"/>
      </w:trPr>
      <w:tc>
        <w:tcPr>
          <w:tcW w:w="7371" w:type="dxa"/>
          <w:gridSpan w:val="2"/>
        </w:tcPr>
        <w:p w14:paraId="5ADF6C7B" w14:textId="77777777" w:rsidR="00527BD4" w:rsidRPr="00BC3B53" w:rsidRDefault="00701CF0" w:rsidP="00A50CF6">
          <w:pPr>
            <w:pStyle w:val="Huisstijl-Retouradres"/>
          </w:pPr>
          <w:r>
            <w:t>&gt; Retouradres Postbus 20401 2500 EK Den Haag</w:t>
          </w:r>
        </w:p>
      </w:tc>
    </w:tr>
    <w:tr w:rsidR="006E027B" w14:paraId="7000985D" w14:textId="77777777" w:rsidTr="00A2464C">
      <w:tc>
        <w:tcPr>
          <w:tcW w:w="7371" w:type="dxa"/>
          <w:gridSpan w:val="2"/>
        </w:tcPr>
        <w:p w14:paraId="7AB795F4" w14:textId="77777777" w:rsidR="00527BD4" w:rsidRPr="00983E8F" w:rsidRDefault="00527BD4" w:rsidP="00A50CF6">
          <w:pPr>
            <w:pStyle w:val="Huisstijl-Rubricering"/>
          </w:pPr>
        </w:p>
      </w:tc>
    </w:tr>
    <w:tr w:rsidR="006E027B" w14:paraId="3C52E497" w14:textId="77777777" w:rsidTr="00E3121B">
      <w:trPr>
        <w:trHeight w:hRule="exact" w:val="1964"/>
      </w:trPr>
      <w:tc>
        <w:tcPr>
          <w:tcW w:w="7371" w:type="dxa"/>
          <w:gridSpan w:val="2"/>
        </w:tcPr>
        <w:p w14:paraId="3A05E043" w14:textId="77777777" w:rsidR="003B228C" w:rsidRDefault="003B228C" w:rsidP="003B228C">
          <w:pPr>
            <w:pStyle w:val="Huisstijl-NAW"/>
          </w:pPr>
          <w:r>
            <w:t xml:space="preserve">De Voorzitter van de Tweede Kamer </w:t>
          </w:r>
        </w:p>
        <w:p w14:paraId="0E793F3D" w14:textId="77777777" w:rsidR="003B228C" w:rsidRDefault="003B228C" w:rsidP="003B228C">
          <w:pPr>
            <w:pStyle w:val="Huisstijl-NAW"/>
          </w:pPr>
          <w:r>
            <w:t>der Staten-Generaal</w:t>
          </w:r>
        </w:p>
        <w:p w14:paraId="5C7BB2EB" w14:textId="77777777" w:rsidR="003B228C" w:rsidRDefault="003B228C" w:rsidP="003B228C">
          <w:pPr>
            <w:pStyle w:val="Huisstijl-NAW"/>
          </w:pPr>
          <w:r>
            <w:t>Prinses Irenestraat 6</w:t>
          </w:r>
        </w:p>
        <w:p w14:paraId="61E2292F" w14:textId="0F04E304" w:rsidR="00527BD4" w:rsidRDefault="003B228C" w:rsidP="003B228C">
          <w:pPr>
            <w:pStyle w:val="Huisstijl-NAW"/>
          </w:pPr>
          <w:r>
            <w:t xml:space="preserve">2595 BD </w:t>
          </w:r>
          <w:r w:rsidR="00B804D0">
            <w:t xml:space="preserve"> </w:t>
          </w:r>
          <w:r>
            <w:t>DEN HAAG</w:t>
          </w:r>
        </w:p>
      </w:tc>
    </w:tr>
    <w:tr w:rsidR="006E027B" w14:paraId="636818AD" w14:textId="77777777" w:rsidTr="00E3121B">
      <w:trPr>
        <w:trHeight w:hRule="exact" w:val="575"/>
      </w:trPr>
      <w:tc>
        <w:tcPr>
          <w:tcW w:w="7371" w:type="dxa"/>
          <w:gridSpan w:val="2"/>
        </w:tcPr>
        <w:p w14:paraId="531839A4" w14:textId="77777777" w:rsidR="00527BD4" w:rsidRPr="00035E67" w:rsidRDefault="00527BD4" w:rsidP="00E3121B">
          <w:pPr>
            <w:tabs>
              <w:tab w:val="left" w:pos="740"/>
            </w:tabs>
            <w:autoSpaceDE w:val="0"/>
            <w:autoSpaceDN w:val="0"/>
            <w:adjustRightInd w:val="0"/>
            <w:rPr>
              <w:rFonts w:cs="Verdana"/>
              <w:szCs w:val="18"/>
            </w:rPr>
          </w:pPr>
        </w:p>
      </w:tc>
    </w:tr>
    <w:tr w:rsidR="006E027B" w14:paraId="5789C554" w14:textId="77777777" w:rsidTr="00A2464C">
      <w:trPr>
        <w:trHeight w:val="240"/>
      </w:trPr>
      <w:tc>
        <w:tcPr>
          <w:tcW w:w="709" w:type="dxa"/>
        </w:tcPr>
        <w:p w14:paraId="2B87855B" w14:textId="77777777" w:rsidR="00527BD4" w:rsidRPr="007709EF" w:rsidRDefault="00701CF0" w:rsidP="00A50CF6">
          <w:pPr>
            <w:rPr>
              <w:szCs w:val="18"/>
            </w:rPr>
          </w:pPr>
          <w:r>
            <w:rPr>
              <w:szCs w:val="18"/>
            </w:rPr>
            <w:t xml:space="preserve"> </w:t>
          </w:r>
          <w:r w:rsidR="00D76785">
            <w:rPr>
              <w:szCs w:val="18"/>
            </w:rPr>
            <w:t>Datum</w:t>
          </w:r>
        </w:p>
      </w:tc>
      <w:tc>
        <w:tcPr>
          <w:tcW w:w="6662" w:type="dxa"/>
        </w:tcPr>
        <w:p w14:paraId="0913CC1A" w14:textId="754F5FAD" w:rsidR="00527BD4" w:rsidRPr="007709EF" w:rsidRDefault="00533FF3" w:rsidP="00A50CF6">
          <w:r>
            <w:t>31 maart 2026</w:t>
          </w:r>
        </w:p>
      </w:tc>
    </w:tr>
    <w:tr w:rsidR="006E027B" w14:paraId="2202C09E" w14:textId="77777777" w:rsidTr="00A2464C">
      <w:trPr>
        <w:trHeight w:val="240"/>
      </w:trPr>
      <w:tc>
        <w:tcPr>
          <w:tcW w:w="709" w:type="dxa"/>
        </w:tcPr>
        <w:p w14:paraId="5B641715" w14:textId="77777777" w:rsidR="00527BD4" w:rsidRPr="007709EF" w:rsidRDefault="00701CF0" w:rsidP="00A50CF6">
          <w:pPr>
            <w:rPr>
              <w:szCs w:val="18"/>
            </w:rPr>
          </w:pPr>
          <w:r>
            <w:rPr>
              <w:szCs w:val="18"/>
            </w:rPr>
            <w:t xml:space="preserve"> </w:t>
          </w:r>
          <w:r w:rsidR="007F24DE">
            <w:rPr>
              <w:szCs w:val="18"/>
            </w:rPr>
            <w:t>Betreft</w:t>
          </w:r>
        </w:p>
      </w:tc>
      <w:tc>
        <w:tcPr>
          <w:tcW w:w="6662" w:type="dxa"/>
        </w:tcPr>
        <w:p w14:paraId="29D66C3A" w14:textId="624F112D" w:rsidR="00527BD4" w:rsidRPr="007709EF" w:rsidRDefault="00701CF0" w:rsidP="00A50CF6">
          <w:r>
            <w:t xml:space="preserve"> </w:t>
          </w:r>
          <w:r w:rsidR="003B228C">
            <w:t>Instellen van een nieuwe biedzone voor elektriciteit (</w:t>
          </w:r>
          <w:proofErr w:type="spellStart"/>
          <w:r w:rsidR="003B228C">
            <w:t>LionLink</w:t>
          </w:r>
          <w:proofErr w:type="spellEnd"/>
          <w:r w:rsidR="003B228C">
            <w:t>)</w:t>
          </w:r>
        </w:p>
      </w:tc>
    </w:tr>
  </w:tbl>
  <w:p w14:paraId="5EA4352E"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107CB836">
      <w:start w:val="1"/>
      <w:numFmt w:val="bullet"/>
      <w:pStyle w:val="Lijstopsomteken"/>
      <w:lvlText w:val="•"/>
      <w:lvlJc w:val="left"/>
      <w:pPr>
        <w:tabs>
          <w:tab w:val="num" w:pos="227"/>
        </w:tabs>
        <w:ind w:left="227" w:hanging="227"/>
      </w:pPr>
      <w:rPr>
        <w:rFonts w:ascii="Verdana" w:hAnsi="Verdana" w:hint="default"/>
        <w:sz w:val="18"/>
        <w:szCs w:val="18"/>
      </w:rPr>
    </w:lvl>
    <w:lvl w:ilvl="1" w:tplc="7C62283A" w:tentative="1">
      <w:start w:val="1"/>
      <w:numFmt w:val="bullet"/>
      <w:lvlText w:val="o"/>
      <w:lvlJc w:val="left"/>
      <w:pPr>
        <w:tabs>
          <w:tab w:val="num" w:pos="1440"/>
        </w:tabs>
        <w:ind w:left="1440" w:hanging="360"/>
      </w:pPr>
      <w:rPr>
        <w:rFonts w:ascii="Courier New" w:hAnsi="Courier New" w:cs="Courier New" w:hint="default"/>
      </w:rPr>
    </w:lvl>
    <w:lvl w:ilvl="2" w:tplc="85D2430E" w:tentative="1">
      <w:start w:val="1"/>
      <w:numFmt w:val="bullet"/>
      <w:lvlText w:val=""/>
      <w:lvlJc w:val="left"/>
      <w:pPr>
        <w:tabs>
          <w:tab w:val="num" w:pos="2160"/>
        </w:tabs>
        <w:ind w:left="2160" w:hanging="360"/>
      </w:pPr>
      <w:rPr>
        <w:rFonts w:ascii="Wingdings" w:hAnsi="Wingdings" w:hint="default"/>
      </w:rPr>
    </w:lvl>
    <w:lvl w:ilvl="3" w:tplc="D0C81004" w:tentative="1">
      <w:start w:val="1"/>
      <w:numFmt w:val="bullet"/>
      <w:lvlText w:val=""/>
      <w:lvlJc w:val="left"/>
      <w:pPr>
        <w:tabs>
          <w:tab w:val="num" w:pos="2880"/>
        </w:tabs>
        <w:ind w:left="2880" w:hanging="360"/>
      </w:pPr>
      <w:rPr>
        <w:rFonts w:ascii="Symbol" w:hAnsi="Symbol" w:hint="default"/>
      </w:rPr>
    </w:lvl>
    <w:lvl w:ilvl="4" w:tplc="C878559A" w:tentative="1">
      <w:start w:val="1"/>
      <w:numFmt w:val="bullet"/>
      <w:lvlText w:val="o"/>
      <w:lvlJc w:val="left"/>
      <w:pPr>
        <w:tabs>
          <w:tab w:val="num" w:pos="3600"/>
        </w:tabs>
        <w:ind w:left="3600" w:hanging="360"/>
      </w:pPr>
      <w:rPr>
        <w:rFonts w:ascii="Courier New" w:hAnsi="Courier New" w:cs="Courier New" w:hint="default"/>
      </w:rPr>
    </w:lvl>
    <w:lvl w:ilvl="5" w:tplc="4ABC6058" w:tentative="1">
      <w:start w:val="1"/>
      <w:numFmt w:val="bullet"/>
      <w:lvlText w:val=""/>
      <w:lvlJc w:val="left"/>
      <w:pPr>
        <w:tabs>
          <w:tab w:val="num" w:pos="4320"/>
        </w:tabs>
        <w:ind w:left="4320" w:hanging="360"/>
      </w:pPr>
      <w:rPr>
        <w:rFonts w:ascii="Wingdings" w:hAnsi="Wingdings" w:hint="default"/>
      </w:rPr>
    </w:lvl>
    <w:lvl w:ilvl="6" w:tplc="7D78E5FA" w:tentative="1">
      <w:start w:val="1"/>
      <w:numFmt w:val="bullet"/>
      <w:lvlText w:val=""/>
      <w:lvlJc w:val="left"/>
      <w:pPr>
        <w:tabs>
          <w:tab w:val="num" w:pos="5040"/>
        </w:tabs>
        <w:ind w:left="5040" w:hanging="360"/>
      </w:pPr>
      <w:rPr>
        <w:rFonts w:ascii="Symbol" w:hAnsi="Symbol" w:hint="default"/>
      </w:rPr>
    </w:lvl>
    <w:lvl w:ilvl="7" w:tplc="2B860A7C" w:tentative="1">
      <w:start w:val="1"/>
      <w:numFmt w:val="bullet"/>
      <w:lvlText w:val="o"/>
      <w:lvlJc w:val="left"/>
      <w:pPr>
        <w:tabs>
          <w:tab w:val="num" w:pos="5760"/>
        </w:tabs>
        <w:ind w:left="5760" w:hanging="360"/>
      </w:pPr>
      <w:rPr>
        <w:rFonts w:ascii="Courier New" w:hAnsi="Courier New" w:cs="Courier New" w:hint="default"/>
      </w:rPr>
    </w:lvl>
    <w:lvl w:ilvl="8" w:tplc="8EF49CD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352078E4">
      <w:start w:val="1"/>
      <w:numFmt w:val="bullet"/>
      <w:pStyle w:val="Lijstopsomteken2"/>
      <w:lvlText w:val="–"/>
      <w:lvlJc w:val="left"/>
      <w:pPr>
        <w:tabs>
          <w:tab w:val="num" w:pos="227"/>
        </w:tabs>
        <w:ind w:left="227" w:firstLine="0"/>
      </w:pPr>
      <w:rPr>
        <w:rFonts w:ascii="Verdana" w:hAnsi="Verdana" w:hint="default"/>
      </w:rPr>
    </w:lvl>
    <w:lvl w:ilvl="1" w:tplc="5336AEBE" w:tentative="1">
      <w:start w:val="1"/>
      <w:numFmt w:val="bullet"/>
      <w:lvlText w:val="o"/>
      <w:lvlJc w:val="left"/>
      <w:pPr>
        <w:tabs>
          <w:tab w:val="num" w:pos="1440"/>
        </w:tabs>
        <w:ind w:left="1440" w:hanging="360"/>
      </w:pPr>
      <w:rPr>
        <w:rFonts w:ascii="Courier New" w:hAnsi="Courier New" w:cs="Courier New" w:hint="default"/>
      </w:rPr>
    </w:lvl>
    <w:lvl w:ilvl="2" w:tplc="24DA18BE" w:tentative="1">
      <w:start w:val="1"/>
      <w:numFmt w:val="bullet"/>
      <w:lvlText w:val=""/>
      <w:lvlJc w:val="left"/>
      <w:pPr>
        <w:tabs>
          <w:tab w:val="num" w:pos="2160"/>
        </w:tabs>
        <w:ind w:left="2160" w:hanging="360"/>
      </w:pPr>
      <w:rPr>
        <w:rFonts w:ascii="Wingdings" w:hAnsi="Wingdings" w:hint="default"/>
      </w:rPr>
    </w:lvl>
    <w:lvl w:ilvl="3" w:tplc="A06610FA" w:tentative="1">
      <w:start w:val="1"/>
      <w:numFmt w:val="bullet"/>
      <w:lvlText w:val=""/>
      <w:lvlJc w:val="left"/>
      <w:pPr>
        <w:tabs>
          <w:tab w:val="num" w:pos="2880"/>
        </w:tabs>
        <w:ind w:left="2880" w:hanging="360"/>
      </w:pPr>
      <w:rPr>
        <w:rFonts w:ascii="Symbol" w:hAnsi="Symbol" w:hint="default"/>
      </w:rPr>
    </w:lvl>
    <w:lvl w:ilvl="4" w:tplc="9C0CDF50" w:tentative="1">
      <w:start w:val="1"/>
      <w:numFmt w:val="bullet"/>
      <w:lvlText w:val="o"/>
      <w:lvlJc w:val="left"/>
      <w:pPr>
        <w:tabs>
          <w:tab w:val="num" w:pos="3600"/>
        </w:tabs>
        <w:ind w:left="3600" w:hanging="360"/>
      </w:pPr>
      <w:rPr>
        <w:rFonts w:ascii="Courier New" w:hAnsi="Courier New" w:cs="Courier New" w:hint="default"/>
      </w:rPr>
    </w:lvl>
    <w:lvl w:ilvl="5" w:tplc="AB0A14CA" w:tentative="1">
      <w:start w:val="1"/>
      <w:numFmt w:val="bullet"/>
      <w:lvlText w:val=""/>
      <w:lvlJc w:val="left"/>
      <w:pPr>
        <w:tabs>
          <w:tab w:val="num" w:pos="4320"/>
        </w:tabs>
        <w:ind w:left="4320" w:hanging="360"/>
      </w:pPr>
      <w:rPr>
        <w:rFonts w:ascii="Wingdings" w:hAnsi="Wingdings" w:hint="default"/>
      </w:rPr>
    </w:lvl>
    <w:lvl w:ilvl="6" w:tplc="DEBEC634" w:tentative="1">
      <w:start w:val="1"/>
      <w:numFmt w:val="bullet"/>
      <w:lvlText w:val=""/>
      <w:lvlJc w:val="left"/>
      <w:pPr>
        <w:tabs>
          <w:tab w:val="num" w:pos="5040"/>
        </w:tabs>
        <w:ind w:left="5040" w:hanging="360"/>
      </w:pPr>
      <w:rPr>
        <w:rFonts w:ascii="Symbol" w:hAnsi="Symbol" w:hint="default"/>
      </w:rPr>
    </w:lvl>
    <w:lvl w:ilvl="7" w:tplc="3AB22318" w:tentative="1">
      <w:start w:val="1"/>
      <w:numFmt w:val="bullet"/>
      <w:lvlText w:val="o"/>
      <w:lvlJc w:val="left"/>
      <w:pPr>
        <w:tabs>
          <w:tab w:val="num" w:pos="5760"/>
        </w:tabs>
        <w:ind w:left="5760" w:hanging="360"/>
      </w:pPr>
      <w:rPr>
        <w:rFonts w:ascii="Courier New" w:hAnsi="Courier New" w:cs="Courier New" w:hint="default"/>
      </w:rPr>
    </w:lvl>
    <w:lvl w:ilvl="8" w:tplc="CCDA829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752004431">
    <w:abstractNumId w:val="10"/>
  </w:num>
  <w:num w:numId="2" w16cid:durableId="1623919316">
    <w:abstractNumId w:val="7"/>
  </w:num>
  <w:num w:numId="3" w16cid:durableId="1260912980">
    <w:abstractNumId w:val="6"/>
  </w:num>
  <w:num w:numId="4" w16cid:durableId="401024949">
    <w:abstractNumId w:val="5"/>
  </w:num>
  <w:num w:numId="5" w16cid:durableId="731734354">
    <w:abstractNumId w:val="4"/>
  </w:num>
  <w:num w:numId="6" w16cid:durableId="1297685651">
    <w:abstractNumId w:val="8"/>
  </w:num>
  <w:num w:numId="7" w16cid:durableId="1693605912">
    <w:abstractNumId w:val="3"/>
  </w:num>
  <w:num w:numId="8" w16cid:durableId="589697674">
    <w:abstractNumId w:val="2"/>
  </w:num>
  <w:num w:numId="9" w16cid:durableId="1222981289">
    <w:abstractNumId w:val="1"/>
  </w:num>
  <w:num w:numId="10" w16cid:durableId="1479422398">
    <w:abstractNumId w:val="0"/>
  </w:num>
  <w:num w:numId="11" w16cid:durableId="1536312964">
    <w:abstractNumId w:val="9"/>
  </w:num>
  <w:num w:numId="12" w16cid:durableId="822546849">
    <w:abstractNumId w:val="11"/>
  </w:num>
  <w:num w:numId="13" w16cid:durableId="1931347222">
    <w:abstractNumId w:val="13"/>
  </w:num>
  <w:num w:numId="14" w16cid:durableId="137842191">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04D30"/>
    <w:rsid w:val="00013862"/>
    <w:rsid w:val="00013F6D"/>
    <w:rsid w:val="00016012"/>
    <w:rsid w:val="00020189"/>
    <w:rsid w:val="00020EE4"/>
    <w:rsid w:val="00023E9A"/>
    <w:rsid w:val="00033CDD"/>
    <w:rsid w:val="00034A84"/>
    <w:rsid w:val="00035E67"/>
    <w:rsid w:val="000366F3"/>
    <w:rsid w:val="0006024D"/>
    <w:rsid w:val="00071F28"/>
    <w:rsid w:val="00074079"/>
    <w:rsid w:val="00092799"/>
    <w:rsid w:val="00092C5F"/>
    <w:rsid w:val="00096680"/>
    <w:rsid w:val="000A0F36"/>
    <w:rsid w:val="000A174A"/>
    <w:rsid w:val="000A3E0A"/>
    <w:rsid w:val="000A65AC"/>
    <w:rsid w:val="000A7159"/>
    <w:rsid w:val="000B7281"/>
    <w:rsid w:val="000B7FAB"/>
    <w:rsid w:val="000C0163"/>
    <w:rsid w:val="000C1BA1"/>
    <w:rsid w:val="000C3EA9"/>
    <w:rsid w:val="000D0225"/>
    <w:rsid w:val="000E47F5"/>
    <w:rsid w:val="000E7895"/>
    <w:rsid w:val="000F161D"/>
    <w:rsid w:val="000F3CAA"/>
    <w:rsid w:val="00102ABB"/>
    <w:rsid w:val="001178E1"/>
    <w:rsid w:val="00121BF0"/>
    <w:rsid w:val="00123704"/>
    <w:rsid w:val="001270C7"/>
    <w:rsid w:val="00132540"/>
    <w:rsid w:val="0013347C"/>
    <w:rsid w:val="00133F0F"/>
    <w:rsid w:val="0014786A"/>
    <w:rsid w:val="00147D71"/>
    <w:rsid w:val="001516A4"/>
    <w:rsid w:val="00151E5F"/>
    <w:rsid w:val="00153E28"/>
    <w:rsid w:val="001569AB"/>
    <w:rsid w:val="00164C3C"/>
    <w:rsid w:val="00164D63"/>
    <w:rsid w:val="0016725C"/>
    <w:rsid w:val="001726F3"/>
    <w:rsid w:val="00173C51"/>
    <w:rsid w:val="00174CC2"/>
    <w:rsid w:val="00176CC6"/>
    <w:rsid w:val="00181BE4"/>
    <w:rsid w:val="00185576"/>
    <w:rsid w:val="00185951"/>
    <w:rsid w:val="00196B8B"/>
    <w:rsid w:val="001A17C7"/>
    <w:rsid w:val="001A2BEA"/>
    <w:rsid w:val="001A6D93"/>
    <w:rsid w:val="001C071E"/>
    <w:rsid w:val="001C32EC"/>
    <w:rsid w:val="001C38BD"/>
    <w:rsid w:val="001C4D5A"/>
    <w:rsid w:val="001E34C6"/>
    <w:rsid w:val="001E5581"/>
    <w:rsid w:val="001F3C70"/>
    <w:rsid w:val="00200D88"/>
    <w:rsid w:val="00201F68"/>
    <w:rsid w:val="00212F2A"/>
    <w:rsid w:val="00214F2B"/>
    <w:rsid w:val="00217880"/>
    <w:rsid w:val="00222D66"/>
    <w:rsid w:val="00224A8A"/>
    <w:rsid w:val="002309A8"/>
    <w:rsid w:val="002369BF"/>
    <w:rsid w:val="00236CFE"/>
    <w:rsid w:val="00237D9A"/>
    <w:rsid w:val="002428E3"/>
    <w:rsid w:val="00243031"/>
    <w:rsid w:val="00246CD6"/>
    <w:rsid w:val="00260BAF"/>
    <w:rsid w:val="002650F7"/>
    <w:rsid w:val="00273F3B"/>
    <w:rsid w:val="00274DB7"/>
    <w:rsid w:val="00275984"/>
    <w:rsid w:val="00280F74"/>
    <w:rsid w:val="00286998"/>
    <w:rsid w:val="00291AB7"/>
    <w:rsid w:val="00292EB2"/>
    <w:rsid w:val="0029422B"/>
    <w:rsid w:val="002A0938"/>
    <w:rsid w:val="002B153C"/>
    <w:rsid w:val="002B52FC"/>
    <w:rsid w:val="002C2830"/>
    <w:rsid w:val="002C5844"/>
    <w:rsid w:val="002D001A"/>
    <w:rsid w:val="002D1729"/>
    <w:rsid w:val="002D28E2"/>
    <w:rsid w:val="002D317B"/>
    <w:rsid w:val="002D3587"/>
    <w:rsid w:val="002D502D"/>
    <w:rsid w:val="002D633D"/>
    <w:rsid w:val="002D71E3"/>
    <w:rsid w:val="002E0F69"/>
    <w:rsid w:val="002F5147"/>
    <w:rsid w:val="002F7ABD"/>
    <w:rsid w:val="00312597"/>
    <w:rsid w:val="003127E6"/>
    <w:rsid w:val="00327BA5"/>
    <w:rsid w:val="0033002D"/>
    <w:rsid w:val="0033326F"/>
    <w:rsid w:val="00334154"/>
    <w:rsid w:val="003372C4"/>
    <w:rsid w:val="00341FA0"/>
    <w:rsid w:val="003429C2"/>
    <w:rsid w:val="00344F3D"/>
    <w:rsid w:val="00345299"/>
    <w:rsid w:val="00351A8D"/>
    <w:rsid w:val="003526BB"/>
    <w:rsid w:val="00352BCF"/>
    <w:rsid w:val="00352DFB"/>
    <w:rsid w:val="00353932"/>
    <w:rsid w:val="0035464B"/>
    <w:rsid w:val="00361A56"/>
    <w:rsid w:val="0036252A"/>
    <w:rsid w:val="00364D9D"/>
    <w:rsid w:val="00371048"/>
    <w:rsid w:val="0037396C"/>
    <w:rsid w:val="00373E3E"/>
    <w:rsid w:val="0037421D"/>
    <w:rsid w:val="00376093"/>
    <w:rsid w:val="003779BE"/>
    <w:rsid w:val="00383DA1"/>
    <w:rsid w:val="00385F30"/>
    <w:rsid w:val="00393696"/>
    <w:rsid w:val="00393963"/>
    <w:rsid w:val="00395575"/>
    <w:rsid w:val="00395672"/>
    <w:rsid w:val="003A06C8"/>
    <w:rsid w:val="003A0D7C"/>
    <w:rsid w:val="003A18A7"/>
    <w:rsid w:val="003A413A"/>
    <w:rsid w:val="003A5290"/>
    <w:rsid w:val="003B0155"/>
    <w:rsid w:val="003B228C"/>
    <w:rsid w:val="003B5A0C"/>
    <w:rsid w:val="003B7EE7"/>
    <w:rsid w:val="003C2CCB"/>
    <w:rsid w:val="003D1560"/>
    <w:rsid w:val="003D39EC"/>
    <w:rsid w:val="003D5DED"/>
    <w:rsid w:val="003E3DD5"/>
    <w:rsid w:val="003F07C6"/>
    <w:rsid w:val="003F1F6B"/>
    <w:rsid w:val="003F3757"/>
    <w:rsid w:val="003F38BD"/>
    <w:rsid w:val="003F44B7"/>
    <w:rsid w:val="004008E9"/>
    <w:rsid w:val="004120E5"/>
    <w:rsid w:val="00413D48"/>
    <w:rsid w:val="00441AC2"/>
    <w:rsid w:val="0044249B"/>
    <w:rsid w:val="004425CC"/>
    <w:rsid w:val="0045023C"/>
    <w:rsid w:val="00451A5B"/>
    <w:rsid w:val="00452BCD"/>
    <w:rsid w:val="00452CEA"/>
    <w:rsid w:val="00465B52"/>
    <w:rsid w:val="0046708E"/>
    <w:rsid w:val="00472A65"/>
    <w:rsid w:val="00474463"/>
    <w:rsid w:val="00474B75"/>
    <w:rsid w:val="00483F0B"/>
    <w:rsid w:val="004856DF"/>
    <w:rsid w:val="00496319"/>
    <w:rsid w:val="00497279"/>
    <w:rsid w:val="004A163B"/>
    <w:rsid w:val="004A670A"/>
    <w:rsid w:val="004B5465"/>
    <w:rsid w:val="004B70F0"/>
    <w:rsid w:val="004C21A8"/>
    <w:rsid w:val="004D505E"/>
    <w:rsid w:val="004D72CA"/>
    <w:rsid w:val="004E2242"/>
    <w:rsid w:val="004F42FF"/>
    <w:rsid w:val="004F44C2"/>
    <w:rsid w:val="00502512"/>
    <w:rsid w:val="00503FD2"/>
    <w:rsid w:val="00505262"/>
    <w:rsid w:val="0051107D"/>
    <w:rsid w:val="00516022"/>
    <w:rsid w:val="00520740"/>
    <w:rsid w:val="00521CEE"/>
    <w:rsid w:val="00527BD4"/>
    <w:rsid w:val="00533FF3"/>
    <w:rsid w:val="00537095"/>
    <w:rsid w:val="005403C8"/>
    <w:rsid w:val="005429DC"/>
    <w:rsid w:val="005565F9"/>
    <w:rsid w:val="00565B9E"/>
    <w:rsid w:val="00573041"/>
    <w:rsid w:val="00575B80"/>
    <w:rsid w:val="0057620F"/>
    <w:rsid w:val="005819CE"/>
    <w:rsid w:val="0058298D"/>
    <w:rsid w:val="00584C1A"/>
    <w:rsid w:val="00593C2B"/>
    <w:rsid w:val="00595231"/>
    <w:rsid w:val="00596166"/>
    <w:rsid w:val="00597F64"/>
    <w:rsid w:val="005A207F"/>
    <w:rsid w:val="005A2F35"/>
    <w:rsid w:val="005B3814"/>
    <w:rsid w:val="005B463E"/>
    <w:rsid w:val="005B59DD"/>
    <w:rsid w:val="005C34E1"/>
    <w:rsid w:val="005C3FE0"/>
    <w:rsid w:val="005C740C"/>
    <w:rsid w:val="005D625B"/>
    <w:rsid w:val="005E61DA"/>
    <w:rsid w:val="005E6362"/>
    <w:rsid w:val="005F62D3"/>
    <w:rsid w:val="005F6D11"/>
    <w:rsid w:val="00600CF0"/>
    <w:rsid w:val="006048F4"/>
    <w:rsid w:val="0060660A"/>
    <w:rsid w:val="0061117B"/>
    <w:rsid w:val="00613B1D"/>
    <w:rsid w:val="00617A44"/>
    <w:rsid w:val="006202B6"/>
    <w:rsid w:val="00625CD0"/>
    <w:rsid w:val="0062627D"/>
    <w:rsid w:val="00627432"/>
    <w:rsid w:val="006448E4"/>
    <w:rsid w:val="00645095"/>
    <w:rsid w:val="00645414"/>
    <w:rsid w:val="00651CEE"/>
    <w:rsid w:val="00653606"/>
    <w:rsid w:val="006544A8"/>
    <w:rsid w:val="00657AF9"/>
    <w:rsid w:val="006610E9"/>
    <w:rsid w:val="00661591"/>
    <w:rsid w:val="00664678"/>
    <w:rsid w:val="00664A7A"/>
    <w:rsid w:val="0066632F"/>
    <w:rsid w:val="00674A89"/>
    <w:rsid w:val="00674F3D"/>
    <w:rsid w:val="00685545"/>
    <w:rsid w:val="006864B3"/>
    <w:rsid w:val="00692D64"/>
    <w:rsid w:val="006A10F8"/>
    <w:rsid w:val="006A2100"/>
    <w:rsid w:val="006A5C3B"/>
    <w:rsid w:val="006A72E0"/>
    <w:rsid w:val="006B0BF3"/>
    <w:rsid w:val="006B4CA7"/>
    <w:rsid w:val="006B775E"/>
    <w:rsid w:val="006B7BC7"/>
    <w:rsid w:val="006C2535"/>
    <w:rsid w:val="006C441E"/>
    <w:rsid w:val="006C4B90"/>
    <w:rsid w:val="006D1016"/>
    <w:rsid w:val="006D17F2"/>
    <w:rsid w:val="006D49B7"/>
    <w:rsid w:val="006E027B"/>
    <w:rsid w:val="006E3546"/>
    <w:rsid w:val="006E3FA9"/>
    <w:rsid w:val="006E7D82"/>
    <w:rsid w:val="006F038F"/>
    <w:rsid w:val="006F0F93"/>
    <w:rsid w:val="006F31F2"/>
    <w:rsid w:val="006F7494"/>
    <w:rsid w:val="006F751F"/>
    <w:rsid w:val="00701CF0"/>
    <w:rsid w:val="00705433"/>
    <w:rsid w:val="00711F21"/>
    <w:rsid w:val="00714DC5"/>
    <w:rsid w:val="00715237"/>
    <w:rsid w:val="00721AE1"/>
    <w:rsid w:val="00725013"/>
    <w:rsid w:val="007254A5"/>
    <w:rsid w:val="00725748"/>
    <w:rsid w:val="007269E3"/>
    <w:rsid w:val="00735D88"/>
    <w:rsid w:val="0073720D"/>
    <w:rsid w:val="00737507"/>
    <w:rsid w:val="00740712"/>
    <w:rsid w:val="00742AB9"/>
    <w:rsid w:val="007464ED"/>
    <w:rsid w:val="00746C31"/>
    <w:rsid w:val="00751A6A"/>
    <w:rsid w:val="00754FBF"/>
    <w:rsid w:val="00755C3C"/>
    <w:rsid w:val="007610AA"/>
    <w:rsid w:val="007709EF"/>
    <w:rsid w:val="0077729F"/>
    <w:rsid w:val="00782701"/>
    <w:rsid w:val="00783559"/>
    <w:rsid w:val="00793B85"/>
    <w:rsid w:val="0079551B"/>
    <w:rsid w:val="00797AA5"/>
    <w:rsid w:val="007A26BD"/>
    <w:rsid w:val="007A3A85"/>
    <w:rsid w:val="007A4105"/>
    <w:rsid w:val="007B2B8E"/>
    <w:rsid w:val="007B4503"/>
    <w:rsid w:val="007C1273"/>
    <w:rsid w:val="007C406E"/>
    <w:rsid w:val="007C5183"/>
    <w:rsid w:val="007C7573"/>
    <w:rsid w:val="007D1AC6"/>
    <w:rsid w:val="007E2B20"/>
    <w:rsid w:val="007F1FE4"/>
    <w:rsid w:val="007F24DE"/>
    <w:rsid w:val="007F439C"/>
    <w:rsid w:val="007F5331"/>
    <w:rsid w:val="007F77A7"/>
    <w:rsid w:val="007F7F48"/>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72271"/>
    <w:rsid w:val="00883137"/>
    <w:rsid w:val="00894A3B"/>
    <w:rsid w:val="00894AE8"/>
    <w:rsid w:val="008A1F5D"/>
    <w:rsid w:val="008A28F5"/>
    <w:rsid w:val="008B1198"/>
    <w:rsid w:val="008B3471"/>
    <w:rsid w:val="008B3929"/>
    <w:rsid w:val="008B4125"/>
    <w:rsid w:val="008B4CB3"/>
    <w:rsid w:val="008B567B"/>
    <w:rsid w:val="008B7B24"/>
    <w:rsid w:val="008C356D"/>
    <w:rsid w:val="008C7B00"/>
    <w:rsid w:val="008D43B5"/>
    <w:rsid w:val="008E0B3F"/>
    <w:rsid w:val="008E49AD"/>
    <w:rsid w:val="008E698E"/>
    <w:rsid w:val="008F2584"/>
    <w:rsid w:val="008F3246"/>
    <w:rsid w:val="008F3C1B"/>
    <w:rsid w:val="008F508C"/>
    <w:rsid w:val="00901BE9"/>
    <w:rsid w:val="0090271B"/>
    <w:rsid w:val="00906C2E"/>
    <w:rsid w:val="00910642"/>
    <w:rsid w:val="00910DDF"/>
    <w:rsid w:val="00914F34"/>
    <w:rsid w:val="00922290"/>
    <w:rsid w:val="00926AE2"/>
    <w:rsid w:val="00930B13"/>
    <w:rsid w:val="009311C8"/>
    <w:rsid w:val="00933376"/>
    <w:rsid w:val="00933A2F"/>
    <w:rsid w:val="009716D8"/>
    <w:rsid w:val="009718F9"/>
    <w:rsid w:val="00971F42"/>
    <w:rsid w:val="00972FB9"/>
    <w:rsid w:val="00975112"/>
    <w:rsid w:val="00981768"/>
    <w:rsid w:val="00983E8F"/>
    <w:rsid w:val="0098788A"/>
    <w:rsid w:val="00994FDA"/>
    <w:rsid w:val="009A31BF"/>
    <w:rsid w:val="009A3B71"/>
    <w:rsid w:val="009A61BC"/>
    <w:rsid w:val="009B0138"/>
    <w:rsid w:val="009B0FE9"/>
    <w:rsid w:val="009B173A"/>
    <w:rsid w:val="009B4D3A"/>
    <w:rsid w:val="009B5494"/>
    <w:rsid w:val="009C3F20"/>
    <w:rsid w:val="009C7CA1"/>
    <w:rsid w:val="009D043D"/>
    <w:rsid w:val="009E3C59"/>
    <w:rsid w:val="009E40EF"/>
    <w:rsid w:val="009F0697"/>
    <w:rsid w:val="009F3259"/>
    <w:rsid w:val="00A037D5"/>
    <w:rsid w:val="00A056DE"/>
    <w:rsid w:val="00A128AD"/>
    <w:rsid w:val="00A15DAC"/>
    <w:rsid w:val="00A16D7E"/>
    <w:rsid w:val="00A21E76"/>
    <w:rsid w:val="00A23BC8"/>
    <w:rsid w:val="00A245F8"/>
    <w:rsid w:val="00A2464C"/>
    <w:rsid w:val="00A30E68"/>
    <w:rsid w:val="00A31933"/>
    <w:rsid w:val="00A329D2"/>
    <w:rsid w:val="00A34AA0"/>
    <w:rsid w:val="00A3715C"/>
    <w:rsid w:val="00A413B4"/>
    <w:rsid w:val="00A41FE2"/>
    <w:rsid w:val="00A46FEF"/>
    <w:rsid w:val="00A47948"/>
    <w:rsid w:val="00A50CF6"/>
    <w:rsid w:val="00A56946"/>
    <w:rsid w:val="00A6170E"/>
    <w:rsid w:val="00A63B8C"/>
    <w:rsid w:val="00A6454A"/>
    <w:rsid w:val="00A71541"/>
    <w:rsid w:val="00A715F8"/>
    <w:rsid w:val="00A77F6F"/>
    <w:rsid w:val="00A831FD"/>
    <w:rsid w:val="00A83352"/>
    <w:rsid w:val="00A850A2"/>
    <w:rsid w:val="00A91FA3"/>
    <w:rsid w:val="00A927D3"/>
    <w:rsid w:val="00AA7FC9"/>
    <w:rsid w:val="00AB237D"/>
    <w:rsid w:val="00AB5933"/>
    <w:rsid w:val="00AC7E95"/>
    <w:rsid w:val="00AE013D"/>
    <w:rsid w:val="00AE11B7"/>
    <w:rsid w:val="00AE7F68"/>
    <w:rsid w:val="00AF2321"/>
    <w:rsid w:val="00AF4EE9"/>
    <w:rsid w:val="00AF52F6"/>
    <w:rsid w:val="00AF52FD"/>
    <w:rsid w:val="00AF54A8"/>
    <w:rsid w:val="00AF7237"/>
    <w:rsid w:val="00B0043A"/>
    <w:rsid w:val="00B00D75"/>
    <w:rsid w:val="00B070CB"/>
    <w:rsid w:val="00B12456"/>
    <w:rsid w:val="00B145F0"/>
    <w:rsid w:val="00B259C8"/>
    <w:rsid w:val="00B26CCF"/>
    <w:rsid w:val="00B30FC2"/>
    <w:rsid w:val="00B331A2"/>
    <w:rsid w:val="00B425F0"/>
    <w:rsid w:val="00B42DFA"/>
    <w:rsid w:val="00B531DD"/>
    <w:rsid w:val="00B55014"/>
    <w:rsid w:val="00B62232"/>
    <w:rsid w:val="00B70BF3"/>
    <w:rsid w:val="00B71DC2"/>
    <w:rsid w:val="00B804D0"/>
    <w:rsid w:val="00B849F5"/>
    <w:rsid w:val="00B91CFC"/>
    <w:rsid w:val="00B93893"/>
    <w:rsid w:val="00B97757"/>
    <w:rsid w:val="00BA1397"/>
    <w:rsid w:val="00BA76CD"/>
    <w:rsid w:val="00BA7E0A"/>
    <w:rsid w:val="00BC2C00"/>
    <w:rsid w:val="00BC3B53"/>
    <w:rsid w:val="00BC3B96"/>
    <w:rsid w:val="00BC4AE3"/>
    <w:rsid w:val="00BC5B28"/>
    <w:rsid w:val="00BD2370"/>
    <w:rsid w:val="00BE3F88"/>
    <w:rsid w:val="00BE4756"/>
    <w:rsid w:val="00BE5ED9"/>
    <w:rsid w:val="00BE7B41"/>
    <w:rsid w:val="00C15A91"/>
    <w:rsid w:val="00C206F1"/>
    <w:rsid w:val="00C20D70"/>
    <w:rsid w:val="00C217E1"/>
    <w:rsid w:val="00C219B1"/>
    <w:rsid w:val="00C27B0B"/>
    <w:rsid w:val="00C4015B"/>
    <w:rsid w:val="00C40C60"/>
    <w:rsid w:val="00C43FE6"/>
    <w:rsid w:val="00C5258E"/>
    <w:rsid w:val="00C530C9"/>
    <w:rsid w:val="00C619A7"/>
    <w:rsid w:val="00C63BB2"/>
    <w:rsid w:val="00C73D5F"/>
    <w:rsid w:val="00C77388"/>
    <w:rsid w:val="00C82AFE"/>
    <w:rsid w:val="00C83DBC"/>
    <w:rsid w:val="00C97C80"/>
    <w:rsid w:val="00CA47D3"/>
    <w:rsid w:val="00CA6533"/>
    <w:rsid w:val="00CA6A25"/>
    <w:rsid w:val="00CA6A3F"/>
    <w:rsid w:val="00CA7C99"/>
    <w:rsid w:val="00CC4C6F"/>
    <w:rsid w:val="00CC6290"/>
    <w:rsid w:val="00CC6947"/>
    <w:rsid w:val="00CD233D"/>
    <w:rsid w:val="00CD3499"/>
    <w:rsid w:val="00CD362D"/>
    <w:rsid w:val="00CE101D"/>
    <w:rsid w:val="00CE1814"/>
    <w:rsid w:val="00CE1A95"/>
    <w:rsid w:val="00CE1C84"/>
    <w:rsid w:val="00CE5055"/>
    <w:rsid w:val="00CE6025"/>
    <w:rsid w:val="00CF053F"/>
    <w:rsid w:val="00CF1A17"/>
    <w:rsid w:val="00CF3730"/>
    <w:rsid w:val="00CF65AC"/>
    <w:rsid w:val="00D0375A"/>
    <w:rsid w:val="00D05F90"/>
    <w:rsid w:val="00D0609E"/>
    <w:rsid w:val="00D078E1"/>
    <w:rsid w:val="00D100E9"/>
    <w:rsid w:val="00D17942"/>
    <w:rsid w:val="00D21E4B"/>
    <w:rsid w:val="00D222CA"/>
    <w:rsid w:val="00D22441"/>
    <w:rsid w:val="00D23522"/>
    <w:rsid w:val="00D264D6"/>
    <w:rsid w:val="00D33BF0"/>
    <w:rsid w:val="00D33DE0"/>
    <w:rsid w:val="00D36447"/>
    <w:rsid w:val="00D42D98"/>
    <w:rsid w:val="00D516BE"/>
    <w:rsid w:val="00D5423B"/>
    <w:rsid w:val="00D54E6A"/>
    <w:rsid w:val="00D54F4E"/>
    <w:rsid w:val="00D56E01"/>
    <w:rsid w:val="00D57A56"/>
    <w:rsid w:val="00D604B3"/>
    <w:rsid w:val="00D60BA4"/>
    <w:rsid w:val="00D62419"/>
    <w:rsid w:val="00D76785"/>
    <w:rsid w:val="00D77870"/>
    <w:rsid w:val="00D80977"/>
    <w:rsid w:val="00D80CCE"/>
    <w:rsid w:val="00D86EEA"/>
    <w:rsid w:val="00D87D03"/>
    <w:rsid w:val="00D9360B"/>
    <w:rsid w:val="00D95C88"/>
    <w:rsid w:val="00D97B2E"/>
    <w:rsid w:val="00DA241E"/>
    <w:rsid w:val="00DB36FE"/>
    <w:rsid w:val="00DB533A"/>
    <w:rsid w:val="00DB60AE"/>
    <w:rsid w:val="00DB6307"/>
    <w:rsid w:val="00DD1DCD"/>
    <w:rsid w:val="00DD338F"/>
    <w:rsid w:val="00DD66A5"/>
    <w:rsid w:val="00DD66F2"/>
    <w:rsid w:val="00DE3FE0"/>
    <w:rsid w:val="00DE578A"/>
    <w:rsid w:val="00DF2583"/>
    <w:rsid w:val="00DF54D9"/>
    <w:rsid w:val="00DF7283"/>
    <w:rsid w:val="00E01A59"/>
    <w:rsid w:val="00E10DC6"/>
    <w:rsid w:val="00E11F8E"/>
    <w:rsid w:val="00E15881"/>
    <w:rsid w:val="00E16A8F"/>
    <w:rsid w:val="00E21DE3"/>
    <w:rsid w:val="00E273C5"/>
    <w:rsid w:val="00E307D1"/>
    <w:rsid w:val="00E3121B"/>
    <w:rsid w:val="00E3731D"/>
    <w:rsid w:val="00E51469"/>
    <w:rsid w:val="00E634E3"/>
    <w:rsid w:val="00E717C4"/>
    <w:rsid w:val="00E77E18"/>
    <w:rsid w:val="00E77F89"/>
    <w:rsid w:val="00E80330"/>
    <w:rsid w:val="00E806C5"/>
    <w:rsid w:val="00E80E71"/>
    <w:rsid w:val="00E850D3"/>
    <w:rsid w:val="00E853D6"/>
    <w:rsid w:val="00E876B9"/>
    <w:rsid w:val="00E95F6B"/>
    <w:rsid w:val="00EB5CA5"/>
    <w:rsid w:val="00EC0DFF"/>
    <w:rsid w:val="00EC237D"/>
    <w:rsid w:val="00EC2918"/>
    <w:rsid w:val="00EC4D0E"/>
    <w:rsid w:val="00EC4E2B"/>
    <w:rsid w:val="00ED072A"/>
    <w:rsid w:val="00ED539E"/>
    <w:rsid w:val="00EE4A1F"/>
    <w:rsid w:val="00EE4C2D"/>
    <w:rsid w:val="00EF1B5A"/>
    <w:rsid w:val="00EF24FB"/>
    <w:rsid w:val="00EF2CCA"/>
    <w:rsid w:val="00EF36C5"/>
    <w:rsid w:val="00EF495B"/>
    <w:rsid w:val="00EF60DC"/>
    <w:rsid w:val="00F00F54"/>
    <w:rsid w:val="00F03963"/>
    <w:rsid w:val="00F11068"/>
    <w:rsid w:val="00F1256D"/>
    <w:rsid w:val="00F13A4E"/>
    <w:rsid w:val="00F172BB"/>
    <w:rsid w:val="00F17B10"/>
    <w:rsid w:val="00F21BEF"/>
    <w:rsid w:val="00F2315B"/>
    <w:rsid w:val="00F34805"/>
    <w:rsid w:val="00F41A6F"/>
    <w:rsid w:val="00F45A25"/>
    <w:rsid w:val="00F50F86"/>
    <w:rsid w:val="00F53F91"/>
    <w:rsid w:val="00F61569"/>
    <w:rsid w:val="00F61A72"/>
    <w:rsid w:val="00F62B67"/>
    <w:rsid w:val="00F66F13"/>
    <w:rsid w:val="00F74073"/>
    <w:rsid w:val="00F75603"/>
    <w:rsid w:val="00F845B4"/>
    <w:rsid w:val="00F8713B"/>
    <w:rsid w:val="00F930DC"/>
    <w:rsid w:val="00F93F9E"/>
    <w:rsid w:val="00FA2CD7"/>
    <w:rsid w:val="00FB06ED"/>
    <w:rsid w:val="00FB0E61"/>
    <w:rsid w:val="00FC2311"/>
    <w:rsid w:val="00FC3165"/>
    <w:rsid w:val="00FC36AB"/>
    <w:rsid w:val="00FC4300"/>
    <w:rsid w:val="00FC4F29"/>
    <w:rsid w:val="00FC7F66"/>
    <w:rsid w:val="00FD5776"/>
    <w:rsid w:val="00FE1CB6"/>
    <w:rsid w:val="00FE486B"/>
    <w:rsid w:val="00FE4F08"/>
    <w:rsid w:val="00FF174A"/>
    <w:rsid w:val="00FF192E"/>
    <w:rsid w:val="00FF6740"/>
    <w:rsid w:val="00FF69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9F7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Voetnootmarkering">
    <w:name w:val="footnote reference"/>
    <w:basedOn w:val="Standaardalinea-lettertype"/>
    <w:semiHidden/>
    <w:unhideWhenUsed/>
    <w:rsid w:val="003B228C"/>
    <w:rPr>
      <w:vertAlign w:val="superscript"/>
    </w:rPr>
  </w:style>
  <w:style w:type="paragraph" w:styleId="Tekstopmerking">
    <w:name w:val="annotation text"/>
    <w:basedOn w:val="Standaard"/>
    <w:link w:val="TekstopmerkingChar"/>
    <w:unhideWhenUsed/>
    <w:rsid w:val="003B228C"/>
    <w:pPr>
      <w:spacing w:line="240" w:lineRule="auto"/>
    </w:pPr>
    <w:rPr>
      <w:sz w:val="20"/>
      <w:szCs w:val="20"/>
    </w:rPr>
  </w:style>
  <w:style w:type="character" w:customStyle="1" w:styleId="TekstopmerkingChar">
    <w:name w:val="Tekst opmerking Char"/>
    <w:basedOn w:val="Standaardalinea-lettertype"/>
    <w:link w:val="Tekstopmerking"/>
    <w:rsid w:val="003B228C"/>
    <w:rPr>
      <w:rFonts w:ascii="Verdana" w:hAnsi="Verdana"/>
      <w:lang w:val="nl-NL" w:eastAsia="nl-NL"/>
    </w:rPr>
  </w:style>
  <w:style w:type="character" w:styleId="Verwijzingopmerking">
    <w:name w:val="annotation reference"/>
    <w:basedOn w:val="Standaardalinea-lettertype"/>
    <w:semiHidden/>
    <w:unhideWhenUsed/>
    <w:rsid w:val="003B228C"/>
    <w:rPr>
      <w:sz w:val="16"/>
      <w:szCs w:val="16"/>
    </w:rPr>
  </w:style>
  <w:style w:type="paragraph" w:styleId="Revisie">
    <w:name w:val="Revision"/>
    <w:hidden/>
    <w:uiPriority w:val="99"/>
    <w:semiHidden/>
    <w:rsid w:val="005E6362"/>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cid:4D46BC75-A6FC-49E7-8DFD-F1DCA987AFA5"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rijksoverheid.nl/documenten/kamerstukken/2026/01/16/kamerbrief-1-gw-subsidietender-windenergie-op-zee-in-2026" TargetMode="External"/><Relationship Id="rId3" Type="http://schemas.openxmlformats.org/officeDocument/2006/relationships/hyperlink" Target="https://eur-lex.europa.eu/legal-content/EN/TXT/PDF/?uri=CELEX:52020DC0741" TargetMode="External"/><Relationship Id="rId7" Type="http://schemas.openxmlformats.org/officeDocument/2006/relationships/hyperlink" Target="https://eur01.safelinks.protection.outlook.com/?url=https%3A%2F%2Fwww.rijksoverheid.nl%2Fdocumenten%2Frapporten%2F2025%2F09%2F16%2Fministerie-van-kgg-actieplan-windenergie-op-zee-en-overzicht-maatregelen-vraagstimulering&amp;data=05%7C02%7Cf.j.m.derooij%40minezk.nl%7C23cb3a0871cd47dc298008de78722b76%7C1321633ef6b944e2a44f59b9d264ecb7%7C0%7C0%7C639080628912644567%7CUnknown%7CTWFpbGZsb3d8eyJFbXB0eU1hcGkiOnRydWUsIlYiOiIwLjAuMDAwMCIsIlAiOiJXaW4zMiIsIkFOIjoiTWFpbCIsIldUIjoyfQ%3D%3D%7C0%7C%7C%7C&amp;sdata=YJOR56sEdPH7oUnG8Ol2rCSKm2wrtIcxU7JBO%2F25ijo%3D&amp;reserved=0" TargetMode="External"/><Relationship Id="rId2" Type="http://schemas.openxmlformats.org/officeDocument/2006/relationships/hyperlink" Target="https://www.rijksoverheid.nl/documenten/rapporten/2025/07/16/het-windenergie-infrastructuurplan-noordzee" TargetMode="External"/><Relationship Id="rId1" Type="http://schemas.openxmlformats.org/officeDocument/2006/relationships/hyperlink" Target="https://www.rijksoverheid.nl/documenten/rapporten/2025/07/16/het-windenergie-infrastructuurplan-noordzee" TargetMode="External"/><Relationship Id="rId6" Type="http://schemas.openxmlformats.org/officeDocument/2006/relationships/hyperlink" Target="https://www.acm.nl/nl/publicaties/goedkeuring-structurele-congestierapport-tennet-over-lionlink" TargetMode="External"/><Relationship Id="rId5" Type="http://schemas.openxmlformats.org/officeDocument/2006/relationships/hyperlink" Target="https://www.acm.nl/system/files/documents/structurele-congestierapport-tennet.pdf" TargetMode="External"/><Relationship Id="rId4" Type="http://schemas.openxmlformats.org/officeDocument/2006/relationships/hyperlink" Target="https://eur-lex.europa.eu/legal-content/EN/TXT/?uri=SWD:2020:273:FIN" TargetMode="External"/></Relationships>
</file>

<file path=word/_rels/header2.xml.rels><?xml version="1.0" encoding="UTF-8" standalone="yes"?>
<Relationships xmlns="http://schemas.openxmlformats.org/package/2006/relationships"><Relationship Id="rId2" Type="http://schemas.openxmlformats.org/officeDocument/2006/relationships/image" Target="cid:image001.png@01DC9A63.E2C7FFB0"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1409</ap:Words>
  <ap:Characters>7755</ap:Characters>
  <ap:DocSecurity>0</ap:DocSecurity>
  <ap:Lines>64</ap:Lines>
  <ap:Paragraphs>18</ap:Paragraphs>
  <ap:ScaleCrop>false</ap:ScaleCrop>
  <ap:LinksUpToDate>false</ap:LinksUpToDate>
  <ap:CharactersWithSpaces>9146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2026-03-31T15:35:00.0000000Z</dcterms:created>
  <dcterms:modified xsi:type="dcterms:W3CDTF">2026-03-31T15:35:00.0000000Z</dcterms:modified>
  <dc:description>------------------------</dc:description>
  <dc:subject/>
  <keywords/>
  <version/>
  <category/>
</coreProperties>
</file>