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E88" w:rsidR="005D15C0" w:rsidP="005D15C0" w:rsidRDefault="005D15C0" w14:paraId="18C18B18" w14:textId="77777777">
      <w:pPr>
        <w:pStyle w:val="Lijstalinea"/>
        <w:numPr>
          <w:ilvl w:val="0"/>
          <w:numId w:val="9"/>
        </w:numPr>
        <w:spacing w:after="0"/>
        <w:ind w:left="284" w:hanging="284"/>
        <w:contextualSpacing w:val="0"/>
        <w:rPr>
          <w:rFonts w:cstheme="minorHAnsi"/>
          <w:b/>
          <w:bCs/>
        </w:rPr>
      </w:pPr>
      <w:r w:rsidRPr="00C04E88">
        <w:rPr>
          <w:rFonts w:cstheme="minorHAnsi"/>
          <w:b/>
          <w:bCs/>
        </w:rPr>
        <w:t>Inleiding</w:t>
      </w:r>
      <w:r w:rsidR="00EB6A53">
        <w:rPr>
          <w:rFonts w:cstheme="minorHAnsi"/>
          <w:b/>
          <w:bCs/>
        </w:rPr>
        <w:t xml:space="preserve"> </w:t>
      </w:r>
    </w:p>
    <w:p w:rsidR="00F6525F" w:rsidP="005D15C0" w:rsidRDefault="00F6525F" w14:paraId="5401E472" w14:textId="77777777"/>
    <w:p w:rsidR="00F6525F" w:rsidP="00F6525F" w:rsidRDefault="00F6525F" w14:paraId="67A5C340" w14:textId="77777777">
      <w:r>
        <w:t>Iedere vier jaar stelt het ministerie van Sociale Zaken en Werkgelegenheid een handhavingskoers op. Daarin staan de hoofdlijnen van het handhavingsbeleid in het arbeidsdomein en de sociale zekerheid. In deze brief vindt u de koers voor 2026 tot en met 2029.</w:t>
      </w:r>
    </w:p>
    <w:p w:rsidR="00F6525F" w:rsidP="00F6525F" w:rsidRDefault="00F6525F" w14:paraId="5D406649" w14:textId="77777777"/>
    <w:p w:rsidR="00B826D4" w:rsidP="00F6525F" w:rsidRDefault="00B826D4" w14:paraId="0AA0D7EA" w14:textId="77777777">
      <w:r w:rsidRPr="00B826D4">
        <w:t xml:space="preserve">De koers zoekt naar een evenwicht tussen voorkomen </w:t>
      </w:r>
      <w:r w:rsidR="0029546C">
        <w:t xml:space="preserve">van fouten </w:t>
      </w:r>
      <w:r w:rsidRPr="00B826D4">
        <w:t>(preventie) en straffen</w:t>
      </w:r>
      <w:r w:rsidR="0029546C">
        <w:t xml:space="preserve"> van misbruik</w:t>
      </w:r>
      <w:r w:rsidRPr="00B826D4">
        <w:t xml:space="preserve"> (repressie). Vertrouwen in mensen en bedrijven is hierbij het uitgangspunt. </w:t>
      </w:r>
      <w:r>
        <w:t xml:space="preserve">Dat betekent onder andere dat </w:t>
      </w:r>
      <w:r w:rsidRPr="0075033C">
        <w:t xml:space="preserve">fouten niet direct leiden tot straffen, terwijl misbruik streng aangepakt blijft worden. </w:t>
      </w:r>
      <w:r w:rsidRPr="00B826D4" w:rsidR="003B0331">
        <w:t>Een belangrijk doel is dat regels eenvoudig en begrijpelijk zijn. Dit helpt om fouten te voorkomen.</w:t>
      </w:r>
      <w:r w:rsidRPr="003B0331" w:rsidR="003B0331">
        <w:rPr>
          <w:rFonts w:cstheme="minorHAnsi"/>
        </w:rPr>
        <w:t xml:space="preserve"> </w:t>
      </w:r>
      <w:r w:rsidR="003B0331">
        <w:rPr>
          <w:rFonts w:cstheme="minorHAnsi"/>
        </w:rPr>
        <w:t>Ook blijft het belangrijk dat er passend wordt gehandhaafd op de regels en dat misbruik proportioneel wordt bestraft.</w:t>
      </w:r>
      <w:r w:rsidRPr="0029546C" w:rsidR="0029546C">
        <w:rPr>
          <w:rFonts w:cstheme="minorHAnsi"/>
        </w:rPr>
        <w:t xml:space="preserve"> </w:t>
      </w:r>
      <w:r w:rsidR="0029546C">
        <w:rPr>
          <w:rFonts w:cstheme="minorHAnsi"/>
        </w:rPr>
        <w:t>D</w:t>
      </w:r>
      <w:r w:rsidRPr="003501D8" w:rsidR="0029546C">
        <w:rPr>
          <w:rFonts w:cstheme="minorHAnsi"/>
        </w:rPr>
        <w:t>e</w:t>
      </w:r>
      <w:r w:rsidR="0029546C">
        <w:rPr>
          <w:rFonts w:cstheme="minorHAnsi"/>
        </w:rPr>
        <w:t>ze nieuwe</w:t>
      </w:r>
      <w:r w:rsidRPr="003501D8" w:rsidR="0029546C">
        <w:rPr>
          <w:rFonts w:cstheme="minorHAnsi"/>
        </w:rPr>
        <w:t xml:space="preserve"> handhavingskoers </w:t>
      </w:r>
      <w:r w:rsidR="0029546C">
        <w:rPr>
          <w:rFonts w:cstheme="minorHAnsi"/>
        </w:rPr>
        <w:t xml:space="preserve">vervolgt hiermee de weg van de </w:t>
      </w:r>
      <w:r w:rsidRPr="003501D8" w:rsidR="0029546C">
        <w:rPr>
          <w:rFonts w:cstheme="minorHAnsi"/>
        </w:rPr>
        <w:t>vorige handhavingskoers</w:t>
      </w:r>
      <w:r w:rsidR="0029546C">
        <w:rPr>
          <w:rFonts w:cstheme="minorHAnsi"/>
        </w:rPr>
        <w:t>.</w:t>
      </w:r>
      <w:r w:rsidRPr="00063FA2" w:rsidR="0029546C">
        <w:rPr>
          <w:rStyle w:val="Voetnootmarkering"/>
          <w:i/>
          <w:iCs/>
        </w:rPr>
        <w:footnoteReference w:id="1"/>
      </w:r>
    </w:p>
    <w:p w:rsidR="00923D9B" w:rsidP="00F6525F" w:rsidRDefault="00923D9B" w14:paraId="5787D3DE" w14:textId="77777777"/>
    <w:p w:rsidR="004E3100" w:rsidP="005D15C0" w:rsidRDefault="005D15C0" w14:paraId="10D7DDC4" w14:textId="77777777">
      <w:r w:rsidRPr="00F6525F">
        <w:t xml:space="preserve">Koersvast zijn schept duidelijkheid voor </w:t>
      </w:r>
      <w:r w:rsidR="007916A4">
        <w:t>mensen</w:t>
      </w:r>
      <w:r w:rsidRPr="00F6525F">
        <w:t>, bedrijven, uitvoerders en beleidsmakers. Deze duidelijkheid helpt bij het balanceren in het handhavingsbeleid.</w:t>
      </w:r>
      <w:r w:rsidR="00923D9B">
        <w:t xml:space="preserve"> Met balanceren wordt bedoeld dat de ‘pendule’ in de handhaving zo veel mogelijk in het midden </w:t>
      </w:r>
      <w:r w:rsidR="00835E8D">
        <w:t>blijft</w:t>
      </w:r>
      <w:r w:rsidR="00EA2087">
        <w:t>. De uitersten zijn</w:t>
      </w:r>
      <w:r w:rsidR="007916A4">
        <w:t>:</w:t>
      </w:r>
      <w:r w:rsidR="00EA2087">
        <w:t xml:space="preserve"> </w:t>
      </w:r>
      <w:r w:rsidR="00043099">
        <w:t xml:space="preserve">te veel focus op repressie of te </w:t>
      </w:r>
      <w:r w:rsidR="000F5712">
        <w:t xml:space="preserve">weinig aandacht en </w:t>
      </w:r>
      <w:r w:rsidR="00043099">
        <w:t xml:space="preserve">ruimte voor </w:t>
      </w:r>
      <w:r w:rsidR="000F5712">
        <w:t>handhaving</w:t>
      </w:r>
      <w:r w:rsidR="00923D9B">
        <w:t>.</w:t>
      </w:r>
      <w:r w:rsidR="00043099">
        <w:t xml:space="preserve"> </w:t>
      </w:r>
      <w:r w:rsidR="004E3100">
        <w:t>In het verleden is er soms (te) heftig gereageerd op een incident</w:t>
      </w:r>
      <w:r w:rsidR="00043099">
        <w:t xml:space="preserve">. </w:t>
      </w:r>
      <w:r w:rsidR="00EA2087">
        <w:t>Die reflex</w:t>
      </w:r>
      <w:r w:rsidR="004E3100">
        <w:t xml:space="preserve"> </w:t>
      </w:r>
      <w:r w:rsidR="000F5712">
        <w:t xml:space="preserve">willen we </w:t>
      </w:r>
      <w:r w:rsidR="004E3100">
        <w:t>zo veel mogelijk richting de toekomst voorkomen.</w:t>
      </w:r>
      <w:r w:rsidR="00795255">
        <w:t xml:space="preserve"> De koers kan zo organisaties helpen bij het (jaarlijks) prioriteren van hun </w:t>
      </w:r>
      <w:r w:rsidR="000F5712">
        <w:t xml:space="preserve">handhavingsinzet </w:t>
      </w:r>
      <w:r w:rsidR="00795255">
        <w:t>en</w:t>
      </w:r>
      <w:r w:rsidR="000F5712">
        <w:t xml:space="preserve"> preventieve</w:t>
      </w:r>
      <w:r w:rsidR="00795255">
        <w:t xml:space="preserve"> acties.</w:t>
      </w:r>
      <w:bookmarkStart w:name="_Hlk215831507" w:id="0"/>
    </w:p>
    <w:p w:rsidR="00AE5016" w:rsidP="005D15C0" w:rsidRDefault="00AE5016" w14:paraId="4463742E" w14:textId="77777777"/>
    <w:p w:rsidRPr="00AE5016" w:rsidR="00AE5016" w:rsidP="005D15C0" w:rsidRDefault="00AE5016" w14:paraId="366CE998" w14:textId="77777777">
      <w:pPr>
        <w:rPr>
          <w:i/>
          <w:iCs/>
        </w:rPr>
      </w:pPr>
      <w:r>
        <w:rPr>
          <w:i/>
          <w:iCs/>
        </w:rPr>
        <w:t>Leeswijzer</w:t>
      </w:r>
    </w:p>
    <w:p w:rsidR="00AE5016" w:rsidP="005D15C0" w:rsidRDefault="00AE5016" w14:paraId="0B4A40BE" w14:textId="77777777">
      <w:pPr>
        <w:rPr>
          <w:rFonts w:cstheme="minorHAnsi"/>
        </w:rPr>
      </w:pPr>
      <w:r>
        <w:t xml:space="preserve">In sectie 2 staan de belangrijkste punten van de koers. Sectie 3 gaat over definities en normeringen in het handhavingsbeleid. In sectie 4 en 5 worden de belangrijkste beleidsontwikkelingen benoemd in het domein van de sociale zekerheid (4) en de arbeidswetten (5). In sectie 6 staan de belangrijkste punten uit het documentenonderzoek, de burgerraadpleging, de werksessies met professionals en ervaringsdeskundigen, en de expertinterviews. In de laatste sessie worden conclusies en een vooruitblik gegeven. </w:t>
      </w:r>
    </w:p>
    <w:p w:rsidR="004E3100" w:rsidP="005D15C0" w:rsidRDefault="004E3100" w14:paraId="3AA2684E" w14:textId="77777777">
      <w:pPr>
        <w:rPr>
          <w:rFonts w:cstheme="minorHAnsi"/>
        </w:rPr>
      </w:pPr>
    </w:p>
    <w:p w:rsidRPr="00841317" w:rsidR="00841317" w:rsidP="00BA33A4" w:rsidRDefault="00841317" w14:paraId="0388436B" w14:textId="77777777">
      <w:pPr>
        <w:pStyle w:val="Lijstalinea"/>
        <w:numPr>
          <w:ilvl w:val="0"/>
          <w:numId w:val="9"/>
        </w:numPr>
        <w:spacing w:after="0"/>
        <w:ind w:left="284" w:hanging="284"/>
        <w:contextualSpacing w:val="0"/>
        <w:rPr>
          <w:rFonts w:cstheme="minorHAnsi"/>
        </w:rPr>
      </w:pPr>
      <w:r w:rsidRPr="00841317">
        <w:rPr>
          <w:rFonts w:cstheme="minorHAnsi"/>
          <w:b/>
          <w:bCs/>
        </w:rPr>
        <w:lastRenderedPageBreak/>
        <w:t xml:space="preserve">De koers </w:t>
      </w:r>
    </w:p>
    <w:p w:rsidR="004E3100" w:rsidP="005D15C0" w:rsidRDefault="00923D9B" w14:paraId="1D8F1380" w14:textId="77777777">
      <w:pPr>
        <w:rPr>
          <w:rFonts w:cstheme="minorHAnsi"/>
        </w:rPr>
      </w:pPr>
      <w:r>
        <w:rPr>
          <w:rFonts w:cstheme="minorHAnsi"/>
        </w:rPr>
        <w:t>De</w:t>
      </w:r>
      <w:r w:rsidRPr="00433272">
        <w:rPr>
          <w:rFonts w:cstheme="minorHAnsi"/>
        </w:rPr>
        <w:t xml:space="preserve"> focus</w:t>
      </w:r>
      <w:r>
        <w:rPr>
          <w:rFonts w:cstheme="minorHAnsi"/>
        </w:rPr>
        <w:t xml:space="preserve"> </w:t>
      </w:r>
      <w:r w:rsidR="004E3100">
        <w:rPr>
          <w:rFonts w:cstheme="minorHAnsi"/>
        </w:rPr>
        <w:t xml:space="preserve">blijft </w:t>
      </w:r>
      <w:r w:rsidRPr="00433272">
        <w:rPr>
          <w:rFonts w:cstheme="minorHAnsi"/>
        </w:rPr>
        <w:t xml:space="preserve">op </w:t>
      </w:r>
      <w:r w:rsidRPr="00923D9B">
        <w:rPr>
          <w:rFonts w:cstheme="minorHAnsi"/>
        </w:rPr>
        <w:t>preventie</w:t>
      </w:r>
      <w:r w:rsidR="004470C6">
        <w:rPr>
          <w:rFonts w:cstheme="minorHAnsi"/>
        </w:rPr>
        <w:t xml:space="preserve"> van overtredingen</w:t>
      </w:r>
      <w:r>
        <w:rPr>
          <w:rFonts w:cstheme="minorHAnsi"/>
        </w:rPr>
        <w:t xml:space="preserve">. </w:t>
      </w:r>
      <w:r w:rsidR="00841317">
        <w:rPr>
          <w:rFonts w:cstheme="minorHAnsi"/>
        </w:rPr>
        <w:t>Als er toch een overtreding is begaan, dan moet de</w:t>
      </w:r>
      <w:r>
        <w:rPr>
          <w:rFonts w:cstheme="minorHAnsi"/>
        </w:rPr>
        <w:t xml:space="preserve"> reactie</w:t>
      </w:r>
      <w:r w:rsidR="00841317">
        <w:rPr>
          <w:rFonts w:cstheme="minorHAnsi"/>
        </w:rPr>
        <w:t xml:space="preserve"> passen</w:t>
      </w:r>
      <w:r w:rsidRPr="00433272">
        <w:rPr>
          <w:rFonts w:cstheme="minorHAnsi"/>
        </w:rPr>
        <w:t xml:space="preserve"> bij de </w:t>
      </w:r>
      <w:r>
        <w:rPr>
          <w:rFonts w:cstheme="minorHAnsi"/>
        </w:rPr>
        <w:t xml:space="preserve">omstandigheden </w:t>
      </w:r>
      <w:r w:rsidRPr="00433272">
        <w:rPr>
          <w:rFonts w:cstheme="minorHAnsi"/>
        </w:rPr>
        <w:t xml:space="preserve">van de </w:t>
      </w:r>
      <w:r>
        <w:rPr>
          <w:rFonts w:cstheme="minorHAnsi"/>
        </w:rPr>
        <w:t xml:space="preserve">overtreding. Ook moet er rekening gehouden </w:t>
      </w:r>
      <w:r w:rsidR="00841317">
        <w:rPr>
          <w:rFonts w:cstheme="minorHAnsi"/>
        </w:rPr>
        <w:t xml:space="preserve">worden </w:t>
      </w:r>
      <w:r>
        <w:rPr>
          <w:rFonts w:cstheme="minorHAnsi"/>
        </w:rPr>
        <w:t xml:space="preserve">met </w:t>
      </w:r>
      <w:r w:rsidRPr="003501D8">
        <w:rPr>
          <w:rFonts w:cstheme="minorHAnsi"/>
        </w:rPr>
        <w:t>de persoonlijke omstandigheden</w:t>
      </w:r>
      <w:r>
        <w:rPr>
          <w:rFonts w:cstheme="minorHAnsi"/>
        </w:rPr>
        <w:t xml:space="preserve"> van de overtreder</w:t>
      </w:r>
      <w:r w:rsidRPr="003501D8">
        <w:rPr>
          <w:rFonts w:cstheme="minorHAnsi"/>
        </w:rPr>
        <w:t>.</w:t>
      </w:r>
      <w:bookmarkEnd w:id="0"/>
      <w:r w:rsidR="004E3100">
        <w:rPr>
          <w:rFonts w:cstheme="minorHAnsi"/>
        </w:rPr>
        <w:t xml:space="preserve"> </w:t>
      </w:r>
      <w:r w:rsidR="00392938">
        <w:rPr>
          <w:rFonts w:cstheme="minorHAnsi"/>
        </w:rPr>
        <w:t>De overheid doet dat vanuit</w:t>
      </w:r>
      <w:r w:rsidRPr="00433272" w:rsidR="008F1829">
        <w:rPr>
          <w:rFonts w:cstheme="minorHAnsi"/>
        </w:rPr>
        <w:t xml:space="preserve"> ambtelijk</w:t>
      </w:r>
      <w:r w:rsidR="008F1829">
        <w:rPr>
          <w:rFonts w:cstheme="minorHAnsi"/>
        </w:rPr>
        <w:t xml:space="preserve"> en bestuurlijk</w:t>
      </w:r>
      <w:r w:rsidRPr="00433272" w:rsidR="008F1829">
        <w:rPr>
          <w:rFonts w:cstheme="minorHAnsi"/>
        </w:rPr>
        <w:t xml:space="preserve"> vakmanschap</w:t>
      </w:r>
      <w:r w:rsidR="00392938">
        <w:rPr>
          <w:rFonts w:cstheme="minorHAnsi"/>
        </w:rPr>
        <w:t>.</w:t>
      </w:r>
      <w:r w:rsidR="00E61C27">
        <w:rPr>
          <w:rStyle w:val="Voetnootmarkering"/>
          <w:rFonts w:cstheme="minorHAnsi"/>
        </w:rPr>
        <w:footnoteReference w:id="2"/>
      </w:r>
      <w:r w:rsidR="00392938">
        <w:rPr>
          <w:rFonts w:cstheme="minorHAnsi"/>
        </w:rPr>
        <w:t xml:space="preserve"> </w:t>
      </w:r>
      <w:r w:rsidRPr="003501D8" w:rsidR="005D15C0">
        <w:rPr>
          <w:rFonts w:cstheme="minorHAnsi"/>
        </w:rPr>
        <w:t>SZW, de SVB, UWV, gemeenten en de</w:t>
      </w:r>
      <w:r w:rsidR="005D15C0">
        <w:rPr>
          <w:rFonts w:cstheme="minorHAnsi"/>
        </w:rPr>
        <w:t xml:space="preserve"> Nederlandse </w:t>
      </w:r>
      <w:r w:rsidR="005359AC">
        <w:rPr>
          <w:rFonts w:cstheme="minorHAnsi"/>
        </w:rPr>
        <w:t xml:space="preserve">Arbeidsinspectie </w:t>
      </w:r>
      <w:r w:rsidR="005D15C0">
        <w:rPr>
          <w:rFonts w:cstheme="minorHAnsi"/>
        </w:rPr>
        <w:t>(</w:t>
      </w:r>
      <w:r w:rsidR="005359AC">
        <w:rPr>
          <w:rFonts w:cstheme="minorHAnsi"/>
        </w:rPr>
        <w:t>hierna: Arbeidsinspectie)</w:t>
      </w:r>
      <w:r w:rsidRPr="003501D8" w:rsidR="005D15C0">
        <w:rPr>
          <w:rFonts w:cstheme="minorHAnsi"/>
        </w:rPr>
        <w:t xml:space="preserve">, werken daar dagelijks aan. </w:t>
      </w:r>
    </w:p>
    <w:p w:rsidR="004D14AA" w:rsidP="00A60B4E" w:rsidRDefault="004D14AA" w14:paraId="14EBCEC0" w14:textId="77777777">
      <w:pPr>
        <w:spacing w:line="240" w:lineRule="auto"/>
        <w:rPr>
          <w:rFonts w:cstheme="minorHAnsi"/>
          <w:bCs/>
        </w:rPr>
      </w:pPr>
    </w:p>
    <w:p w:rsidRPr="006D78D1" w:rsidR="004D14AA" w:rsidP="004D14AA" w:rsidRDefault="004D14AA" w14:paraId="35674689" w14:textId="77777777">
      <w:r>
        <w:t xml:space="preserve">Het perspectief van de burger en de uitvoeringsprofessional speelt een belangrijke rol in </w:t>
      </w:r>
      <w:r w:rsidR="00EB6A53">
        <w:t xml:space="preserve">het </w:t>
      </w:r>
      <w:r>
        <w:t xml:space="preserve">handhavingsbeleid. Uitgaan van vertrouwen is daarbij een belangrijk vertrekpunt. Dit betekent dat de overheid ervan uitgaat dat </w:t>
      </w:r>
      <w:r w:rsidR="007916A4">
        <w:t>mensen</w:t>
      </w:r>
      <w:r>
        <w:t xml:space="preserve"> bedrijven en ondernemers het juiste willen doen. Dit betekent ook dat de uitvoerders in de sociale zekerheid en de toezichthouder de ruimte krijgen individuele omstandigheden mee te wegen in besluitvorming. Met name in de sociale zekerheid is daar de afgelopen jaren verder op ingezet, bijvoorbeeld </w:t>
      </w:r>
      <w:r w:rsidR="005B1A93">
        <w:t xml:space="preserve">door </w:t>
      </w:r>
      <w:r>
        <w:t xml:space="preserve">de </w:t>
      </w:r>
      <w:r w:rsidRPr="006D78D1">
        <w:t>UWV Maatwerkplaats</w:t>
      </w:r>
      <w:r>
        <w:t>,</w:t>
      </w:r>
      <w:r w:rsidRPr="006D78D1">
        <w:t xml:space="preserve"> de Garage de Bedoeling </w:t>
      </w:r>
      <w:r>
        <w:t xml:space="preserve">en de Maatwerkplaats in dienstverlening </w:t>
      </w:r>
      <w:r w:rsidRPr="006D78D1">
        <w:t xml:space="preserve">van de SVB. </w:t>
      </w:r>
    </w:p>
    <w:p w:rsidR="004D14AA" w:rsidP="00A60B4E" w:rsidRDefault="004D14AA" w14:paraId="5609C4BE" w14:textId="77777777">
      <w:pPr>
        <w:spacing w:line="240" w:lineRule="auto"/>
        <w:rPr>
          <w:rFonts w:cstheme="minorHAnsi"/>
          <w:bCs/>
        </w:rPr>
      </w:pPr>
    </w:p>
    <w:p w:rsidR="00E61C27" w:rsidP="004D14AA" w:rsidRDefault="00E61C27" w14:paraId="4FCD9818" w14:textId="77777777">
      <w:pPr>
        <w:rPr>
          <w:rFonts w:cstheme="minorHAnsi"/>
        </w:rPr>
      </w:pPr>
      <w:r>
        <w:rPr>
          <w:rFonts w:cstheme="minorHAnsi"/>
        </w:rPr>
        <w:t>W</w:t>
      </w:r>
      <w:r w:rsidRPr="003501D8">
        <w:rPr>
          <w:rFonts w:cstheme="minorHAnsi"/>
        </w:rPr>
        <w:t xml:space="preserve">aar betaald werken niet (meer) mogelijk of passend is, </w:t>
      </w:r>
      <w:r>
        <w:rPr>
          <w:rFonts w:cstheme="minorHAnsi"/>
        </w:rPr>
        <w:t>voorziet</w:t>
      </w:r>
      <w:r w:rsidRPr="003501D8">
        <w:rPr>
          <w:rFonts w:cstheme="minorHAnsi"/>
        </w:rPr>
        <w:t xml:space="preserve"> SZW </w:t>
      </w:r>
      <w:r>
        <w:rPr>
          <w:rFonts w:cstheme="minorHAnsi"/>
        </w:rPr>
        <w:t xml:space="preserve">in de </w:t>
      </w:r>
      <w:r w:rsidRPr="003501D8">
        <w:rPr>
          <w:rFonts w:cstheme="minorHAnsi"/>
        </w:rPr>
        <w:t xml:space="preserve">bestaanszekerheid voor </w:t>
      </w:r>
      <w:r>
        <w:rPr>
          <w:rFonts w:cstheme="minorHAnsi"/>
        </w:rPr>
        <w:t>mensen</w:t>
      </w:r>
      <w:r w:rsidRPr="003501D8">
        <w:rPr>
          <w:rFonts w:cstheme="minorHAnsi"/>
        </w:rPr>
        <w:t xml:space="preserve"> via </w:t>
      </w:r>
      <w:r>
        <w:rPr>
          <w:rFonts w:cstheme="minorHAnsi"/>
        </w:rPr>
        <w:t>s</w:t>
      </w:r>
      <w:r w:rsidRPr="003501D8">
        <w:rPr>
          <w:rFonts w:cstheme="minorHAnsi"/>
        </w:rPr>
        <w:t>ocialezekerheidsregelingen.</w:t>
      </w:r>
      <w:r>
        <w:rPr>
          <w:rFonts w:cstheme="minorHAnsi"/>
        </w:rPr>
        <w:t xml:space="preserve"> </w:t>
      </w:r>
      <w:r w:rsidRPr="003501D8">
        <w:rPr>
          <w:rFonts w:cstheme="minorHAnsi"/>
        </w:rPr>
        <w:t xml:space="preserve">Het doel van handhavingsbeleid </w:t>
      </w:r>
      <w:r>
        <w:rPr>
          <w:rFonts w:cstheme="minorHAnsi"/>
        </w:rPr>
        <w:t xml:space="preserve">in de sociale zekerheid </w:t>
      </w:r>
      <w:r w:rsidRPr="003501D8">
        <w:rPr>
          <w:rFonts w:cstheme="minorHAnsi"/>
        </w:rPr>
        <w:t xml:space="preserve">is het bevorderen van naleving en </w:t>
      </w:r>
      <w:r>
        <w:rPr>
          <w:rFonts w:cstheme="minorHAnsi"/>
        </w:rPr>
        <w:t xml:space="preserve">passend optreden bij regelovertreding. </w:t>
      </w:r>
      <w:r w:rsidRPr="003501D8">
        <w:rPr>
          <w:rFonts w:cstheme="minorHAnsi"/>
        </w:rPr>
        <w:t>D</w:t>
      </w:r>
      <w:r>
        <w:rPr>
          <w:rFonts w:cstheme="minorHAnsi"/>
        </w:rPr>
        <w:t xml:space="preserve">e aanpak van onrechtmatig gebruik </w:t>
      </w:r>
      <w:r w:rsidRPr="003501D8">
        <w:rPr>
          <w:rFonts w:cstheme="minorHAnsi"/>
        </w:rPr>
        <w:t>dient het draagvlak</w:t>
      </w:r>
      <w:r>
        <w:rPr>
          <w:rFonts w:cstheme="minorHAnsi"/>
        </w:rPr>
        <w:t xml:space="preserve"> voor en de betaalbaarheid van </w:t>
      </w:r>
      <w:r w:rsidRPr="003501D8">
        <w:rPr>
          <w:rFonts w:cstheme="minorHAnsi"/>
        </w:rPr>
        <w:t>de sociale zekerh</w:t>
      </w:r>
      <w:r>
        <w:rPr>
          <w:rFonts w:cstheme="minorHAnsi"/>
        </w:rPr>
        <w:t>eid</w:t>
      </w:r>
      <w:r w:rsidRPr="003501D8">
        <w:rPr>
          <w:rFonts w:cstheme="minorHAnsi"/>
        </w:rPr>
        <w:t xml:space="preserve"> </w:t>
      </w:r>
      <w:r>
        <w:rPr>
          <w:rFonts w:cstheme="minorHAnsi"/>
        </w:rPr>
        <w:t>in de samenleving</w:t>
      </w:r>
      <w:r w:rsidRPr="003501D8">
        <w:rPr>
          <w:rFonts w:cstheme="minorHAnsi"/>
        </w:rPr>
        <w:t>.</w:t>
      </w:r>
      <w:r>
        <w:rPr>
          <w:rFonts w:cstheme="minorHAnsi"/>
        </w:rPr>
        <w:t xml:space="preserve"> Handhaving zorgt ervoor dat </w:t>
      </w:r>
      <w:r w:rsidR="007916A4">
        <w:rPr>
          <w:rFonts w:cstheme="minorHAnsi"/>
        </w:rPr>
        <w:t>mensen</w:t>
      </w:r>
      <w:r>
        <w:rPr>
          <w:rFonts w:cstheme="minorHAnsi"/>
        </w:rPr>
        <w:t xml:space="preserve"> die </w:t>
      </w:r>
      <w:r w:rsidRPr="003501D8">
        <w:rPr>
          <w:rFonts w:cstheme="minorHAnsi"/>
        </w:rPr>
        <w:t>een beroep doe</w:t>
      </w:r>
      <w:r>
        <w:rPr>
          <w:rFonts w:cstheme="minorHAnsi"/>
        </w:rPr>
        <w:t>n</w:t>
      </w:r>
      <w:r w:rsidRPr="003501D8">
        <w:rPr>
          <w:rFonts w:cstheme="minorHAnsi"/>
        </w:rPr>
        <w:t xml:space="preserve"> op de sociale zekerheid</w:t>
      </w:r>
      <w:r>
        <w:rPr>
          <w:rFonts w:cstheme="minorHAnsi"/>
        </w:rPr>
        <w:t>,</w:t>
      </w:r>
      <w:r w:rsidRPr="003501D8">
        <w:rPr>
          <w:rFonts w:cstheme="minorHAnsi"/>
        </w:rPr>
        <w:t xml:space="preserve"> </w:t>
      </w:r>
      <w:r>
        <w:rPr>
          <w:rFonts w:cstheme="minorHAnsi"/>
        </w:rPr>
        <w:t>deze ondersteuning ook kunnen en blijven ontvangen.</w:t>
      </w:r>
      <w:r w:rsidRPr="003501D8">
        <w:rPr>
          <w:rFonts w:cstheme="minorHAnsi"/>
        </w:rPr>
        <w:t xml:space="preserve"> Handhaving in de sociale zekerheid dient </w:t>
      </w:r>
      <w:r>
        <w:rPr>
          <w:rFonts w:cstheme="minorHAnsi"/>
        </w:rPr>
        <w:t>zo</w:t>
      </w:r>
      <w:r w:rsidRPr="003501D8">
        <w:rPr>
          <w:rFonts w:cstheme="minorHAnsi"/>
        </w:rPr>
        <w:t xml:space="preserve"> de doelstellingen die aan de sociale zekerheid ten grondslag liggen</w:t>
      </w:r>
      <w:r>
        <w:rPr>
          <w:rFonts w:cstheme="minorHAnsi"/>
        </w:rPr>
        <w:t xml:space="preserve">: inkomensondersteuning en bestaanszekerheid. </w:t>
      </w:r>
    </w:p>
    <w:p w:rsidR="00E61C27" w:rsidP="004D14AA" w:rsidRDefault="00E61C27" w14:paraId="1D50C037" w14:textId="77777777">
      <w:pPr>
        <w:rPr>
          <w:rFonts w:cstheme="minorHAnsi"/>
        </w:rPr>
      </w:pPr>
    </w:p>
    <w:p w:rsidR="00EB6A53" w:rsidP="004D14AA" w:rsidRDefault="004D14AA" w14:paraId="3DEABC3F" w14:textId="77777777">
      <w:pPr>
        <w:rPr>
          <w:rFonts w:cstheme="minorHAnsi"/>
        </w:rPr>
      </w:pPr>
      <w:r w:rsidRPr="003501D8">
        <w:rPr>
          <w:rFonts w:cstheme="minorHAnsi"/>
        </w:rPr>
        <w:t xml:space="preserve">De verantwoordelijkheid voor het naleven van de regels in de sociale zekerheid en op </w:t>
      </w:r>
      <w:r>
        <w:rPr>
          <w:rFonts w:cstheme="minorHAnsi"/>
        </w:rPr>
        <w:t>het</w:t>
      </w:r>
      <w:r w:rsidRPr="003501D8">
        <w:rPr>
          <w:rFonts w:cstheme="minorHAnsi"/>
        </w:rPr>
        <w:t xml:space="preserve"> arbeids</w:t>
      </w:r>
      <w:r>
        <w:rPr>
          <w:rFonts w:cstheme="minorHAnsi"/>
        </w:rPr>
        <w:t>domein</w:t>
      </w:r>
      <w:r w:rsidRPr="003501D8">
        <w:rPr>
          <w:rFonts w:cstheme="minorHAnsi"/>
        </w:rPr>
        <w:t xml:space="preserve"> ligt in eerste instantie bij </w:t>
      </w:r>
      <w:r w:rsidR="007916A4">
        <w:rPr>
          <w:rFonts w:cstheme="minorHAnsi"/>
        </w:rPr>
        <w:t>mensen</w:t>
      </w:r>
      <w:r>
        <w:rPr>
          <w:rFonts w:cstheme="minorHAnsi"/>
        </w:rPr>
        <w:t>,</w:t>
      </w:r>
      <w:r w:rsidRPr="003501D8">
        <w:rPr>
          <w:rFonts w:cstheme="minorHAnsi"/>
        </w:rPr>
        <w:t xml:space="preserve"> bedrijven </w:t>
      </w:r>
      <w:r>
        <w:rPr>
          <w:rFonts w:cstheme="minorHAnsi"/>
        </w:rPr>
        <w:t>en ondernemers</w:t>
      </w:r>
      <w:r w:rsidRPr="003501D8">
        <w:rPr>
          <w:rFonts w:cstheme="minorHAnsi"/>
        </w:rPr>
        <w:t xml:space="preserve"> zelf. </w:t>
      </w:r>
      <w:r>
        <w:rPr>
          <w:rFonts w:cstheme="minorHAnsi"/>
        </w:rPr>
        <w:t xml:space="preserve">Zij kunnen ondersteund en geholpen worden met instrumenten vanuit de overheid. Deze preventieve instrumenten zijn onder andere: duidelijke, eenvoudige regelgeving en heldere voorlichting. Daar waar blijkt dat </w:t>
      </w:r>
      <w:r w:rsidR="007916A4">
        <w:rPr>
          <w:rFonts w:cstheme="minorHAnsi"/>
        </w:rPr>
        <w:t>mensen</w:t>
      </w:r>
      <w:r>
        <w:rPr>
          <w:rFonts w:cstheme="minorHAnsi"/>
        </w:rPr>
        <w:t xml:space="preserve"> </w:t>
      </w:r>
      <w:r w:rsidR="007343D1">
        <w:rPr>
          <w:rFonts w:cstheme="minorHAnsi"/>
        </w:rPr>
        <w:t xml:space="preserve">per ongeluk </w:t>
      </w:r>
      <w:r>
        <w:rPr>
          <w:rFonts w:cstheme="minorHAnsi"/>
        </w:rPr>
        <w:t>fouten maken in de naleving van de sociale zekerheidsregelgeving introduceert SZW instrumenten die daarbij passen, zoals de mogelijkheid om af te zien van sanctioneren.</w:t>
      </w:r>
      <w:r w:rsidR="00EB6A53">
        <w:rPr>
          <w:rFonts w:cstheme="minorHAnsi"/>
        </w:rPr>
        <w:t xml:space="preserve"> </w:t>
      </w:r>
      <w:r>
        <w:rPr>
          <w:rFonts w:cstheme="minorHAnsi"/>
        </w:rPr>
        <w:t xml:space="preserve"> </w:t>
      </w:r>
    </w:p>
    <w:p w:rsidR="00EB6A53" w:rsidP="004D14AA" w:rsidRDefault="00EB6A53" w14:paraId="7144948D" w14:textId="77777777">
      <w:pPr>
        <w:rPr>
          <w:rFonts w:cstheme="minorHAnsi"/>
        </w:rPr>
      </w:pPr>
    </w:p>
    <w:p w:rsidR="004D14AA" w:rsidP="004D14AA" w:rsidRDefault="004D14AA" w14:paraId="6F03D2FD" w14:textId="77777777">
      <w:pPr>
        <w:rPr>
          <w:rFonts w:cstheme="minorHAnsi"/>
        </w:rPr>
      </w:pPr>
      <w:r>
        <w:rPr>
          <w:rFonts w:cstheme="minorHAnsi"/>
        </w:rPr>
        <w:t>Bij bewuste niet naleving</w:t>
      </w:r>
      <w:r w:rsidR="00E61C27">
        <w:rPr>
          <w:rFonts w:cstheme="minorHAnsi"/>
        </w:rPr>
        <w:t xml:space="preserve"> (misbruik)</w:t>
      </w:r>
      <w:r>
        <w:rPr>
          <w:rFonts w:cstheme="minorHAnsi"/>
        </w:rPr>
        <w:t xml:space="preserve"> in de sociale zekerheid volgt er </w:t>
      </w:r>
      <w:r w:rsidR="00EB6A53">
        <w:rPr>
          <w:rFonts w:cstheme="minorHAnsi"/>
        </w:rPr>
        <w:t xml:space="preserve">in beginsel </w:t>
      </w:r>
      <w:r>
        <w:rPr>
          <w:rFonts w:cstheme="minorHAnsi"/>
        </w:rPr>
        <w:t xml:space="preserve">een sanctie. Te veel betaalde bedragen worden terug- en ingevorderd (ook bij herziening). Als er in het arbeidswettendomein </w:t>
      </w:r>
      <w:r w:rsidRPr="003501D8">
        <w:rPr>
          <w:rFonts w:cstheme="minorHAnsi"/>
        </w:rPr>
        <w:t>sprake is van bewuste niet-naleving</w:t>
      </w:r>
      <w:r>
        <w:rPr>
          <w:rFonts w:cstheme="minorHAnsi"/>
        </w:rPr>
        <w:t>,</w:t>
      </w:r>
      <w:r w:rsidRPr="003501D8">
        <w:rPr>
          <w:rFonts w:cstheme="minorHAnsi"/>
        </w:rPr>
        <w:t xml:space="preserve"> of van e</w:t>
      </w:r>
      <w:r>
        <w:rPr>
          <w:rFonts w:cstheme="minorHAnsi"/>
        </w:rPr>
        <w:t>vidente</w:t>
      </w:r>
      <w:r w:rsidRPr="003501D8">
        <w:rPr>
          <w:rFonts w:cstheme="minorHAnsi"/>
        </w:rPr>
        <w:t xml:space="preserve"> misstanden</w:t>
      </w:r>
      <w:r>
        <w:rPr>
          <w:rFonts w:cstheme="minorHAnsi"/>
        </w:rPr>
        <w:t>,</w:t>
      </w:r>
      <w:r w:rsidRPr="003501D8">
        <w:rPr>
          <w:rFonts w:cstheme="minorHAnsi"/>
        </w:rPr>
        <w:t xml:space="preserve"> </w:t>
      </w:r>
      <w:r>
        <w:rPr>
          <w:rFonts w:cstheme="minorHAnsi"/>
        </w:rPr>
        <w:t xml:space="preserve">dan </w:t>
      </w:r>
      <w:r w:rsidRPr="003501D8">
        <w:rPr>
          <w:rFonts w:cstheme="minorHAnsi"/>
        </w:rPr>
        <w:t xml:space="preserve">kunnen </w:t>
      </w:r>
      <w:r>
        <w:rPr>
          <w:rFonts w:cstheme="minorHAnsi"/>
        </w:rPr>
        <w:t xml:space="preserve">ook </w:t>
      </w:r>
      <w:r w:rsidRPr="003501D8">
        <w:rPr>
          <w:rFonts w:cstheme="minorHAnsi"/>
        </w:rPr>
        <w:t>instrumenten ingezet worden</w:t>
      </w:r>
      <w:r>
        <w:rPr>
          <w:rFonts w:cstheme="minorHAnsi"/>
        </w:rPr>
        <w:t xml:space="preserve"> door de </w:t>
      </w:r>
      <w:r w:rsidR="005359AC">
        <w:rPr>
          <w:rFonts w:cstheme="minorHAnsi"/>
        </w:rPr>
        <w:t>Arbeidsinspectie</w:t>
      </w:r>
      <w:r>
        <w:rPr>
          <w:rFonts w:cstheme="minorHAnsi"/>
        </w:rPr>
        <w:t xml:space="preserve">. Dit zijn: </w:t>
      </w:r>
      <w:r w:rsidRPr="003501D8">
        <w:rPr>
          <w:rFonts w:cstheme="minorHAnsi"/>
        </w:rPr>
        <w:t>een eis tot naleving</w:t>
      </w:r>
      <w:r>
        <w:rPr>
          <w:rFonts w:cstheme="minorHAnsi"/>
        </w:rPr>
        <w:t xml:space="preserve">, </w:t>
      </w:r>
      <w:r w:rsidR="005B6471">
        <w:rPr>
          <w:rFonts w:cstheme="minorHAnsi"/>
        </w:rPr>
        <w:t xml:space="preserve">last onder dwangsom, </w:t>
      </w:r>
      <w:r w:rsidRPr="003501D8">
        <w:rPr>
          <w:rFonts w:cstheme="minorHAnsi"/>
        </w:rPr>
        <w:t>bestuurlijke boetes of een tijdelijke</w:t>
      </w:r>
      <w:r w:rsidR="005B6471">
        <w:rPr>
          <w:rFonts w:cstheme="minorHAnsi"/>
        </w:rPr>
        <w:t xml:space="preserve"> stillegging</w:t>
      </w:r>
      <w:r w:rsidRPr="003501D8">
        <w:rPr>
          <w:rFonts w:cstheme="minorHAnsi"/>
        </w:rPr>
        <w:t>.</w:t>
      </w:r>
    </w:p>
    <w:p w:rsidR="00EB6A53" w:rsidP="004D14AA" w:rsidRDefault="00EB6A53" w14:paraId="00C2382A" w14:textId="77777777">
      <w:pPr>
        <w:rPr>
          <w:rFonts w:cstheme="minorHAnsi"/>
        </w:rPr>
      </w:pPr>
    </w:p>
    <w:p w:rsidR="00EB6A53" w:rsidP="005D15C0" w:rsidRDefault="00EB6A53" w14:paraId="35F1474D" w14:textId="77777777">
      <w:pPr>
        <w:rPr>
          <w:rFonts w:cstheme="minorHAnsi"/>
        </w:rPr>
      </w:pPr>
      <w:r>
        <w:rPr>
          <w:rFonts w:cstheme="minorHAnsi"/>
        </w:rPr>
        <w:t xml:space="preserve">Deze instrumenten zijn er om de doelen van handhaving te dienen. </w:t>
      </w:r>
      <w:r w:rsidR="00C62901">
        <w:rPr>
          <w:rFonts w:cstheme="minorHAnsi"/>
        </w:rPr>
        <w:t xml:space="preserve">De </w:t>
      </w:r>
      <w:r w:rsidR="005359AC">
        <w:rPr>
          <w:rFonts w:cstheme="minorHAnsi"/>
        </w:rPr>
        <w:t xml:space="preserve">Arbeidsinspectie </w:t>
      </w:r>
      <w:r w:rsidR="00C62901">
        <w:rPr>
          <w:rFonts w:cstheme="minorHAnsi"/>
        </w:rPr>
        <w:t xml:space="preserve">houdt toezicht op </w:t>
      </w:r>
      <w:r w:rsidR="005B6471">
        <w:rPr>
          <w:rFonts w:cstheme="minorHAnsi"/>
        </w:rPr>
        <w:t xml:space="preserve">naleving van wet- en regelgeving gericht op </w:t>
      </w:r>
      <w:r w:rsidR="00C62901">
        <w:rPr>
          <w:rFonts w:cstheme="minorHAnsi"/>
        </w:rPr>
        <w:t xml:space="preserve">het </w:t>
      </w:r>
      <w:r w:rsidRPr="00C62901" w:rsidR="00C62901">
        <w:rPr>
          <w:rFonts w:cstheme="minorHAnsi"/>
        </w:rPr>
        <w:t>bevorderen van eerlijk, gezond en veilig werk</w:t>
      </w:r>
      <w:r w:rsidR="00C62901">
        <w:rPr>
          <w:rFonts w:cstheme="minorHAnsi"/>
        </w:rPr>
        <w:t xml:space="preserve">. </w:t>
      </w:r>
      <w:r w:rsidRPr="008F022D" w:rsidR="005D15C0">
        <w:rPr>
          <w:rFonts w:cstheme="minorHAnsi"/>
        </w:rPr>
        <w:t>Bedrijven en ondernemers zijn een zeer diverse doelgroep en functioneren onder uiteenlopende omstandigheden. Het instrumentarium van de toezichthouder</w:t>
      </w:r>
      <w:r w:rsidR="00C62901">
        <w:rPr>
          <w:rFonts w:cstheme="minorHAnsi"/>
        </w:rPr>
        <w:t xml:space="preserve"> (de </w:t>
      </w:r>
      <w:r w:rsidR="005359AC">
        <w:rPr>
          <w:rFonts w:cstheme="minorHAnsi"/>
        </w:rPr>
        <w:t>Arbeidsinspectie</w:t>
      </w:r>
      <w:r w:rsidR="00C62901">
        <w:rPr>
          <w:rFonts w:cstheme="minorHAnsi"/>
        </w:rPr>
        <w:t>)</w:t>
      </w:r>
      <w:r w:rsidRPr="008F022D" w:rsidR="005D15C0">
        <w:rPr>
          <w:rFonts w:cstheme="minorHAnsi"/>
        </w:rPr>
        <w:t xml:space="preserve"> is daarop toegerust. </w:t>
      </w:r>
    </w:p>
    <w:p w:rsidR="00EB6A53" w:rsidP="005D15C0" w:rsidRDefault="00EB6A53" w14:paraId="0449169D" w14:textId="77777777">
      <w:pPr>
        <w:rPr>
          <w:rFonts w:cstheme="minorHAnsi"/>
        </w:rPr>
      </w:pPr>
    </w:p>
    <w:p w:rsidRPr="008F022D" w:rsidR="005D15C0" w:rsidP="005D15C0" w:rsidRDefault="005D15C0" w14:paraId="02F5487A" w14:textId="77777777">
      <w:pPr>
        <w:rPr>
          <w:rFonts w:cstheme="minorHAnsi"/>
        </w:rPr>
      </w:pPr>
      <w:r>
        <w:rPr>
          <w:rFonts w:cstheme="minorHAnsi"/>
        </w:rPr>
        <w:lastRenderedPageBreak/>
        <w:t>B</w:t>
      </w:r>
      <w:r w:rsidRPr="008F022D">
        <w:rPr>
          <w:rFonts w:cstheme="minorHAnsi"/>
        </w:rPr>
        <w:t xml:space="preserve">oetes </w:t>
      </w:r>
      <w:r>
        <w:rPr>
          <w:rFonts w:cstheme="minorHAnsi"/>
        </w:rPr>
        <w:t xml:space="preserve">zijn </w:t>
      </w:r>
      <w:r w:rsidRPr="008F022D">
        <w:rPr>
          <w:rFonts w:cstheme="minorHAnsi"/>
        </w:rPr>
        <w:t xml:space="preserve">effectief als de </w:t>
      </w:r>
      <w:r>
        <w:rPr>
          <w:rFonts w:cstheme="minorHAnsi"/>
        </w:rPr>
        <w:t xml:space="preserve">(gepercipieerde) </w:t>
      </w:r>
      <w:r w:rsidRPr="008F022D">
        <w:rPr>
          <w:rFonts w:cstheme="minorHAnsi"/>
        </w:rPr>
        <w:t xml:space="preserve">pakkans hoog is, de boete zwaarder weegt dan de financiële baten van de overtreding, en de overtreder over voldoende kennis en capaciteit beschikt om wel aan de wettelijke vereisten te voldoen. Het is ook belangrijk om op te merken dat uit inspecties en onderzoek blijkt dat de doelgroep overtreders in het arbeidsdomein </w:t>
      </w:r>
      <w:r>
        <w:rPr>
          <w:rFonts w:cstheme="minorHAnsi"/>
        </w:rPr>
        <w:t>vaker</w:t>
      </w:r>
      <w:r w:rsidRPr="008F022D">
        <w:rPr>
          <w:rFonts w:cstheme="minorHAnsi"/>
        </w:rPr>
        <w:t xml:space="preserve"> bestaat uit onbewuste overtreders (de zogenaamde ‘niet-weters’ en ‘niet-kunners’) dan uit berekenende ‘niet-willers’.</w:t>
      </w:r>
      <w:r>
        <w:rPr>
          <w:rStyle w:val="Voetnootmarkering"/>
          <w:rFonts w:cstheme="minorHAnsi"/>
        </w:rPr>
        <w:footnoteReference w:id="3"/>
      </w:r>
      <w:r>
        <w:rPr>
          <w:rFonts w:cstheme="minorHAnsi"/>
        </w:rPr>
        <w:t xml:space="preserve"> </w:t>
      </w:r>
    </w:p>
    <w:p w:rsidR="00EB6A53" w:rsidP="00A60B4E" w:rsidRDefault="00EB6A53" w14:paraId="16EA0FB8" w14:textId="77777777">
      <w:pPr>
        <w:pStyle w:val="Citaat"/>
        <w:spacing w:before="0" w:after="0"/>
        <w:jc w:val="left"/>
        <w:rPr>
          <w:rFonts w:ascii="Verdana" w:hAnsi="Verdana" w:eastAsia="DejaVu Sans" w:cs="Lohit Hindi"/>
          <w:color w:val="000000"/>
          <w:kern w:val="0"/>
          <w:sz w:val="18"/>
          <w:szCs w:val="18"/>
          <w:lang w:eastAsia="nl-NL"/>
          <w14:ligatures w14:val="none"/>
        </w:rPr>
      </w:pPr>
    </w:p>
    <w:p w:rsidR="00EB6A53" w:rsidP="00EB6A53" w:rsidRDefault="00EB6A53" w14:paraId="2C69BD72" w14:textId="77777777">
      <w:pPr>
        <w:spacing w:line="240" w:lineRule="auto"/>
        <w:rPr>
          <w:rFonts w:cstheme="minorHAnsi"/>
        </w:rPr>
      </w:pPr>
      <w:r>
        <w:rPr>
          <w:rFonts w:cstheme="minorHAnsi"/>
          <w:bCs/>
        </w:rPr>
        <w:t>In de vorige koers zijn dilemma’s benoemd. Sommige daarvan zijn nog steeds actueel. In de</w:t>
      </w:r>
      <w:r w:rsidR="005B1A93">
        <w:rPr>
          <w:rFonts w:cstheme="minorHAnsi"/>
          <w:bCs/>
        </w:rPr>
        <w:t>ze</w:t>
      </w:r>
      <w:r>
        <w:rPr>
          <w:rFonts w:cstheme="minorHAnsi"/>
          <w:bCs/>
        </w:rPr>
        <w:t xml:space="preserve"> koers staan ook nieuwe dilemma’s. Deze dilemma’s zijn het vertrekpunt voor het gesprek tussen beleid, uitvoering en politiek.</w:t>
      </w:r>
      <w:r>
        <w:rPr>
          <w:rFonts w:cstheme="minorHAnsi"/>
        </w:rPr>
        <w:t xml:space="preserve"> </w:t>
      </w:r>
    </w:p>
    <w:p w:rsidRPr="00EB6A53" w:rsidR="00EB6A53" w:rsidP="00EB6A53" w:rsidRDefault="00EB6A53" w14:paraId="6F958059" w14:textId="77777777"/>
    <w:p w:rsidRPr="002C39F2" w:rsidR="005D15C0" w:rsidP="00A60B4E" w:rsidRDefault="005D15C0" w14:paraId="5569D08A"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Dilemma</w:t>
      </w:r>
      <w:r w:rsidRPr="00A60B4E" w:rsidR="00A60B4E">
        <w:rPr>
          <w:rFonts w:ascii="Verdana" w:hAnsi="Verdana" w:eastAsia="DejaVu Sans" w:cs="Lohit Hindi"/>
          <w:color w:val="000000"/>
          <w:kern w:val="0"/>
          <w:sz w:val="18"/>
          <w:szCs w:val="18"/>
          <w:lang w:eastAsia="nl-NL"/>
          <w14:ligatures w14:val="none"/>
        </w:rPr>
        <w:t xml:space="preserve"> 1</w:t>
      </w:r>
      <w:r w:rsidRPr="00A60B4E">
        <w:rPr>
          <w:rFonts w:ascii="Verdana" w:hAnsi="Verdana" w:eastAsia="DejaVu Sans" w:cs="Lohit Hindi"/>
          <w:color w:val="000000"/>
          <w:kern w:val="0"/>
          <w:sz w:val="18"/>
          <w:szCs w:val="18"/>
          <w:lang w:eastAsia="nl-NL"/>
          <w14:ligatures w14:val="none"/>
        </w:rPr>
        <w:t>: Preventie versus Repressie</w:t>
      </w:r>
      <w:r w:rsidRPr="00A60B4E" w:rsidR="00A60B4E">
        <w:rPr>
          <w:rFonts w:ascii="Verdana" w:hAnsi="Verdana" w:eastAsia="DejaVu Sans" w:cs="Lohit Hindi"/>
          <w:color w:val="000000"/>
          <w:kern w:val="0"/>
          <w:sz w:val="18"/>
          <w:szCs w:val="18"/>
          <w:lang w:eastAsia="nl-NL"/>
          <w14:ligatures w14:val="none"/>
        </w:rPr>
        <w:t xml:space="preserve"> </w:t>
      </w:r>
      <w:r w:rsidRPr="00A60B4E" w:rsidR="00A60B4E">
        <w:rPr>
          <w:rFonts w:ascii="Verdana" w:hAnsi="Verdana" w:eastAsia="DejaVu Sans" w:cs="Lohit Hindi"/>
          <w:color w:val="000000"/>
          <w:kern w:val="0"/>
          <w:sz w:val="18"/>
          <w:szCs w:val="18"/>
          <w:lang w:eastAsia="nl-NL"/>
          <w14:ligatures w14:val="none"/>
        </w:rPr>
        <w:br/>
      </w:r>
      <w:r w:rsidR="002A6A36">
        <w:rPr>
          <w:rFonts w:ascii="Verdana" w:hAnsi="Verdana" w:eastAsia="DejaVu Sans" w:cs="Lohit Hindi"/>
          <w:color w:val="000000"/>
          <w:kern w:val="0"/>
          <w:sz w:val="18"/>
          <w:szCs w:val="18"/>
          <w:lang w:eastAsia="nl-NL"/>
          <w14:ligatures w14:val="none"/>
        </w:rPr>
        <w:t>Het dilemma is: h</w:t>
      </w:r>
      <w:r w:rsidRPr="00A60B4E">
        <w:rPr>
          <w:rFonts w:ascii="Verdana" w:hAnsi="Verdana" w:eastAsia="DejaVu Sans" w:cs="Lohit Hindi"/>
          <w:color w:val="000000"/>
          <w:kern w:val="0"/>
          <w:sz w:val="18"/>
          <w:szCs w:val="18"/>
          <w:lang w:eastAsia="nl-NL"/>
          <w14:ligatures w14:val="none"/>
        </w:rPr>
        <w:t xml:space="preserve">et vinden van de zorgvuldige balans in het handhavingsbeleid tussen de </w:t>
      </w:r>
      <w:r w:rsidR="00E61C27">
        <w:rPr>
          <w:rFonts w:ascii="Verdana" w:hAnsi="Verdana" w:eastAsia="DejaVu Sans" w:cs="Lohit Hindi"/>
          <w:color w:val="000000"/>
          <w:kern w:val="0"/>
          <w:sz w:val="18"/>
          <w:szCs w:val="18"/>
          <w:lang w:eastAsia="nl-NL"/>
          <w14:ligatures w14:val="none"/>
        </w:rPr>
        <w:t>inzet voor</w:t>
      </w:r>
      <w:r w:rsidRPr="00A60B4E">
        <w:rPr>
          <w:rFonts w:ascii="Verdana" w:hAnsi="Verdana" w:eastAsia="DejaVu Sans" w:cs="Lohit Hindi"/>
          <w:color w:val="000000"/>
          <w:kern w:val="0"/>
          <w:sz w:val="18"/>
          <w:szCs w:val="18"/>
          <w:lang w:eastAsia="nl-NL"/>
          <w14:ligatures w14:val="none"/>
        </w:rPr>
        <w:t xml:space="preserve"> repressie en </w:t>
      </w:r>
      <w:r w:rsidR="00E61C27">
        <w:rPr>
          <w:rFonts w:ascii="Verdana" w:hAnsi="Verdana" w:eastAsia="DejaVu Sans" w:cs="Lohit Hindi"/>
          <w:color w:val="000000"/>
          <w:kern w:val="0"/>
          <w:sz w:val="18"/>
          <w:szCs w:val="18"/>
          <w:lang w:eastAsia="nl-NL"/>
          <w14:ligatures w14:val="none"/>
        </w:rPr>
        <w:t>inzet</w:t>
      </w:r>
      <w:r w:rsidRPr="00A60B4E">
        <w:rPr>
          <w:rFonts w:ascii="Verdana" w:hAnsi="Verdana" w:eastAsia="DejaVu Sans" w:cs="Lohit Hindi"/>
          <w:color w:val="000000"/>
          <w:kern w:val="0"/>
          <w:sz w:val="18"/>
          <w:szCs w:val="18"/>
          <w:lang w:eastAsia="nl-NL"/>
          <w14:ligatures w14:val="none"/>
        </w:rPr>
        <w:t xml:space="preserve"> </w:t>
      </w:r>
      <w:r w:rsidR="00812747">
        <w:rPr>
          <w:rFonts w:ascii="Verdana" w:hAnsi="Verdana" w:eastAsia="DejaVu Sans" w:cs="Lohit Hindi"/>
          <w:color w:val="000000"/>
          <w:kern w:val="0"/>
          <w:sz w:val="18"/>
          <w:szCs w:val="18"/>
          <w:lang w:eastAsia="nl-NL"/>
          <w14:ligatures w14:val="none"/>
        </w:rPr>
        <w:t xml:space="preserve">voor preventie. </w:t>
      </w:r>
      <w:r w:rsidR="0087118F">
        <w:rPr>
          <w:rFonts w:ascii="Verdana" w:hAnsi="Verdana" w:eastAsia="DejaVu Sans" w:cs="Lohit Hindi"/>
          <w:color w:val="000000"/>
          <w:kern w:val="0"/>
          <w:sz w:val="18"/>
          <w:szCs w:val="18"/>
          <w:lang w:eastAsia="nl-NL"/>
          <w14:ligatures w14:val="none"/>
        </w:rPr>
        <w:t xml:space="preserve">Doel </w:t>
      </w:r>
      <w:r w:rsidR="00812747">
        <w:rPr>
          <w:rFonts w:ascii="Verdana" w:hAnsi="Verdana" w:eastAsia="DejaVu Sans" w:cs="Lohit Hindi"/>
          <w:color w:val="000000"/>
          <w:kern w:val="0"/>
          <w:sz w:val="18"/>
          <w:szCs w:val="18"/>
          <w:lang w:eastAsia="nl-NL"/>
          <w14:ligatures w14:val="none"/>
        </w:rPr>
        <w:t xml:space="preserve">is </w:t>
      </w:r>
      <w:r w:rsidRPr="00A60B4E">
        <w:rPr>
          <w:rFonts w:ascii="Verdana" w:hAnsi="Verdana" w:eastAsia="DejaVu Sans" w:cs="Lohit Hindi"/>
          <w:color w:val="000000"/>
          <w:kern w:val="0"/>
          <w:sz w:val="18"/>
          <w:szCs w:val="18"/>
          <w:lang w:eastAsia="nl-NL"/>
          <w14:ligatures w14:val="none"/>
        </w:rPr>
        <w:t>om meer in te zetten</w:t>
      </w:r>
      <w:r w:rsidRPr="00A60B4E" w:rsidR="00D45837">
        <w:rPr>
          <w:rFonts w:ascii="Verdana" w:hAnsi="Verdana" w:eastAsia="DejaVu Sans" w:cs="Lohit Hindi"/>
          <w:color w:val="000000"/>
          <w:kern w:val="0"/>
          <w:sz w:val="18"/>
          <w:szCs w:val="18"/>
          <w:lang w:eastAsia="nl-NL"/>
          <w14:ligatures w14:val="none"/>
        </w:rPr>
        <w:t xml:space="preserve"> op</w:t>
      </w:r>
      <w:r w:rsidRPr="00A60B4E">
        <w:rPr>
          <w:rFonts w:ascii="Verdana" w:hAnsi="Verdana" w:eastAsia="DejaVu Sans" w:cs="Lohit Hindi"/>
          <w:color w:val="000000"/>
          <w:kern w:val="0"/>
          <w:sz w:val="18"/>
          <w:szCs w:val="18"/>
          <w:lang w:eastAsia="nl-NL"/>
          <w14:ligatures w14:val="none"/>
        </w:rPr>
        <w:t xml:space="preserve"> het voorkomen van fouten via preventie van regelovertreding. Teveel repressie leidt tot het onnodig straffen van fouten, teveel uitgaan van vergissingen leidt tot ongestraft misbruik. De koers zet in op vertrouwen en dus het risico accepteren dat misbruik </w:t>
      </w:r>
      <w:r w:rsidR="0087118F">
        <w:rPr>
          <w:rFonts w:ascii="Verdana" w:hAnsi="Verdana" w:eastAsia="DejaVu Sans" w:cs="Lohit Hindi"/>
          <w:color w:val="000000"/>
          <w:kern w:val="0"/>
          <w:sz w:val="18"/>
          <w:szCs w:val="18"/>
          <w:lang w:eastAsia="nl-NL"/>
          <w14:ligatures w14:val="none"/>
        </w:rPr>
        <w:t xml:space="preserve">in sommige gevallen </w:t>
      </w:r>
      <w:r w:rsidRPr="00A60B4E">
        <w:rPr>
          <w:rFonts w:ascii="Verdana" w:hAnsi="Verdana" w:eastAsia="DejaVu Sans" w:cs="Lohit Hindi"/>
          <w:color w:val="000000"/>
          <w:kern w:val="0"/>
          <w:sz w:val="18"/>
          <w:szCs w:val="18"/>
          <w:lang w:eastAsia="nl-NL"/>
          <w14:ligatures w14:val="none"/>
        </w:rPr>
        <w:t>als een vergissing wordt gezien. Dat is beter dan het toch bestraffen van een fout.</w:t>
      </w:r>
      <w:r w:rsidR="002C39F2">
        <w:rPr>
          <w:rFonts w:ascii="Verdana" w:hAnsi="Verdana" w:eastAsia="DejaVu Sans" w:cs="Lohit Hindi"/>
          <w:color w:val="000000"/>
          <w:kern w:val="0"/>
          <w:sz w:val="18"/>
          <w:szCs w:val="18"/>
          <w:lang w:eastAsia="nl-NL"/>
          <w14:ligatures w14:val="none"/>
        </w:rPr>
        <w:t xml:space="preserve"> </w:t>
      </w:r>
      <w:r w:rsidRPr="002A6A36" w:rsidR="002C39F2">
        <w:rPr>
          <w:rFonts w:ascii="Verdana" w:hAnsi="Verdana" w:eastAsia="DejaVu Sans" w:cs="Lohit Hindi"/>
          <w:color w:val="000000"/>
          <w:kern w:val="0"/>
          <w:sz w:val="18"/>
          <w:szCs w:val="18"/>
          <w:lang w:eastAsia="nl-NL"/>
          <w14:ligatures w14:val="none"/>
        </w:rPr>
        <w:t>Maar als het vertrouwen aantoonbaar wordt beschaamd, handhaven we streng.</w:t>
      </w:r>
    </w:p>
    <w:p w:rsidR="00EB6A53" w:rsidP="005D15C0" w:rsidRDefault="00EB6A53" w14:paraId="577221DC" w14:textId="77777777"/>
    <w:p w:rsidR="005D15C0" w:rsidP="005D15C0" w:rsidRDefault="005B1A93" w14:paraId="5089EC0F" w14:textId="77777777">
      <w:r>
        <w:t>Als</w:t>
      </w:r>
      <w:r w:rsidRPr="00DD579D" w:rsidR="005D15C0">
        <w:t xml:space="preserve"> regels onbewust niet worden nageleefd</w:t>
      </w:r>
      <w:r>
        <w:t>, dan</w:t>
      </w:r>
      <w:r w:rsidRPr="00DD579D" w:rsidR="005D15C0">
        <w:t xml:space="preserve"> is er ruimte voor corrigerende handelingen. Als </w:t>
      </w:r>
      <w:r w:rsidR="00DD579D">
        <w:t>het niet</w:t>
      </w:r>
      <w:r>
        <w:t>-</w:t>
      </w:r>
      <w:r w:rsidR="00DD579D">
        <w:t xml:space="preserve">naleven </w:t>
      </w:r>
      <w:r w:rsidRPr="00DD579D" w:rsidR="005D15C0">
        <w:t xml:space="preserve">bewust gebeurt, </w:t>
      </w:r>
      <w:r w:rsidRPr="00DD579D" w:rsidR="00396D16">
        <w:t xml:space="preserve">bijvoorbeeld bij zwart werken, </w:t>
      </w:r>
      <w:r w:rsidRPr="00DD579D" w:rsidR="005D15C0">
        <w:t xml:space="preserve">dan zal er repressief worden opgetreden. </w:t>
      </w:r>
      <w:r>
        <w:t>De</w:t>
      </w:r>
      <w:r w:rsidR="00DD579D">
        <w:t xml:space="preserve"> uitvoering</w:t>
      </w:r>
      <w:r w:rsidR="005D15C0">
        <w:t xml:space="preserve"> </w:t>
      </w:r>
      <w:r>
        <w:t xml:space="preserve">heeft </w:t>
      </w:r>
      <w:r w:rsidR="00DD579D">
        <w:t xml:space="preserve">een </w:t>
      </w:r>
      <w:r w:rsidR="005D15C0">
        <w:t>handhavingsinstrumentarium dat hen in staat stelt proportioneel en evenwichtig te reageren. Zo wordt balans gezocht in het handhavingsbeleid. Dit doel</w:t>
      </w:r>
      <w:r w:rsidR="00DD579D">
        <w:t xml:space="preserve">, passend reageren, </w:t>
      </w:r>
      <w:r w:rsidR="005D15C0">
        <w:t>moet samen gewogen worden met de doelen uit de materiewetten</w:t>
      </w:r>
      <w:r w:rsidR="00DD579D">
        <w:t>. Die doelen zijn</w:t>
      </w:r>
      <w:r w:rsidR="005D15C0">
        <w:t xml:space="preserve"> bijvoorbeeld perspectief op participatie of werk te blijven bieden. Ook na een overtreding moet iemand zich verder kunnen ontwikkelen. </w:t>
      </w:r>
    </w:p>
    <w:p w:rsidR="005D15C0" w:rsidP="005D15C0" w:rsidRDefault="005D15C0" w14:paraId="5631CDF2" w14:textId="77777777">
      <w:pPr>
        <w:rPr>
          <w:rFonts w:cstheme="minorHAnsi"/>
        </w:rPr>
      </w:pPr>
    </w:p>
    <w:p w:rsidRPr="00A60B4E" w:rsidR="005D15C0" w:rsidP="00A60B4E" w:rsidRDefault="005D15C0" w14:paraId="4FB6963A"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Dilemma</w:t>
      </w:r>
      <w:r w:rsidRPr="00A60B4E" w:rsidR="00A60B4E">
        <w:rPr>
          <w:rFonts w:ascii="Verdana" w:hAnsi="Verdana" w:eastAsia="DejaVu Sans" w:cs="Lohit Hindi"/>
          <w:color w:val="000000"/>
          <w:kern w:val="0"/>
          <w:sz w:val="18"/>
          <w:szCs w:val="18"/>
          <w:lang w:eastAsia="nl-NL"/>
          <w14:ligatures w14:val="none"/>
        </w:rPr>
        <w:t xml:space="preserve"> 2</w:t>
      </w:r>
      <w:r w:rsidRPr="00A60B4E">
        <w:rPr>
          <w:rFonts w:ascii="Verdana" w:hAnsi="Verdana" w:eastAsia="DejaVu Sans" w:cs="Lohit Hindi"/>
          <w:color w:val="000000"/>
          <w:kern w:val="0"/>
          <w:sz w:val="18"/>
          <w:szCs w:val="18"/>
          <w:lang w:eastAsia="nl-NL"/>
          <w14:ligatures w14:val="none"/>
        </w:rPr>
        <w:t xml:space="preserve">: Maatwerk versus Willekeur </w:t>
      </w:r>
    </w:p>
    <w:p w:rsidRPr="00A60B4E" w:rsidR="005D15C0" w:rsidP="00A60B4E" w:rsidRDefault="005D15C0" w14:paraId="2AAE1CB1"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De wenselijkheid van het toepassen van maatwerk staat op gespannen voet met het risico van "doorslaan" naar te veel maatwerk. Dat kan leiden tot een risico op willekeur en onduidelijkheid in de uitvoering. Dit is vooral zo wanneer duidelijke kaders ontbreken. De koers is om die kaders vanuit wet- en regelgeving te bieden, en discretionaire ruimte bij de uitvoering te leggen.</w:t>
      </w:r>
    </w:p>
    <w:p w:rsidR="005D15C0" w:rsidP="005D15C0" w:rsidRDefault="005D15C0" w14:paraId="748F822C" w14:textId="77777777">
      <w:pPr>
        <w:rPr>
          <w:rFonts w:cstheme="minorHAnsi"/>
        </w:rPr>
      </w:pPr>
    </w:p>
    <w:p w:rsidR="00FC6908" w:rsidP="005D15C0" w:rsidRDefault="005D15C0" w14:paraId="4081C3F3" w14:textId="77777777">
      <w:pPr>
        <w:rPr>
          <w:rFonts w:cstheme="minorHAnsi"/>
        </w:rPr>
      </w:pPr>
      <w:r>
        <w:rPr>
          <w:rFonts w:cstheme="minorHAnsi"/>
        </w:rPr>
        <w:t xml:space="preserve">Dit dilemma hangt samen met hoge maatschappelijke verwachtingen van handhaving, waarbij de </w:t>
      </w:r>
      <w:r w:rsidR="00846DA5">
        <w:rPr>
          <w:rFonts w:cstheme="minorHAnsi"/>
        </w:rPr>
        <w:t xml:space="preserve">mens </w:t>
      </w:r>
      <w:r>
        <w:rPr>
          <w:rFonts w:cstheme="minorHAnsi"/>
        </w:rPr>
        <w:t xml:space="preserve">centraal staat en er niets mis mag gaan waar de </w:t>
      </w:r>
      <w:r w:rsidR="00846DA5">
        <w:rPr>
          <w:rFonts w:cstheme="minorHAnsi"/>
        </w:rPr>
        <w:t>mens</w:t>
      </w:r>
      <w:r>
        <w:rPr>
          <w:rFonts w:cstheme="minorHAnsi"/>
        </w:rPr>
        <w:t xml:space="preserve"> of de samenleving de dupe van wordt. Daarbij zijn er ook signalen in onderzoeken</w:t>
      </w:r>
      <w:r>
        <w:rPr>
          <w:rStyle w:val="Voetnootmarkering"/>
          <w:rFonts w:cstheme="minorHAnsi"/>
        </w:rPr>
        <w:footnoteReference w:id="4"/>
      </w:r>
      <w:r>
        <w:rPr>
          <w:rFonts w:cstheme="minorHAnsi"/>
        </w:rPr>
        <w:t xml:space="preserve"> dat de pendule in de handhaving te veel is doorgeschoten.</w:t>
      </w:r>
      <w:r>
        <w:rPr>
          <w:rStyle w:val="Voetnootmarkering"/>
          <w:rFonts w:cstheme="minorHAnsi"/>
        </w:rPr>
        <w:footnoteReference w:id="5"/>
      </w:r>
      <w:r>
        <w:rPr>
          <w:rFonts w:cstheme="minorHAnsi"/>
        </w:rPr>
        <w:t xml:space="preserve"> Zo worden er bij een aanzienlijk aantal gemeenten geen boetes of maatregelen opgelegd door ambtenaren in de angst het fout te doen. Toch moeten beleids- en uitvoeringsprofessionals scherp blijven op daadwerkelijk misbruik. De ambitie is dan ook om de pendule in het midden te laten balanceren door een goede balans te bieden tussen het bieden van kaders en het geven van ruimte voor maatwerk.</w:t>
      </w:r>
    </w:p>
    <w:p w:rsidR="005D15C0" w:rsidP="005D15C0" w:rsidRDefault="005D15C0" w14:paraId="4D4725C1" w14:textId="77777777">
      <w:pPr>
        <w:rPr>
          <w:rFonts w:cstheme="minorHAnsi"/>
          <w:b/>
          <w:bCs/>
        </w:rPr>
      </w:pPr>
      <w:r>
        <w:rPr>
          <w:rFonts w:cstheme="minorHAnsi"/>
        </w:rPr>
        <w:lastRenderedPageBreak/>
        <w:t xml:space="preserve"> </w:t>
      </w:r>
    </w:p>
    <w:p w:rsidRPr="00EB6A53" w:rsidR="00EB6A53" w:rsidP="00EB6A53" w:rsidRDefault="005D15C0" w14:paraId="3D804D35" w14:textId="77777777">
      <w:pPr>
        <w:pStyle w:val="Lijstalinea"/>
        <w:numPr>
          <w:ilvl w:val="0"/>
          <w:numId w:val="9"/>
        </w:numPr>
        <w:spacing w:after="0"/>
        <w:ind w:left="284" w:hanging="284"/>
        <w:contextualSpacing w:val="0"/>
        <w:rPr>
          <w:rFonts w:cstheme="minorHAnsi"/>
          <w:b/>
          <w:bCs/>
        </w:rPr>
      </w:pPr>
      <w:bookmarkStart w:name="_Hlk221025323" w:id="1"/>
      <w:r w:rsidRPr="005308A8">
        <w:rPr>
          <w:rFonts w:cstheme="minorHAnsi"/>
          <w:b/>
          <w:bCs/>
        </w:rPr>
        <w:t xml:space="preserve">Definities en normering </w:t>
      </w:r>
    </w:p>
    <w:p w:rsidRPr="00FC7A5E" w:rsidR="005D15C0" w:rsidP="005D15C0" w:rsidRDefault="00841317" w14:paraId="7E1EB9E6" w14:textId="77777777">
      <w:pPr>
        <w:rPr>
          <w:rFonts w:cstheme="minorHAnsi"/>
          <w:bCs/>
        </w:rPr>
      </w:pPr>
      <w:r>
        <w:rPr>
          <w:rFonts w:cstheme="minorHAnsi"/>
          <w:bCs/>
        </w:rPr>
        <w:t>Voor</w:t>
      </w:r>
      <w:r w:rsidR="00205210">
        <w:rPr>
          <w:rFonts w:cstheme="minorHAnsi"/>
          <w:bCs/>
        </w:rPr>
        <w:t xml:space="preserve"> het ontwikkelen v</w:t>
      </w:r>
      <w:r>
        <w:rPr>
          <w:rFonts w:cstheme="minorHAnsi"/>
          <w:bCs/>
        </w:rPr>
        <w:t>a</w:t>
      </w:r>
      <w:r w:rsidR="00205210">
        <w:rPr>
          <w:rFonts w:cstheme="minorHAnsi"/>
          <w:bCs/>
        </w:rPr>
        <w:t xml:space="preserve">n de nieuwe koers is uitgebreid gesproken met uitvoerders, </w:t>
      </w:r>
      <w:r w:rsidR="00E34411">
        <w:rPr>
          <w:rFonts w:cstheme="minorHAnsi"/>
          <w:bCs/>
        </w:rPr>
        <w:t xml:space="preserve">burgers </w:t>
      </w:r>
      <w:r>
        <w:rPr>
          <w:rFonts w:cstheme="minorHAnsi"/>
          <w:bCs/>
        </w:rPr>
        <w:t>en</w:t>
      </w:r>
      <w:r w:rsidR="00205210">
        <w:rPr>
          <w:rFonts w:cstheme="minorHAnsi"/>
          <w:bCs/>
        </w:rPr>
        <w:t xml:space="preserve"> ervaringsdeskundigen.</w:t>
      </w:r>
      <w:r w:rsidR="00AE5016">
        <w:rPr>
          <w:rFonts w:cstheme="minorHAnsi"/>
          <w:bCs/>
        </w:rPr>
        <w:t xml:space="preserve"> Dit past bij de opgave van het ministerie om praktijkgericht te werken.</w:t>
      </w:r>
      <w:r w:rsidR="00205210">
        <w:rPr>
          <w:rFonts w:cstheme="minorHAnsi"/>
          <w:bCs/>
        </w:rPr>
        <w:t xml:space="preserve"> </w:t>
      </w:r>
      <w:r>
        <w:rPr>
          <w:rFonts w:cstheme="minorHAnsi"/>
          <w:bCs/>
        </w:rPr>
        <w:t xml:space="preserve">In deze gesprekken kwam de wens naar voren om </w:t>
      </w:r>
      <w:r w:rsidR="005D15C0">
        <w:rPr>
          <w:rFonts w:cstheme="minorHAnsi"/>
          <w:bCs/>
        </w:rPr>
        <w:t>begrippen te definiëren</w:t>
      </w:r>
      <w:r>
        <w:rPr>
          <w:rFonts w:cstheme="minorHAnsi"/>
          <w:bCs/>
        </w:rPr>
        <w:t xml:space="preserve"> </w:t>
      </w:r>
      <w:r w:rsidR="005D15C0">
        <w:rPr>
          <w:rFonts w:cstheme="minorHAnsi"/>
          <w:bCs/>
        </w:rPr>
        <w:t xml:space="preserve">en waar mogelijk te normeren. Het formuleren van definities schept duidelijkheid in beleidsstukken en uitvoeringsvragen. </w:t>
      </w:r>
      <w:r w:rsidR="00830AE3">
        <w:rPr>
          <w:rFonts w:cstheme="minorHAnsi"/>
          <w:bCs/>
        </w:rPr>
        <w:t>Ook</w:t>
      </w:r>
      <w:r w:rsidR="005D15C0">
        <w:rPr>
          <w:rFonts w:cstheme="minorHAnsi"/>
          <w:bCs/>
        </w:rPr>
        <w:t xml:space="preserve"> scheppen definities en normen de context waarin handhaving plaatsvindt. Deze context is bepalend voor de interpretatie en daarmee indirect de uitkomst van een proces. Om een concreet voorbeeld te noemen: de namen van afdelingen en teams hebben invloed op hoe professionals in hun werk staan. Zo kijkt een team </w:t>
      </w:r>
      <w:r w:rsidR="00830AE3">
        <w:rPr>
          <w:rFonts w:cstheme="minorHAnsi"/>
          <w:bCs/>
        </w:rPr>
        <w:t>‘</w:t>
      </w:r>
      <w:r w:rsidR="005D15C0">
        <w:rPr>
          <w:rFonts w:cstheme="minorHAnsi"/>
          <w:bCs/>
        </w:rPr>
        <w:t>opsporing en misbruik</w:t>
      </w:r>
      <w:r w:rsidR="00830AE3">
        <w:rPr>
          <w:rFonts w:cstheme="minorHAnsi"/>
          <w:bCs/>
        </w:rPr>
        <w:t>’</w:t>
      </w:r>
      <w:r w:rsidR="005D15C0">
        <w:rPr>
          <w:rFonts w:cstheme="minorHAnsi"/>
          <w:bCs/>
        </w:rPr>
        <w:t xml:space="preserve"> anders naar haar werk </w:t>
      </w:r>
      <w:r w:rsidR="005D15C0">
        <w:t xml:space="preserve">dan </w:t>
      </w:r>
      <w:r w:rsidR="005D15C0">
        <w:rPr>
          <w:rFonts w:cstheme="minorHAnsi"/>
          <w:bCs/>
        </w:rPr>
        <w:t xml:space="preserve">een team </w:t>
      </w:r>
      <w:r w:rsidR="00830AE3">
        <w:rPr>
          <w:rFonts w:cstheme="minorHAnsi"/>
          <w:bCs/>
        </w:rPr>
        <w:t>‘</w:t>
      </w:r>
      <w:r w:rsidR="005D15C0">
        <w:rPr>
          <w:rFonts w:cstheme="minorHAnsi"/>
          <w:bCs/>
        </w:rPr>
        <w:t>naleving en preventie</w:t>
      </w:r>
      <w:r w:rsidR="00830AE3">
        <w:rPr>
          <w:rFonts w:cstheme="minorHAnsi"/>
          <w:bCs/>
        </w:rPr>
        <w:t>’</w:t>
      </w:r>
      <w:r w:rsidR="005D15C0">
        <w:rPr>
          <w:rFonts w:cstheme="minorHAnsi"/>
          <w:bCs/>
        </w:rPr>
        <w:t xml:space="preserve">. </w:t>
      </w:r>
    </w:p>
    <w:p w:rsidR="005D15C0" w:rsidP="005D15C0" w:rsidRDefault="005D15C0" w14:paraId="7BCEAFFA" w14:textId="77777777">
      <w:pPr>
        <w:rPr>
          <w:rFonts w:cstheme="minorHAnsi"/>
          <w:bCs/>
        </w:rPr>
      </w:pPr>
    </w:p>
    <w:p w:rsidR="005D15C0" w:rsidP="005D15C0" w:rsidRDefault="005D15C0" w14:paraId="4341FABD" w14:textId="77777777">
      <w:pPr>
        <w:rPr>
          <w:rFonts w:cstheme="minorHAnsi"/>
          <w:bCs/>
        </w:rPr>
      </w:pPr>
      <w:r w:rsidRPr="004F6A5F">
        <w:rPr>
          <w:rFonts w:cstheme="minorHAnsi"/>
          <w:bCs/>
        </w:rPr>
        <w:t xml:space="preserve">Handhaving </w:t>
      </w:r>
      <w:r w:rsidRPr="004E4922">
        <w:t xml:space="preserve">omvat het hele spectrum </w:t>
      </w:r>
      <w:r>
        <w:t xml:space="preserve">aan activiteiten </w:t>
      </w:r>
      <w:r w:rsidRPr="004E4922">
        <w:t xml:space="preserve">van voorlichting </w:t>
      </w:r>
      <w:r w:rsidR="00396D16">
        <w:t xml:space="preserve">(als onderdeel van </w:t>
      </w:r>
      <w:r w:rsidRPr="004E4922">
        <w:t>preventie) tot sanctionering (repressie)</w:t>
      </w:r>
      <w:r>
        <w:t xml:space="preserve"> en tenuitvoerlegging (invordering)</w:t>
      </w:r>
      <w:r w:rsidRPr="004E4922">
        <w:t>.</w:t>
      </w:r>
      <w:r>
        <w:rPr>
          <w:rFonts w:cstheme="minorHAnsi"/>
          <w:bCs/>
        </w:rPr>
        <w:t xml:space="preserve"> H</w:t>
      </w:r>
      <w:r w:rsidRPr="00D11A53">
        <w:rPr>
          <w:rFonts w:cstheme="minorHAnsi"/>
          <w:bCs/>
        </w:rPr>
        <w:t xml:space="preserve">andhaving </w:t>
      </w:r>
      <w:r>
        <w:rPr>
          <w:rFonts w:cstheme="minorHAnsi"/>
          <w:bCs/>
        </w:rPr>
        <w:t>begint met goede dienstverlening, het corrigeren van fouten</w:t>
      </w:r>
      <w:r w:rsidR="00830AE3">
        <w:rPr>
          <w:rFonts w:cstheme="minorHAnsi"/>
          <w:bCs/>
        </w:rPr>
        <w:t xml:space="preserve"> en</w:t>
      </w:r>
      <w:r w:rsidRPr="00D11A53">
        <w:rPr>
          <w:rFonts w:cstheme="minorHAnsi"/>
          <w:bCs/>
        </w:rPr>
        <w:t xml:space="preserve"> het bespreekbaar maken van gedrag</w:t>
      </w:r>
      <w:r w:rsidR="00830AE3">
        <w:rPr>
          <w:rFonts w:cstheme="minorHAnsi"/>
          <w:bCs/>
        </w:rPr>
        <w:t>,</w:t>
      </w:r>
      <w:r>
        <w:rPr>
          <w:rFonts w:cstheme="minorHAnsi"/>
          <w:bCs/>
        </w:rPr>
        <w:t xml:space="preserve"> en toezicht. Dit geheel heeft </w:t>
      </w:r>
      <w:r w:rsidRPr="00D11A53">
        <w:rPr>
          <w:rFonts w:cstheme="minorHAnsi"/>
          <w:bCs/>
        </w:rPr>
        <w:t xml:space="preserve">als doel de naleving van regels door </w:t>
      </w:r>
      <w:r w:rsidR="00E34411">
        <w:rPr>
          <w:rFonts w:cstheme="minorHAnsi"/>
          <w:bCs/>
        </w:rPr>
        <w:t>mensen</w:t>
      </w:r>
      <w:r>
        <w:rPr>
          <w:rFonts w:cstheme="minorHAnsi"/>
          <w:bCs/>
        </w:rPr>
        <w:t xml:space="preserve">, bedrijven en ondernemers </w:t>
      </w:r>
      <w:r w:rsidRPr="00D11A53">
        <w:rPr>
          <w:rFonts w:cstheme="minorHAnsi"/>
          <w:bCs/>
        </w:rPr>
        <w:t>te bevorderen</w:t>
      </w:r>
      <w:r>
        <w:rPr>
          <w:rFonts w:cstheme="minorHAnsi"/>
          <w:bCs/>
        </w:rPr>
        <w:t>.</w:t>
      </w:r>
      <w:r>
        <w:rPr>
          <w:rStyle w:val="Voetnootmarkering"/>
          <w:rFonts w:cstheme="minorHAnsi"/>
          <w:bCs/>
        </w:rPr>
        <w:footnoteReference w:id="6"/>
      </w:r>
      <w:r>
        <w:rPr>
          <w:rFonts w:cstheme="minorHAnsi"/>
          <w:bCs/>
        </w:rPr>
        <w:t xml:space="preserve"> </w:t>
      </w:r>
      <w:r w:rsidR="00C62901">
        <w:rPr>
          <w:rFonts w:cstheme="minorHAnsi"/>
          <w:bCs/>
        </w:rPr>
        <w:t xml:space="preserve">Dit versterkt enerzijds het gevoel van recht(vaardigheid) van het ontvangen van een uitkering </w:t>
      </w:r>
      <w:r w:rsidR="00977951">
        <w:rPr>
          <w:rFonts w:cstheme="minorHAnsi"/>
          <w:bCs/>
        </w:rPr>
        <w:t>d</w:t>
      </w:r>
      <w:r w:rsidR="00C62901">
        <w:rPr>
          <w:rFonts w:cstheme="minorHAnsi"/>
          <w:bCs/>
        </w:rPr>
        <w:t xml:space="preserve">oor </w:t>
      </w:r>
      <w:r w:rsidR="00977951">
        <w:rPr>
          <w:rFonts w:cstheme="minorHAnsi"/>
          <w:bCs/>
        </w:rPr>
        <w:t xml:space="preserve">een </w:t>
      </w:r>
      <w:r w:rsidR="00C62901">
        <w:rPr>
          <w:rFonts w:cstheme="minorHAnsi"/>
          <w:bCs/>
        </w:rPr>
        <w:t xml:space="preserve">uitkeringsgerechtigden, en anderzijds het gevoel van solidariteit in de maatschappij. </w:t>
      </w:r>
      <w:r w:rsidR="00EE5D9E">
        <w:rPr>
          <w:rFonts w:cstheme="minorHAnsi"/>
          <w:bCs/>
        </w:rPr>
        <w:t>Uit de stakeholderconsultatie</w:t>
      </w:r>
      <w:r w:rsidR="00C62901">
        <w:rPr>
          <w:rFonts w:cstheme="minorHAnsi"/>
          <w:bCs/>
        </w:rPr>
        <w:t xml:space="preserve"> </w:t>
      </w:r>
      <w:r w:rsidR="00EE5D9E">
        <w:rPr>
          <w:rFonts w:cstheme="minorHAnsi"/>
          <w:bCs/>
        </w:rPr>
        <w:t xml:space="preserve">blijkt </w:t>
      </w:r>
      <w:r w:rsidR="00812747">
        <w:rPr>
          <w:rFonts w:cstheme="minorHAnsi"/>
          <w:bCs/>
        </w:rPr>
        <w:t xml:space="preserve">dat handhaving een belangrijk onderwerp blijft. Dat vinden </w:t>
      </w:r>
      <w:r w:rsidR="00E34411">
        <w:rPr>
          <w:rFonts w:cstheme="minorHAnsi"/>
          <w:bCs/>
        </w:rPr>
        <w:t>mensen</w:t>
      </w:r>
      <w:r>
        <w:rPr>
          <w:rFonts w:cstheme="minorHAnsi"/>
          <w:bCs/>
        </w:rPr>
        <w:t>, uitkeringsgerechtigden en uitvoerders.</w:t>
      </w:r>
      <w:r w:rsidR="00C62901">
        <w:rPr>
          <w:rStyle w:val="Voetnootmarkering"/>
          <w:rFonts w:cstheme="minorHAnsi"/>
          <w:bCs/>
        </w:rPr>
        <w:footnoteReference w:id="7"/>
      </w:r>
      <w:r>
        <w:rPr>
          <w:rFonts w:cstheme="minorHAnsi"/>
          <w:bCs/>
        </w:rPr>
        <w:t xml:space="preserve"> </w:t>
      </w:r>
      <w:r w:rsidR="004F6A5F">
        <w:rPr>
          <w:rFonts w:cstheme="minorHAnsi"/>
          <w:bCs/>
        </w:rPr>
        <w:t xml:space="preserve">Ook benoemen </w:t>
      </w:r>
      <w:r w:rsidR="00E34411">
        <w:rPr>
          <w:rFonts w:cstheme="minorHAnsi"/>
          <w:bCs/>
        </w:rPr>
        <w:t>mensen</w:t>
      </w:r>
      <w:r w:rsidR="004F6A5F">
        <w:rPr>
          <w:rFonts w:cstheme="minorHAnsi"/>
          <w:bCs/>
        </w:rPr>
        <w:t xml:space="preserve"> dat er gehandhaafd moet blijven worden. </w:t>
      </w:r>
    </w:p>
    <w:p w:rsidR="00830AE3" w:rsidP="005D15C0" w:rsidRDefault="00830AE3" w14:paraId="553CF44F" w14:textId="77777777">
      <w:pPr>
        <w:rPr>
          <w:rFonts w:cstheme="minorHAnsi"/>
          <w:bCs/>
        </w:rPr>
      </w:pPr>
    </w:p>
    <w:p w:rsidR="005D15C0" w:rsidP="005D15C0" w:rsidRDefault="005D15C0" w14:paraId="1E7557C3" w14:textId="77777777">
      <w:r>
        <w:t>De volgende afbeelding geeft weer hoe handhaving</w:t>
      </w:r>
      <w:r w:rsidR="00812747">
        <w:t xml:space="preserve"> in de sociale zekerheid kan worden gezien</w:t>
      </w:r>
      <w:r>
        <w:rPr>
          <w:rStyle w:val="Voetnootmarkering"/>
        </w:rPr>
        <w:footnoteReference w:id="8"/>
      </w:r>
      <w:r>
        <w:t xml:space="preserve">: </w:t>
      </w:r>
      <w:r>
        <w:object w:dxaOrig="22821" w:dyaOrig="7719" w14:anchorId="0168E0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5.4pt;height:121.8pt" o:ole="" type="#_x0000_t75">
            <v:imagedata o:title="" r:id="rId8"/>
          </v:shape>
          <o:OLEObject Type="Embed" ProgID="Visio.Drawing.15" ShapeID="_x0000_i1025" DrawAspect="Content" ObjectID="_1836461895" r:id="rId9"/>
        </w:object>
      </w:r>
    </w:p>
    <w:p w:rsidR="00BF60A6" w:rsidP="005D15C0" w:rsidRDefault="005D15C0" w14:paraId="16B49E3F" w14:textId="77777777">
      <w:pPr>
        <w:rPr>
          <w:rFonts w:cstheme="minorHAnsi"/>
          <w:bCs/>
        </w:rPr>
      </w:pPr>
      <w:r>
        <w:rPr>
          <w:rFonts w:cstheme="minorHAnsi"/>
          <w:bCs/>
        </w:rPr>
        <w:t>Dit schema is een weergave van het primair proces en het handhavingsproces in de sociale zekerheid. Het primair proces bij uitvoerders is het uitgeven van beschikkingen (art</w:t>
      </w:r>
      <w:r w:rsidR="00E34411">
        <w:rPr>
          <w:rFonts w:cstheme="minorHAnsi"/>
          <w:bCs/>
        </w:rPr>
        <w:t>ikel</w:t>
      </w:r>
      <w:r>
        <w:rPr>
          <w:rFonts w:cstheme="minorHAnsi"/>
          <w:bCs/>
        </w:rPr>
        <w:t xml:space="preserve"> 1:3 lid 2 A</w:t>
      </w:r>
      <w:r w:rsidR="00E34411">
        <w:rPr>
          <w:rFonts w:cstheme="minorHAnsi"/>
          <w:bCs/>
        </w:rPr>
        <w:t>lgemene wet bestuursrecht</w:t>
      </w:r>
      <w:r>
        <w:rPr>
          <w:rFonts w:cstheme="minorHAnsi"/>
          <w:bCs/>
        </w:rPr>
        <w:t>)</w:t>
      </w:r>
      <w:r w:rsidR="00977951">
        <w:rPr>
          <w:rFonts w:cstheme="minorHAnsi"/>
          <w:bCs/>
        </w:rPr>
        <w:t>.</w:t>
      </w:r>
      <w:r>
        <w:rPr>
          <w:rFonts w:cstheme="minorHAnsi"/>
          <w:bCs/>
        </w:rPr>
        <w:t xml:space="preserve"> Het schema </w:t>
      </w:r>
      <w:r w:rsidR="005359AC">
        <w:rPr>
          <w:rFonts w:cstheme="minorHAnsi"/>
          <w:bCs/>
        </w:rPr>
        <w:t>la</w:t>
      </w:r>
      <w:r w:rsidR="00C907AF">
        <w:rPr>
          <w:rFonts w:cstheme="minorHAnsi"/>
          <w:bCs/>
        </w:rPr>
        <w:t>at</w:t>
      </w:r>
      <w:r>
        <w:rPr>
          <w:rFonts w:cstheme="minorHAnsi"/>
          <w:bCs/>
        </w:rPr>
        <w:t xml:space="preserve"> zien wat het verschil is tussen de menselijke maat en maatwerk</w:t>
      </w:r>
      <w:r w:rsidR="00977951">
        <w:rPr>
          <w:rFonts w:cstheme="minorHAnsi"/>
          <w:bCs/>
        </w:rPr>
        <w:t xml:space="preserve"> in dat proces</w:t>
      </w:r>
      <w:r>
        <w:rPr>
          <w:rFonts w:cstheme="minorHAnsi"/>
          <w:bCs/>
        </w:rPr>
        <w:t xml:space="preserve">. De menselijke maat </w:t>
      </w:r>
      <w:r w:rsidR="006B32CF">
        <w:rPr>
          <w:rFonts w:cstheme="minorHAnsi"/>
          <w:bCs/>
        </w:rPr>
        <w:t xml:space="preserve">komt </w:t>
      </w:r>
      <w:r w:rsidR="00770837">
        <w:rPr>
          <w:rFonts w:cstheme="minorHAnsi"/>
          <w:bCs/>
        </w:rPr>
        <w:t>in</w:t>
      </w:r>
      <w:r>
        <w:rPr>
          <w:rFonts w:cstheme="minorHAnsi"/>
          <w:bCs/>
        </w:rPr>
        <w:t xml:space="preserve"> alle onderdelen van dienstverlening </w:t>
      </w:r>
      <w:r w:rsidR="006B32CF">
        <w:rPr>
          <w:rFonts w:cstheme="minorHAnsi"/>
          <w:bCs/>
        </w:rPr>
        <w:t xml:space="preserve">terug. </w:t>
      </w:r>
      <w:r w:rsidR="00C62901">
        <w:t>De</w:t>
      </w:r>
      <w:r w:rsidR="00C62901">
        <w:rPr>
          <w:rFonts w:cstheme="minorHAnsi"/>
          <w:bCs/>
        </w:rPr>
        <w:t xml:space="preserve"> menselijke maat is het uitgangspunt dat de positie van </w:t>
      </w:r>
      <w:r w:rsidR="00E34411">
        <w:rPr>
          <w:rFonts w:cstheme="minorHAnsi"/>
          <w:bCs/>
        </w:rPr>
        <w:t>mensen</w:t>
      </w:r>
      <w:r w:rsidR="00C62901">
        <w:rPr>
          <w:rFonts w:cstheme="minorHAnsi"/>
          <w:bCs/>
        </w:rPr>
        <w:t xml:space="preserve"> centraal staat in wet- en regelgeving. </w:t>
      </w:r>
    </w:p>
    <w:p w:rsidR="00C62901" w:rsidP="005D15C0" w:rsidRDefault="00C62901" w14:paraId="2A279887" w14:textId="77777777">
      <w:pPr>
        <w:rPr>
          <w:rFonts w:cstheme="minorHAnsi"/>
          <w:bCs/>
        </w:rPr>
      </w:pPr>
      <w:r>
        <w:lastRenderedPageBreak/>
        <w:t xml:space="preserve">Maatwerk is een middel om in de toepassing van wetgeving recht te doen aan het specifieke geval zodat </w:t>
      </w:r>
      <w:r w:rsidR="00E34411">
        <w:t>mensen</w:t>
      </w:r>
      <w:r>
        <w:t xml:space="preserve"> en bedrijven krijgen wat hen toekomt. </w:t>
      </w:r>
      <w:r w:rsidR="005D15C0">
        <w:rPr>
          <w:rFonts w:cstheme="minorHAnsi"/>
          <w:bCs/>
        </w:rPr>
        <w:t xml:space="preserve">Maatwerk </w:t>
      </w:r>
      <w:r>
        <w:rPr>
          <w:rFonts w:cstheme="minorHAnsi"/>
          <w:bCs/>
        </w:rPr>
        <w:t>is dus</w:t>
      </w:r>
      <w:r w:rsidR="005D15C0">
        <w:rPr>
          <w:rFonts w:cstheme="minorHAnsi"/>
          <w:bCs/>
        </w:rPr>
        <w:t xml:space="preserve"> het meewegen van omstandigheden bij het maken van beschikkingen. </w:t>
      </w:r>
    </w:p>
    <w:p w:rsidR="00C62901" w:rsidP="005D15C0" w:rsidRDefault="00C62901" w14:paraId="4C132B04" w14:textId="77777777">
      <w:pPr>
        <w:rPr>
          <w:rFonts w:cstheme="minorHAnsi"/>
          <w:bCs/>
        </w:rPr>
      </w:pPr>
    </w:p>
    <w:p w:rsidRPr="00D25E2C" w:rsidR="005D15C0" w:rsidP="005D15C0" w:rsidRDefault="00C62901" w14:paraId="1666063B" w14:textId="77777777">
      <w:pPr>
        <w:rPr>
          <w:rFonts w:cstheme="minorHAnsi"/>
          <w:bCs/>
        </w:rPr>
      </w:pPr>
      <w:r>
        <w:rPr>
          <w:rFonts w:cstheme="minorHAnsi"/>
          <w:bCs/>
        </w:rPr>
        <w:t>Het schema laat ook</w:t>
      </w:r>
      <w:r w:rsidR="005D15C0">
        <w:rPr>
          <w:rFonts w:cstheme="minorHAnsi"/>
          <w:bCs/>
        </w:rPr>
        <w:t xml:space="preserve"> zien wat valt onder naleving en wat valt onder handhaving. Naleving zijn de blauw</w:t>
      </w:r>
      <w:r w:rsidR="00CC2020">
        <w:rPr>
          <w:rFonts w:cstheme="minorHAnsi"/>
          <w:bCs/>
        </w:rPr>
        <w:t>e</w:t>
      </w:r>
      <w:r w:rsidR="005D15C0">
        <w:rPr>
          <w:rFonts w:cstheme="minorHAnsi"/>
          <w:bCs/>
        </w:rPr>
        <w:t xml:space="preserve"> vakjes: dit gaat over het gedrag van de </w:t>
      </w:r>
      <w:r w:rsidR="00846DA5">
        <w:rPr>
          <w:rFonts w:cstheme="minorHAnsi"/>
          <w:bCs/>
        </w:rPr>
        <w:t>mens</w:t>
      </w:r>
      <w:r w:rsidR="005D15C0">
        <w:rPr>
          <w:rFonts w:cstheme="minorHAnsi"/>
          <w:bCs/>
        </w:rPr>
        <w:t xml:space="preserve">. Handhaving is het proces </w:t>
      </w:r>
      <w:r w:rsidR="00977951">
        <w:rPr>
          <w:rFonts w:cstheme="minorHAnsi"/>
          <w:bCs/>
        </w:rPr>
        <w:t>d</w:t>
      </w:r>
      <w:r w:rsidR="005D15C0">
        <w:rPr>
          <w:rFonts w:cstheme="minorHAnsi"/>
          <w:bCs/>
        </w:rPr>
        <w:t xml:space="preserve">at rechtsonder staat </w:t>
      </w:r>
      <w:r w:rsidR="00CC2020">
        <w:rPr>
          <w:rFonts w:cstheme="minorHAnsi"/>
          <w:bCs/>
        </w:rPr>
        <w:t xml:space="preserve">tussen </w:t>
      </w:r>
      <w:r w:rsidR="005D15C0">
        <w:rPr>
          <w:rFonts w:cstheme="minorHAnsi"/>
          <w:bCs/>
        </w:rPr>
        <w:t xml:space="preserve">de stippellijntjes, dit is het proces dat volgt uit de handhavingswetgeving. Toezicht op naleving gedurende de uitkering valt daar ook onder, net als toezicht op instroom (preventie van instroom). </w:t>
      </w:r>
      <w:r w:rsidR="00EC195B">
        <w:rPr>
          <w:rFonts w:cstheme="minorHAnsi"/>
          <w:bCs/>
        </w:rPr>
        <w:t>Het</w:t>
      </w:r>
      <w:r w:rsidR="005D15C0">
        <w:rPr>
          <w:rFonts w:cstheme="minorHAnsi"/>
          <w:bCs/>
        </w:rPr>
        <w:t xml:space="preserve"> schema is niet compleet, in lokale (gemeentelijke) context kunnen processen afwijken. </w:t>
      </w:r>
    </w:p>
    <w:p w:rsidR="005D15C0" w:rsidP="005D15C0" w:rsidRDefault="005D15C0" w14:paraId="6309CDBD" w14:textId="77777777">
      <w:pPr>
        <w:rPr>
          <w:rFonts w:cstheme="minorHAnsi"/>
          <w:bCs/>
        </w:rPr>
      </w:pPr>
    </w:p>
    <w:p w:rsidRPr="00DD579D" w:rsidR="004D14AA" w:rsidP="005D15C0" w:rsidRDefault="004D14AA" w14:paraId="0A26B05E" w14:textId="77777777">
      <w:pPr>
        <w:rPr>
          <w:rFonts w:cstheme="minorHAnsi"/>
          <w:bCs/>
        </w:rPr>
      </w:pPr>
      <w:r>
        <w:t xml:space="preserve">Het </w:t>
      </w:r>
      <w:r w:rsidRPr="00D403FE">
        <w:t>handhavingsbeleid begint bij preventie</w:t>
      </w:r>
      <w:r>
        <w:t xml:space="preserve"> van instroom</w:t>
      </w:r>
      <w:r w:rsidRPr="00D403FE">
        <w:t xml:space="preserve"> </w:t>
      </w:r>
      <w:r>
        <w:t>als onderdeel van dienstverlening.</w:t>
      </w:r>
      <w:r w:rsidR="00396D16">
        <w:t xml:space="preserve"> Dit ziet zowel op foutieve toekenning, als het voorkomen van instromen in regelingen</w:t>
      </w:r>
      <w:r w:rsidR="00E34411">
        <w:t xml:space="preserve"> door bijvoorbeeld doorstroming naar werk. </w:t>
      </w:r>
      <w:r>
        <w:t>Preventie in het handhavingsbeleid betekent daarnaast goede voorlichting</w:t>
      </w:r>
      <w:r w:rsidR="00E34411">
        <w:t>. Bijvoorbeeld</w:t>
      </w:r>
      <w:r>
        <w:t xml:space="preserve"> voor het </w:t>
      </w:r>
      <w:r w:rsidRPr="00D403FE">
        <w:t>stimuleren van naleving</w:t>
      </w:r>
      <w:r>
        <w:t xml:space="preserve"> bij de groep die wel wil naleven, maar dat om verschillende redenen nog niet doet. Die groep maakt ook soms fouten. Daarop zal vervolgens passend worden gereageerd. Dat betekent dat </w:t>
      </w:r>
      <w:r w:rsidR="00BA33A4">
        <w:t>bij een fout een overtreder gewaarschuwd wordt. Er volgt niet automatisch een boete of maatregel. Ook bij een fout wordt een</w:t>
      </w:r>
      <w:r>
        <w:t xml:space="preserve"> uitkering </w:t>
      </w:r>
      <w:r w:rsidR="000F5712">
        <w:t>herzien naar</w:t>
      </w:r>
      <w:r>
        <w:t xml:space="preserve"> de rechtmatige situatie. </w:t>
      </w:r>
      <w:r w:rsidR="00DD579D">
        <w:rPr>
          <w:rFonts w:cstheme="minorHAnsi"/>
          <w:bCs/>
        </w:rPr>
        <w:t xml:space="preserve">Bij preventie van regelovertreding hoort ook meer dan alleen voorlichting of communicatie. Het voorkomen van fouten betekent ook </w:t>
      </w:r>
      <w:r w:rsidRPr="002A7EF0" w:rsidR="00DD579D">
        <w:rPr>
          <w:rFonts w:cstheme="minorHAnsi"/>
          <w:bCs/>
        </w:rPr>
        <w:t>duidelijke, begrijpelijke wetgeving, redelijkheid van regels en inrichting van systemen en processen waardoor mensen geen fouten kunnen maken, of fouten maken zo moeilijk mogelijk wordt gemaakt.</w:t>
      </w:r>
      <w:r w:rsidR="00DD579D">
        <w:rPr>
          <w:rStyle w:val="Voetnootmarkering"/>
          <w:rFonts w:cstheme="minorHAnsi"/>
          <w:bCs/>
        </w:rPr>
        <w:footnoteReference w:id="9"/>
      </w:r>
      <w:r>
        <w:t xml:space="preserve">  </w:t>
      </w:r>
    </w:p>
    <w:p w:rsidR="004D14AA" w:rsidP="005D15C0" w:rsidRDefault="004D14AA" w14:paraId="0948BE6C" w14:textId="77777777">
      <w:pPr>
        <w:rPr>
          <w:rFonts w:cstheme="minorHAnsi"/>
          <w:bCs/>
        </w:rPr>
      </w:pPr>
    </w:p>
    <w:p w:rsidR="00DD579D" w:rsidP="005D15C0" w:rsidRDefault="005D15C0" w14:paraId="46BDF885" w14:textId="77777777">
      <w:pPr>
        <w:rPr>
          <w:rFonts w:cstheme="minorHAnsi"/>
          <w:bCs/>
        </w:rPr>
      </w:pPr>
      <w:r w:rsidRPr="006B32CF">
        <w:rPr>
          <w:rFonts w:cstheme="minorHAnsi"/>
          <w:bCs/>
        </w:rPr>
        <w:t>Het blijkt dat</w:t>
      </w:r>
      <w:r>
        <w:rPr>
          <w:rFonts w:cstheme="minorHAnsi"/>
          <w:bCs/>
        </w:rPr>
        <w:t xml:space="preserve"> preventie binnen het </w:t>
      </w:r>
      <w:r w:rsidRPr="00D11A53">
        <w:rPr>
          <w:rFonts w:cstheme="minorHAnsi"/>
          <w:bCs/>
        </w:rPr>
        <w:t xml:space="preserve">handhavingsbeleid verschillende dingen kan betekenen. Dit zorgt in de praktijk voor verwarring. </w:t>
      </w:r>
      <w:r>
        <w:rPr>
          <w:rFonts w:cstheme="minorHAnsi"/>
          <w:bCs/>
        </w:rPr>
        <w:t xml:space="preserve">Daarom </w:t>
      </w:r>
      <w:r>
        <w:t xml:space="preserve">is het </w:t>
      </w:r>
      <w:r w:rsidRPr="00D11A53">
        <w:t xml:space="preserve">van </w:t>
      </w:r>
      <w:r>
        <w:t xml:space="preserve">belang te spreken over </w:t>
      </w:r>
      <w:r w:rsidRPr="00D11A53">
        <w:t>preventie in relatie tot het doel</w:t>
      </w:r>
      <w:r w:rsidR="00830AE3">
        <w:t xml:space="preserve"> (</w:t>
      </w:r>
      <w:r w:rsidR="00BA33A4">
        <w:t>‘</w:t>
      </w:r>
      <w:r w:rsidR="00830AE3">
        <w:t>gebruik twee woorden</w:t>
      </w:r>
      <w:r w:rsidR="00BA33A4">
        <w:t>’</w:t>
      </w:r>
      <w:r w:rsidR="00830AE3">
        <w:t>)</w:t>
      </w:r>
      <w:r>
        <w:t xml:space="preserve">. Om scherp en duidelijk te zijn, </w:t>
      </w:r>
      <w:r w:rsidRPr="00D11A53">
        <w:t xml:space="preserve">spreken we dus van </w:t>
      </w:r>
      <w:r w:rsidR="009A4497">
        <w:t xml:space="preserve">bijvoorbeeld </w:t>
      </w:r>
      <w:r w:rsidRPr="00D11A53">
        <w:t xml:space="preserve">preventie </w:t>
      </w:r>
      <w:r w:rsidRPr="00D11A53">
        <w:rPr>
          <w:i/>
          <w:iCs/>
        </w:rPr>
        <w:t>van</w:t>
      </w:r>
      <w:r w:rsidRPr="00D11A53">
        <w:t xml:space="preserve"> regelovertreding, preventie </w:t>
      </w:r>
      <w:r w:rsidRPr="00D11A53">
        <w:rPr>
          <w:i/>
          <w:iCs/>
        </w:rPr>
        <w:t>van</w:t>
      </w:r>
      <w:r w:rsidRPr="00D11A53">
        <w:t xml:space="preserve"> misbruik, preventie </w:t>
      </w:r>
      <w:r w:rsidRPr="00D11A53">
        <w:rPr>
          <w:i/>
          <w:iCs/>
        </w:rPr>
        <w:t>van</w:t>
      </w:r>
      <w:r w:rsidRPr="00D11A53">
        <w:t xml:space="preserve"> instroom of preventie </w:t>
      </w:r>
      <w:r w:rsidRPr="00D11A53">
        <w:rPr>
          <w:i/>
          <w:iCs/>
        </w:rPr>
        <w:t>van</w:t>
      </w:r>
      <w:r w:rsidRPr="00D11A53">
        <w:t xml:space="preserve"> ondermijning</w:t>
      </w:r>
      <w:r w:rsidRPr="00D11A53">
        <w:rPr>
          <w:rFonts w:cstheme="minorHAnsi"/>
          <w:bCs/>
        </w:rPr>
        <w:t>.</w:t>
      </w:r>
      <w:r>
        <w:rPr>
          <w:rFonts w:cstheme="minorHAnsi"/>
          <w:bCs/>
        </w:rPr>
        <w:t xml:space="preserve"> </w:t>
      </w:r>
    </w:p>
    <w:p w:rsidR="002A7EF0" w:rsidP="005D15C0" w:rsidRDefault="002A7EF0" w14:paraId="00F3E481" w14:textId="77777777">
      <w:pPr>
        <w:rPr>
          <w:rFonts w:cstheme="minorHAnsi"/>
          <w:bCs/>
        </w:rPr>
      </w:pPr>
    </w:p>
    <w:p w:rsidR="005D15C0" w:rsidP="005D15C0" w:rsidRDefault="005D15C0" w14:paraId="2791E8B4" w14:textId="77777777">
      <w:r>
        <w:rPr>
          <w:rFonts w:cstheme="minorHAnsi"/>
          <w:bCs/>
        </w:rPr>
        <w:t xml:space="preserve">Er bestaat behoefte aan normering </w:t>
      </w:r>
      <w:r w:rsidRPr="006B32CF" w:rsidR="00CC2020">
        <w:rPr>
          <w:rFonts w:cstheme="minorHAnsi"/>
          <w:bCs/>
        </w:rPr>
        <w:t xml:space="preserve">van ambtelijk </w:t>
      </w:r>
      <w:r w:rsidRPr="006B32CF">
        <w:rPr>
          <w:rFonts w:cstheme="minorHAnsi"/>
          <w:bCs/>
        </w:rPr>
        <w:t xml:space="preserve">vakmanschap. </w:t>
      </w:r>
      <w:r w:rsidRPr="006B32CF" w:rsidR="00CC2020">
        <w:rPr>
          <w:rFonts w:cstheme="minorHAnsi"/>
          <w:bCs/>
        </w:rPr>
        <w:t>Dat speelt bij het meewegen van</w:t>
      </w:r>
      <w:r w:rsidRPr="006B32CF">
        <w:rPr>
          <w:rFonts w:cstheme="minorHAnsi"/>
          <w:bCs/>
        </w:rPr>
        <w:t xml:space="preserve"> individuele omstandigheden bij het maken van beslissingen. Dat vereist discretionaire ruimte en sterk normatief-professioneel</w:t>
      </w:r>
      <w:r w:rsidRPr="00FC7A5E">
        <w:rPr>
          <w:rFonts w:cstheme="minorHAnsi"/>
          <w:bCs/>
        </w:rPr>
        <w:t xml:space="preserve"> vakmanschap bij </w:t>
      </w:r>
      <w:r>
        <w:rPr>
          <w:rFonts w:cstheme="minorHAnsi"/>
          <w:bCs/>
        </w:rPr>
        <w:t>uitvoeringsprofessionals</w:t>
      </w:r>
      <w:r w:rsidR="00812747">
        <w:rPr>
          <w:rFonts w:cstheme="minorHAnsi"/>
          <w:bCs/>
        </w:rPr>
        <w:t>. Dat geldt</w:t>
      </w:r>
      <w:r w:rsidR="00CC2020">
        <w:rPr>
          <w:rFonts w:cstheme="minorHAnsi"/>
          <w:bCs/>
        </w:rPr>
        <w:t xml:space="preserve"> bijvoorbeeld in de toepassing van maatwerk</w:t>
      </w:r>
      <w:r>
        <w:rPr>
          <w:rFonts w:cstheme="minorHAnsi"/>
          <w:bCs/>
        </w:rPr>
        <w:t xml:space="preserve">. </w:t>
      </w:r>
      <w:r w:rsidRPr="004E4922">
        <w:t xml:space="preserve">Maatwerk </w:t>
      </w:r>
      <w:r w:rsidR="00830AE3">
        <w:t xml:space="preserve">vereist </w:t>
      </w:r>
      <w:r w:rsidRPr="004E4922">
        <w:t>stevige randvoorwaarden</w:t>
      </w:r>
      <w:r>
        <w:t>. Dat zijn:</w:t>
      </w:r>
      <w:r w:rsidRPr="004E4922">
        <w:t xml:space="preserve"> kennis van recht, ruimte voor discretionair handelen</w:t>
      </w:r>
      <w:r>
        <w:t>,</w:t>
      </w:r>
      <w:r w:rsidRPr="004E4922">
        <w:t xml:space="preserve"> </w:t>
      </w:r>
      <w:r>
        <w:t xml:space="preserve">steun uit de </w:t>
      </w:r>
      <w:r w:rsidRPr="004E4922">
        <w:t>organisatiecultuur</w:t>
      </w:r>
      <w:r>
        <w:t xml:space="preserve"> en voldoende capaciteit</w:t>
      </w:r>
      <w:r w:rsidRPr="004E4922">
        <w:t xml:space="preserve">. </w:t>
      </w:r>
      <w:r>
        <w:t xml:space="preserve">Dit vraagt dat vakmensen </w:t>
      </w:r>
      <w:r w:rsidR="00830AE3">
        <w:t xml:space="preserve">hiervoor </w:t>
      </w:r>
      <w:r>
        <w:t>de tijd, training en ruimte moeten krijgen</w:t>
      </w:r>
      <w:r w:rsidR="00830AE3">
        <w:t xml:space="preserve">. </w:t>
      </w:r>
    </w:p>
    <w:p w:rsidR="005D15C0" w:rsidP="005D15C0" w:rsidRDefault="005D15C0" w14:paraId="239911F1" w14:textId="77777777"/>
    <w:p w:rsidR="00BF60A6" w:rsidP="001D2BA0" w:rsidRDefault="005D15C0" w14:paraId="425213A5" w14:textId="77777777">
      <w:pPr>
        <w:rPr>
          <w:rFonts w:cstheme="minorHAnsi"/>
          <w:bCs/>
        </w:rPr>
      </w:pPr>
      <w:r w:rsidRPr="006B32CF">
        <w:t>Toezicht is effectiever wanneer het een balans vindt tussen repressie en preventie van overtredingen</w:t>
      </w:r>
      <w:r>
        <w:t>, en het effectief is in het detecteren van misbruik</w:t>
      </w:r>
      <w:r w:rsidRPr="004E4922">
        <w:t xml:space="preserve">. </w:t>
      </w:r>
      <w:r w:rsidR="00830AE3">
        <w:t xml:space="preserve">Er is </w:t>
      </w:r>
      <w:r>
        <w:t>een be</w:t>
      </w:r>
      <w:r w:rsidRPr="004E4922">
        <w:t xml:space="preserve">hoefte aan verschillend toezicht voor goedwillende </w:t>
      </w:r>
      <w:r w:rsidR="001D2BA0">
        <w:t xml:space="preserve">mensen </w:t>
      </w:r>
      <w:r>
        <w:t>en</w:t>
      </w:r>
      <w:r w:rsidRPr="004E4922">
        <w:t xml:space="preserve"> bedrijven</w:t>
      </w:r>
      <w:r>
        <w:t>, en</w:t>
      </w:r>
      <w:r w:rsidR="00830AE3">
        <w:t xml:space="preserve"> voor</w:t>
      </w:r>
      <w:r>
        <w:t xml:space="preserve"> </w:t>
      </w:r>
      <w:r w:rsidR="009C0BA2">
        <w:t xml:space="preserve">degenen </w:t>
      </w:r>
      <w:r w:rsidRPr="004E4922">
        <w:t>die misbruik maken</w:t>
      </w:r>
      <w:r w:rsidR="00001780">
        <w:t xml:space="preserve"> van regelingen</w:t>
      </w:r>
      <w:r w:rsidRPr="004E4922">
        <w:t xml:space="preserve">. </w:t>
      </w:r>
      <w:r w:rsidR="00BA33A4">
        <w:t xml:space="preserve">Daarbij is ook communicatie en voorlichting vanuit de toezichthouder belangrijk. </w:t>
      </w:r>
      <w:r w:rsidR="004915DC">
        <w:t xml:space="preserve">Voldoende </w:t>
      </w:r>
      <w:r w:rsidRPr="004E4922">
        <w:t xml:space="preserve">aanwezigheid van toezichthouders (“voelbaar toezicht”) is cruciaal in de risicovollere sectoren. </w:t>
      </w:r>
      <w:r>
        <w:rPr>
          <w:rFonts w:cstheme="minorHAnsi"/>
          <w:bCs/>
        </w:rPr>
        <w:t xml:space="preserve">Dit is in het bijzonder zo wanneer er sprake is van grote misbruikzaken. </w:t>
      </w:r>
    </w:p>
    <w:p w:rsidR="001D2BA0" w:rsidP="001D2BA0" w:rsidRDefault="005D15C0" w14:paraId="61C86EE7" w14:textId="77777777">
      <w:pPr>
        <w:rPr>
          <w:rFonts w:cstheme="minorHAnsi"/>
          <w:bCs/>
        </w:rPr>
      </w:pPr>
      <w:r>
        <w:rPr>
          <w:rFonts w:cstheme="minorHAnsi"/>
          <w:bCs/>
        </w:rPr>
        <w:lastRenderedPageBreak/>
        <w:t>Het blijkt d</w:t>
      </w:r>
      <w:r w:rsidR="004915DC">
        <w:rPr>
          <w:rFonts w:cstheme="minorHAnsi"/>
          <w:bCs/>
        </w:rPr>
        <w:t>a</w:t>
      </w:r>
      <w:r w:rsidR="00830AE3">
        <w:rPr>
          <w:rFonts w:cstheme="minorHAnsi"/>
          <w:bCs/>
        </w:rPr>
        <w:t>t</w:t>
      </w:r>
      <w:r>
        <w:rPr>
          <w:rFonts w:cstheme="minorHAnsi"/>
          <w:bCs/>
        </w:rPr>
        <w:t xml:space="preserve"> </w:t>
      </w:r>
      <w:r w:rsidR="00001780">
        <w:rPr>
          <w:rFonts w:cstheme="minorHAnsi"/>
          <w:bCs/>
        </w:rPr>
        <w:t xml:space="preserve">dit soort </w:t>
      </w:r>
      <w:r>
        <w:rPr>
          <w:rFonts w:cstheme="minorHAnsi"/>
          <w:bCs/>
        </w:rPr>
        <w:t>misbruik zich vaak afspeelt in meerdere domeinen (zorg, werk en inkomen)</w:t>
      </w:r>
      <w:r w:rsidR="00001780">
        <w:rPr>
          <w:rFonts w:cstheme="minorHAnsi"/>
          <w:bCs/>
        </w:rPr>
        <w:t>. Handhaving is dan ook belegd bij</w:t>
      </w:r>
      <w:r>
        <w:rPr>
          <w:rFonts w:cstheme="minorHAnsi"/>
          <w:bCs/>
        </w:rPr>
        <w:t xml:space="preserve"> meerdere overheidsorganisaties. Samenwerken </w:t>
      </w:r>
      <w:r w:rsidR="00AD2F5A">
        <w:rPr>
          <w:rFonts w:cstheme="minorHAnsi"/>
          <w:bCs/>
        </w:rPr>
        <w:t>en</w:t>
      </w:r>
      <w:r>
        <w:rPr>
          <w:rFonts w:cstheme="minorHAnsi"/>
          <w:bCs/>
        </w:rPr>
        <w:t xml:space="preserve"> data </w:t>
      </w:r>
      <w:r w:rsidR="00AD2F5A">
        <w:rPr>
          <w:rFonts w:cstheme="minorHAnsi"/>
          <w:bCs/>
        </w:rPr>
        <w:t>delen</w:t>
      </w:r>
      <w:r w:rsidR="001D2BA0">
        <w:rPr>
          <w:rFonts w:cstheme="minorHAnsi"/>
          <w:bCs/>
        </w:rPr>
        <w:t xml:space="preserve"> (binnen de geldende wettelijk kaders)</w:t>
      </w:r>
      <w:r w:rsidR="00AD2F5A">
        <w:rPr>
          <w:rFonts w:cstheme="minorHAnsi"/>
          <w:bCs/>
        </w:rPr>
        <w:t xml:space="preserve"> </w:t>
      </w:r>
      <w:r>
        <w:rPr>
          <w:rFonts w:cstheme="minorHAnsi"/>
          <w:bCs/>
        </w:rPr>
        <w:t xml:space="preserve">is dan extra belangrijk, dit betreft bijvoorbeeld het delen van gegevens tussen </w:t>
      </w:r>
      <w:r w:rsidR="009A4497">
        <w:rPr>
          <w:rFonts w:cstheme="minorHAnsi"/>
          <w:bCs/>
        </w:rPr>
        <w:t xml:space="preserve">SVB, </w:t>
      </w:r>
      <w:r>
        <w:rPr>
          <w:rFonts w:cstheme="minorHAnsi"/>
          <w:bCs/>
        </w:rPr>
        <w:t>UWV, FIOD, OM en gemeenten.</w:t>
      </w:r>
      <w:r w:rsidR="00795255">
        <w:rPr>
          <w:rFonts w:cstheme="minorHAnsi"/>
          <w:bCs/>
        </w:rPr>
        <w:t xml:space="preserve"> Het gesprek over de inhoud, en wat organisaties van elkaar mogen verwachten, moet een belangrijke plek krijgen bij samenwerkingsverbanden</w:t>
      </w:r>
      <w:r w:rsidR="001D2BA0">
        <w:rPr>
          <w:rFonts w:cstheme="minorHAnsi"/>
          <w:bCs/>
        </w:rPr>
        <w:t>.</w:t>
      </w:r>
    </w:p>
    <w:p w:rsidR="001D2BA0" w:rsidP="001D2BA0" w:rsidRDefault="001D2BA0" w14:paraId="615380DD" w14:textId="77777777">
      <w:pPr>
        <w:rPr>
          <w:rFonts w:cstheme="minorHAnsi"/>
          <w:bCs/>
        </w:rPr>
      </w:pPr>
    </w:p>
    <w:p w:rsidRPr="00A60B4E" w:rsidR="00001780" w:rsidP="001D2BA0" w:rsidRDefault="00001780" w14:paraId="5B837C2B" w14:textId="77777777">
      <w:r w:rsidRPr="00A60B4E">
        <w:t>Dilemma</w:t>
      </w:r>
      <w:r>
        <w:t xml:space="preserve"> 3</w:t>
      </w:r>
      <w:r w:rsidRPr="00A60B4E">
        <w:t>: Privacy versus Gegevensuitwisseling</w:t>
      </w:r>
    </w:p>
    <w:p w:rsidRPr="00A60B4E" w:rsidR="00001780" w:rsidP="00001780" w:rsidRDefault="00001780" w14:paraId="5E3F6E50"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 xml:space="preserve">Hoe ver ga je met gegevensdeling tussen overheidsorganisaties en hoe bescherm je dan voldoende de rechten van </w:t>
      </w:r>
      <w:r w:rsidR="001D2BA0">
        <w:rPr>
          <w:rFonts w:ascii="Verdana" w:hAnsi="Verdana" w:eastAsia="DejaVu Sans" w:cs="Lohit Hindi"/>
          <w:color w:val="000000"/>
          <w:kern w:val="0"/>
          <w:sz w:val="18"/>
          <w:szCs w:val="18"/>
          <w:lang w:eastAsia="nl-NL"/>
          <w14:ligatures w14:val="none"/>
        </w:rPr>
        <w:t>mensen</w:t>
      </w:r>
      <w:r w:rsidRPr="00A60B4E">
        <w:rPr>
          <w:rFonts w:ascii="Verdana" w:hAnsi="Verdana" w:eastAsia="DejaVu Sans" w:cs="Lohit Hindi"/>
          <w:color w:val="000000"/>
          <w:kern w:val="0"/>
          <w:sz w:val="18"/>
          <w:szCs w:val="18"/>
          <w:lang w:eastAsia="nl-NL"/>
          <w14:ligatures w14:val="none"/>
        </w:rPr>
        <w:t xml:space="preserve">? Enerzijds </w:t>
      </w:r>
      <w:r w:rsidR="001D2BA0">
        <w:rPr>
          <w:rFonts w:ascii="Verdana" w:hAnsi="Verdana" w:eastAsia="DejaVu Sans" w:cs="Lohit Hindi"/>
          <w:color w:val="000000"/>
          <w:kern w:val="0"/>
          <w:sz w:val="18"/>
          <w:szCs w:val="18"/>
          <w:lang w:eastAsia="nl-NL"/>
          <w14:ligatures w14:val="none"/>
        </w:rPr>
        <w:t>zijn mensen</w:t>
      </w:r>
      <w:r w:rsidRPr="00A60B4E">
        <w:rPr>
          <w:rFonts w:ascii="Verdana" w:hAnsi="Verdana" w:eastAsia="DejaVu Sans" w:cs="Lohit Hindi"/>
          <w:color w:val="000000"/>
          <w:kern w:val="0"/>
          <w:sz w:val="18"/>
          <w:szCs w:val="18"/>
          <w:lang w:eastAsia="nl-NL"/>
          <w14:ligatures w14:val="none"/>
        </w:rPr>
        <w:t xml:space="preserve"> gebaat bij overheidsorganisaties die veel gegevens delen en opereren als één overheid, anderzijds zijn privacy en regie belangrijke waarden voor </w:t>
      </w:r>
      <w:r w:rsidR="001D2BA0">
        <w:rPr>
          <w:rFonts w:ascii="Verdana" w:hAnsi="Verdana" w:eastAsia="DejaVu Sans" w:cs="Lohit Hindi"/>
          <w:color w:val="000000"/>
          <w:kern w:val="0"/>
          <w:sz w:val="18"/>
          <w:szCs w:val="18"/>
          <w:lang w:eastAsia="nl-NL"/>
          <w14:ligatures w14:val="none"/>
        </w:rPr>
        <w:t>mensen</w:t>
      </w:r>
      <w:r w:rsidRPr="00A60B4E">
        <w:rPr>
          <w:rFonts w:ascii="Verdana" w:hAnsi="Verdana" w:eastAsia="DejaVu Sans" w:cs="Lohit Hindi"/>
          <w:color w:val="000000"/>
          <w:kern w:val="0"/>
          <w:sz w:val="18"/>
          <w:szCs w:val="18"/>
          <w:lang w:eastAsia="nl-NL"/>
          <w14:ligatures w14:val="none"/>
        </w:rPr>
        <w:t xml:space="preserve">. De koers zet in op gegevensdeling om </w:t>
      </w:r>
      <w:r w:rsidR="001D2BA0">
        <w:rPr>
          <w:rFonts w:ascii="Verdana" w:hAnsi="Verdana" w:eastAsia="DejaVu Sans" w:cs="Lohit Hindi"/>
          <w:color w:val="000000"/>
          <w:kern w:val="0"/>
          <w:sz w:val="18"/>
          <w:szCs w:val="18"/>
          <w:lang w:eastAsia="nl-NL"/>
          <w14:ligatures w14:val="none"/>
        </w:rPr>
        <w:t>mensen</w:t>
      </w:r>
      <w:r w:rsidRPr="00A60B4E">
        <w:rPr>
          <w:rFonts w:ascii="Verdana" w:hAnsi="Verdana" w:eastAsia="DejaVu Sans" w:cs="Lohit Hindi"/>
          <w:color w:val="000000"/>
          <w:kern w:val="0"/>
          <w:sz w:val="18"/>
          <w:szCs w:val="18"/>
          <w:lang w:eastAsia="nl-NL"/>
          <w14:ligatures w14:val="none"/>
        </w:rPr>
        <w:t xml:space="preserve"> te ontzien in hun administratieve last binnen duidelijke wettelijke kaders. </w:t>
      </w:r>
    </w:p>
    <w:p w:rsidR="005D15C0" w:rsidP="005D15C0" w:rsidRDefault="005D15C0" w14:paraId="4277D418" w14:textId="77777777"/>
    <w:p w:rsidR="005D15C0" w:rsidP="005D15C0" w:rsidRDefault="005D15C0" w14:paraId="0A107F2E" w14:textId="77777777">
      <w:r>
        <w:t>Deze definities en normen zullen in de praktijk leiden tot discussie. Dat is een gewenst effect</w:t>
      </w:r>
      <w:r w:rsidR="00830AE3">
        <w:t xml:space="preserve"> van de koers</w:t>
      </w:r>
      <w:r>
        <w:t>. Zo kan de handhavingskoers het vertrekpunt zijn voor het gesprek tussen een uitvoerder met een (lokale) bestuurder</w:t>
      </w:r>
      <w:r w:rsidR="000F5712">
        <w:t>, parlement</w:t>
      </w:r>
      <w:r>
        <w:t xml:space="preserve"> </w:t>
      </w:r>
      <w:r w:rsidR="000F5712">
        <w:t>en/</w:t>
      </w:r>
      <w:r>
        <w:t xml:space="preserve">of </w:t>
      </w:r>
      <w:r w:rsidR="000F5712">
        <w:t>gemeente</w:t>
      </w:r>
      <w:r w:rsidR="00830AE3">
        <w:t>raad</w:t>
      </w:r>
      <w:r>
        <w:t xml:space="preserve">. Het belang van handhaving kan dan ingekleurd worden aan de hand van de hierboven genoemde definities. Dat is ook een invulling en doorleving van het rechtsstatelijk vakmanschap. Risicoacceptatie in bestuur, beleid en uitvoering moet ook onderdeel zijn van deze gesprekken. Het inzetten op het voorkomen van fouten kan </w:t>
      </w:r>
      <w:r w:rsidR="00001780">
        <w:t xml:space="preserve">de </w:t>
      </w:r>
      <w:r>
        <w:t xml:space="preserve">bestuurlijke </w:t>
      </w:r>
      <w:r w:rsidR="00965479">
        <w:t>wens</w:t>
      </w:r>
      <w:r>
        <w:t xml:space="preserve"> om te handhaven verminderen. Dit is een tendens die aangegeven wordt in gesprekken met professionals. Hierbij is het belangrijk om te wijzen op de burgerconsultaties waarbij het belang om te blijven handhaven wel sterk wordt benadrukt. </w:t>
      </w:r>
    </w:p>
    <w:bookmarkEnd w:id="1"/>
    <w:p w:rsidR="005D15C0" w:rsidP="005D15C0" w:rsidRDefault="005D15C0" w14:paraId="35EBAEC0" w14:textId="77777777"/>
    <w:p w:rsidR="005D15C0" w:rsidP="005D15C0" w:rsidRDefault="005D15C0" w14:paraId="2D9BC794" w14:textId="77777777">
      <w:pPr>
        <w:pStyle w:val="Lijstalinea"/>
        <w:numPr>
          <w:ilvl w:val="0"/>
          <w:numId w:val="9"/>
        </w:numPr>
        <w:spacing w:after="0"/>
        <w:ind w:left="284" w:hanging="284"/>
        <w:contextualSpacing w:val="0"/>
        <w:rPr>
          <w:rFonts w:cstheme="minorHAnsi"/>
          <w:b/>
        </w:rPr>
      </w:pPr>
      <w:r w:rsidRPr="00C04E88">
        <w:rPr>
          <w:rFonts w:cstheme="minorHAnsi"/>
          <w:b/>
        </w:rPr>
        <w:t>Beleids</w:t>
      </w:r>
      <w:r>
        <w:rPr>
          <w:rFonts w:cstheme="minorHAnsi"/>
          <w:b/>
        </w:rPr>
        <w:t>ontwikkelingen</w:t>
      </w:r>
      <w:r w:rsidRPr="00C04E88">
        <w:rPr>
          <w:rFonts w:cstheme="minorHAnsi"/>
          <w:b/>
        </w:rPr>
        <w:t xml:space="preserve"> </w:t>
      </w:r>
      <w:r>
        <w:rPr>
          <w:rFonts w:cstheme="minorHAnsi"/>
          <w:b/>
        </w:rPr>
        <w:t xml:space="preserve">sociale zekerheid  </w:t>
      </w:r>
    </w:p>
    <w:p w:rsidR="005D15C0" w:rsidP="005D15C0" w:rsidRDefault="005D15C0" w14:paraId="4C444BB6" w14:textId="77777777">
      <w:pPr>
        <w:rPr>
          <w:rFonts w:cstheme="minorHAnsi"/>
          <w:bCs/>
        </w:rPr>
      </w:pPr>
      <w:r>
        <w:rPr>
          <w:rFonts w:cstheme="minorHAnsi"/>
          <w:bCs/>
        </w:rPr>
        <w:t xml:space="preserve">In deze sectie worden beleidstrajecten </w:t>
      </w:r>
      <w:r w:rsidR="00965479">
        <w:rPr>
          <w:rFonts w:cstheme="minorHAnsi"/>
          <w:bCs/>
        </w:rPr>
        <w:t>genoemd</w:t>
      </w:r>
      <w:r w:rsidRPr="001208EE">
        <w:rPr>
          <w:rFonts w:cstheme="minorHAnsi"/>
          <w:bCs/>
        </w:rPr>
        <w:t xml:space="preserve"> die een relatie met het handhavingsbeleid hebben. </w:t>
      </w:r>
      <w:r>
        <w:rPr>
          <w:rFonts w:cstheme="minorHAnsi"/>
          <w:bCs/>
        </w:rPr>
        <w:t>H</w:t>
      </w:r>
      <w:r w:rsidRPr="00F2353E">
        <w:rPr>
          <w:rFonts w:cstheme="minorHAnsi"/>
          <w:bCs/>
        </w:rPr>
        <w:t xml:space="preserve">et wetsvoorstel </w:t>
      </w:r>
      <w:r w:rsidRPr="00A23248">
        <w:rPr>
          <w:rFonts w:cstheme="minorHAnsi"/>
          <w:bCs/>
        </w:rPr>
        <w:t xml:space="preserve">handhaving sociale </w:t>
      </w:r>
      <w:r w:rsidRPr="00A23248" w:rsidR="00FB1456">
        <w:rPr>
          <w:rFonts w:cstheme="minorHAnsi"/>
          <w:bCs/>
        </w:rPr>
        <w:t xml:space="preserve">zekerheid </w:t>
      </w:r>
      <w:r w:rsidRPr="00F2353E" w:rsidR="00FB1456">
        <w:rPr>
          <w:rFonts w:cstheme="minorHAnsi"/>
          <w:bCs/>
        </w:rPr>
        <w:t>beoogt</w:t>
      </w:r>
      <w:r w:rsidRPr="00F2353E">
        <w:rPr>
          <w:rFonts w:cstheme="minorHAnsi"/>
          <w:bCs/>
        </w:rPr>
        <w:t xml:space="preserve"> een evenwichtig handhavingsstelsel te creëren.</w:t>
      </w:r>
      <w:r>
        <w:rPr>
          <w:rStyle w:val="Voetnootmarkering"/>
          <w:rFonts w:cstheme="minorHAnsi"/>
          <w:bCs/>
        </w:rPr>
        <w:footnoteReference w:id="10"/>
      </w:r>
      <w:r>
        <w:rPr>
          <w:rFonts w:cstheme="minorHAnsi"/>
          <w:bCs/>
        </w:rPr>
        <w:t xml:space="preserve"> </w:t>
      </w:r>
      <w:r w:rsidRPr="00F2353E">
        <w:rPr>
          <w:rFonts w:cstheme="minorHAnsi"/>
          <w:bCs/>
        </w:rPr>
        <w:t xml:space="preserve">Er komt ruimte om af te wegen of een sanctie op zijn plaats is en zo ja, welke sanctie dan </w:t>
      </w:r>
      <w:r w:rsidR="00965479">
        <w:rPr>
          <w:rFonts w:cstheme="minorHAnsi"/>
          <w:bCs/>
        </w:rPr>
        <w:t>passend</w:t>
      </w:r>
      <w:r w:rsidRPr="00F2353E">
        <w:rPr>
          <w:rFonts w:cstheme="minorHAnsi"/>
          <w:bCs/>
        </w:rPr>
        <w:t xml:space="preserve"> is. Voor de uitlegbaarheid van de beslissing en voor de uniformiteit in het stelsel wordt aan deze afweging richting gegeven met een wettelijk afwegingskader. </w:t>
      </w:r>
    </w:p>
    <w:p w:rsidR="005D15C0" w:rsidP="00A60B4E" w:rsidRDefault="005D15C0" w14:paraId="731961E0" w14:textId="77777777">
      <w:pPr>
        <w:pStyle w:val="Citaat"/>
        <w:spacing w:before="0" w:after="0"/>
        <w:jc w:val="left"/>
        <w:rPr>
          <w:rFonts w:ascii="Verdana" w:hAnsi="Verdana" w:eastAsia="DejaVu Sans" w:cs="Lohit Hindi"/>
          <w:color w:val="000000"/>
          <w:kern w:val="0"/>
          <w:sz w:val="18"/>
          <w:szCs w:val="18"/>
          <w:lang w:eastAsia="nl-NL"/>
          <w14:ligatures w14:val="none"/>
        </w:rPr>
      </w:pPr>
    </w:p>
    <w:p w:rsidR="003B0331" w:rsidP="003B0331" w:rsidRDefault="003B0331" w14:paraId="2FCCC9A2" w14:textId="77777777">
      <w:r w:rsidRPr="003B0331">
        <w:t>Het is wenselijk dat mensen gebruik maken van de ondersteuning die er voor hen is bij werk, inkomen, opleiding en meedoen in de samenleving. Het wetsvoorstel proactieve dienstverlening geeft UWV, de SVB en gemeenten daartoe meer mogelijkheden om persoonsgegevens te verwerken.</w:t>
      </w:r>
      <w:r w:rsidRPr="003B0331">
        <w:rPr>
          <w:rStyle w:val="Voetnootmarkering"/>
          <w:rFonts w:cstheme="minorHAnsi"/>
          <w:bCs/>
        </w:rPr>
        <w:t xml:space="preserve"> </w:t>
      </w:r>
      <w:r w:rsidRPr="003B0331">
        <w:rPr>
          <w:rStyle w:val="Voetnootmarkering"/>
          <w:rFonts w:cstheme="minorHAnsi"/>
          <w:bCs/>
        </w:rPr>
        <w:footnoteReference w:id="11"/>
      </w:r>
      <w:r w:rsidRPr="003B0331">
        <w:t xml:space="preserve"> Het doel is om de burger door het verder verwerken van beschikbare gegevens gericht te helpen bij het doen van een correcte aanvraag en het wijzen op een mogelijk recht met bijbehorende verplichtingen.</w:t>
      </w:r>
    </w:p>
    <w:p w:rsidR="005D15C0" w:rsidP="005D15C0" w:rsidRDefault="005D15C0" w14:paraId="5E601E0C" w14:textId="77777777">
      <w:pPr>
        <w:rPr>
          <w:rFonts w:cstheme="minorHAnsi"/>
        </w:rPr>
      </w:pPr>
    </w:p>
    <w:p w:rsidRPr="00A60B4E" w:rsidR="005D15C0" w:rsidP="00A60B4E" w:rsidRDefault="005D15C0" w14:paraId="286D962A"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Dilemma</w:t>
      </w:r>
      <w:r w:rsidR="00A60B4E">
        <w:rPr>
          <w:rFonts w:ascii="Verdana" w:hAnsi="Verdana" w:eastAsia="DejaVu Sans" w:cs="Lohit Hindi"/>
          <w:color w:val="000000"/>
          <w:kern w:val="0"/>
          <w:sz w:val="18"/>
          <w:szCs w:val="18"/>
          <w:lang w:eastAsia="nl-NL"/>
          <w14:ligatures w14:val="none"/>
        </w:rPr>
        <w:t xml:space="preserve"> 4:</w:t>
      </w:r>
      <w:r w:rsidRPr="00A60B4E">
        <w:rPr>
          <w:rFonts w:ascii="Verdana" w:hAnsi="Verdana" w:eastAsia="DejaVu Sans" w:cs="Lohit Hindi"/>
          <w:color w:val="000000"/>
          <w:kern w:val="0"/>
          <w:sz w:val="18"/>
          <w:szCs w:val="18"/>
          <w:lang w:eastAsia="nl-NL"/>
          <w14:ligatures w14:val="none"/>
        </w:rPr>
        <w:t xml:space="preserve"> Complexiteit versus Vereenvoudiging</w:t>
      </w:r>
    </w:p>
    <w:p w:rsidR="00BF60A6" w:rsidP="00A60B4E" w:rsidRDefault="005D15C0" w14:paraId="0F26A101"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 xml:space="preserve">Er bestaat een wens om wet- en regelgeving eenvoudiger te maken. Echter, door focus op gerichtheid van regelingen binnen het stelsel, worden controle en monitoring complexer en nemen regels toe. Er is een noodzaak om regels te verminderen om vereenvoudiging te bewerkstelligen. </w:t>
      </w:r>
    </w:p>
    <w:p w:rsidRPr="00A60B4E" w:rsidR="005D15C0" w:rsidP="00A60B4E" w:rsidRDefault="005D15C0" w14:paraId="57FB4B60"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lastRenderedPageBreak/>
        <w:t>Dit duidt op een spanning tussen de hoge politieke en maatschappelijke verwachtingen van handhaving gecombineerd met een lage risicoacceptatie.</w:t>
      </w:r>
      <w:r w:rsidR="00965479">
        <w:rPr>
          <w:rFonts w:ascii="Verdana" w:hAnsi="Verdana" w:eastAsia="DejaVu Sans" w:cs="Lohit Hindi"/>
          <w:color w:val="000000"/>
          <w:kern w:val="0"/>
          <w:sz w:val="18"/>
          <w:szCs w:val="18"/>
          <w:lang w:eastAsia="nl-NL"/>
          <w14:ligatures w14:val="none"/>
        </w:rPr>
        <w:t xml:space="preserve"> Waar het niet lukt regels te vereenvoudigen, moet </w:t>
      </w:r>
      <w:r w:rsidR="009A4497">
        <w:rPr>
          <w:rFonts w:ascii="Verdana" w:hAnsi="Verdana" w:eastAsia="DejaVu Sans" w:cs="Lohit Hindi"/>
          <w:color w:val="000000"/>
          <w:kern w:val="0"/>
          <w:sz w:val="18"/>
          <w:szCs w:val="18"/>
          <w:lang w:eastAsia="nl-NL"/>
          <w14:ligatures w14:val="none"/>
        </w:rPr>
        <w:t xml:space="preserve">gekeken worden of dienstverlening kan worden aangepast. </w:t>
      </w:r>
      <w:r w:rsidRPr="00A60B4E">
        <w:rPr>
          <w:rFonts w:ascii="Verdana" w:hAnsi="Verdana" w:eastAsia="DejaVu Sans" w:cs="Lohit Hindi"/>
          <w:color w:val="000000"/>
          <w:kern w:val="0"/>
          <w:sz w:val="18"/>
          <w:szCs w:val="18"/>
          <w:lang w:eastAsia="nl-NL"/>
          <w14:ligatures w14:val="none"/>
        </w:rPr>
        <w:t xml:space="preserve"> </w:t>
      </w:r>
    </w:p>
    <w:p w:rsidR="005D15C0" w:rsidP="005D15C0" w:rsidRDefault="005D15C0" w14:paraId="5E877B90" w14:textId="77777777">
      <w:pPr>
        <w:rPr>
          <w:rFonts w:cstheme="minorHAnsi"/>
        </w:rPr>
      </w:pPr>
    </w:p>
    <w:p w:rsidR="005D15C0" w:rsidP="005D15C0" w:rsidRDefault="005D15C0" w14:paraId="0E9C2D6A" w14:textId="77777777">
      <w:pPr>
        <w:rPr>
          <w:rFonts w:cstheme="minorHAnsi"/>
        </w:rPr>
      </w:pPr>
      <w:r>
        <w:rPr>
          <w:rFonts w:cstheme="minorHAnsi"/>
          <w:bCs/>
        </w:rPr>
        <w:t xml:space="preserve">Met de wet Participatiewet in balans </w:t>
      </w:r>
      <w:r w:rsidR="00D25EEF">
        <w:rPr>
          <w:rFonts w:cstheme="minorHAnsi"/>
          <w:bCs/>
        </w:rPr>
        <w:t>zijn</w:t>
      </w:r>
      <w:r>
        <w:rPr>
          <w:rFonts w:cstheme="minorHAnsi"/>
          <w:bCs/>
        </w:rPr>
        <w:t xml:space="preserve"> de Participatiewet (Pw), IOAW en IOAZ op het gebied van bestaanszekerheid, re-integratie en handhaving meer in balans gebracht. </w:t>
      </w:r>
      <w:r>
        <w:rPr>
          <w:rFonts w:cstheme="minorHAnsi"/>
        </w:rPr>
        <w:t xml:space="preserve">Voor een zekerder en begrijpelijker stelsel van inkomstenondersteuning waarin (meer) werken loont, is het noodzakelijk het stelsel te verbeteren en te vereenvoudigen. </w:t>
      </w:r>
      <w:r w:rsidR="00553A13">
        <w:rPr>
          <w:rFonts w:cstheme="minorHAnsi"/>
        </w:rPr>
        <w:t xml:space="preserve">Daartoe </w:t>
      </w:r>
      <w:r>
        <w:rPr>
          <w:rFonts w:cstheme="minorHAnsi"/>
        </w:rPr>
        <w:t>heeft</w:t>
      </w:r>
      <w:r w:rsidR="00553A13">
        <w:rPr>
          <w:rFonts w:cstheme="minorHAnsi"/>
        </w:rPr>
        <w:t xml:space="preserve"> het kabinet</w:t>
      </w:r>
      <w:r>
        <w:rPr>
          <w:rFonts w:cstheme="minorHAnsi"/>
        </w:rPr>
        <w:t xml:space="preserve"> op 11 juli jl. de hervormingsagenda inkomensondersteuning aan de Kamer aangeboden.</w:t>
      </w:r>
      <w:r>
        <w:rPr>
          <w:rStyle w:val="Voetnootmarkering"/>
          <w:rFonts w:cstheme="minorHAnsi"/>
        </w:rPr>
        <w:footnoteReference w:id="12"/>
      </w:r>
      <w:r>
        <w:rPr>
          <w:rFonts w:cstheme="minorHAnsi"/>
        </w:rPr>
        <w:t xml:space="preserve"> </w:t>
      </w:r>
    </w:p>
    <w:p w:rsidR="005D15C0" w:rsidP="005D15C0" w:rsidRDefault="005D15C0" w14:paraId="1886F6C7" w14:textId="77777777">
      <w:pPr>
        <w:rPr>
          <w:rFonts w:cstheme="minorHAnsi"/>
          <w:bCs/>
        </w:rPr>
      </w:pPr>
    </w:p>
    <w:p w:rsidR="005D15C0" w:rsidP="005D15C0" w:rsidRDefault="005D15C0" w14:paraId="0CB5FDC6" w14:textId="77777777">
      <w:pPr>
        <w:pStyle w:val="Lijstalinea"/>
        <w:numPr>
          <w:ilvl w:val="0"/>
          <w:numId w:val="9"/>
        </w:numPr>
        <w:spacing w:after="0"/>
        <w:ind w:left="284" w:hanging="284"/>
        <w:contextualSpacing w:val="0"/>
        <w:rPr>
          <w:rFonts w:cstheme="minorHAnsi"/>
          <w:b/>
        </w:rPr>
      </w:pPr>
      <w:bookmarkStart w:name="_Hlk214294682" w:id="2"/>
      <w:r>
        <w:rPr>
          <w:rFonts w:cstheme="minorHAnsi"/>
          <w:b/>
        </w:rPr>
        <w:t xml:space="preserve">Beleidsontwikkelingen arbeidswetten </w:t>
      </w:r>
    </w:p>
    <w:bookmarkEnd w:id="2"/>
    <w:p w:rsidR="005D15C0" w:rsidP="005D15C0" w:rsidRDefault="005D15C0" w14:paraId="3CD5415D" w14:textId="77777777">
      <w:r>
        <w:t>Het stelsel van boeteregels voor de Eerlijk, Gezond en Veilig Werk-wetten is wijd- en fijnvertakt. Zo zijn in de wet- en regelgeving gradaties in de ernst en verwijtbaarheid van overtredingen opgenomen</w:t>
      </w:r>
      <w:r w:rsidR="00812747">
        <w:t>. Dat is</w:t>
      </w:r>
      <w:r>
        <w:t xml:space="preserve"> omdat de consequenties van overtredingen voor bijvoorbeeld werknemers kunnen verschillen. Zo kan een overtreding van de ene norm worden gesanctioneerd met een waarschuwing of boete</w:t>
      </w:r>
      <w:r w:rsidR="00812747">
        <w:t>. Dit</w:t>
      </w:r>
      <w:r>
        <w:t xml:space="preserve"> terwijl inspecteurs in situaties van ernstig gevaar of herhaaldelijke overtredingen werkzaamheden kunnen stilleggen. Daarom is het essentieel dat in de handhaving steeds het vaststellen van de feiten en omstandigheden van het specifieke geval centraal staat. Verschillende Kamerleden hebben aangedrongen op verhoging van de boetes zodat deze beter in verhouding staan tot het financiële voordeel dat werkgevers kunnen behalen bij overtreding. </w:t>
      </w:r>
    </w:p>
    <w:p w:rsidR="005D15C0" w:rsidP="005D15C0" w:rsidRDefault="005D15C0" w14:paraId="5C395B9C" w14:textId="77777777">
      <w:r>
        <w:t> </w:t>
      </w:r>
    </w:p>
    <w:p w:rsidR="005D15C0" w:rsidP="005D15C0" w:rsidRDefault="005D15C0" w14:paraId="1F7C4CCF" w14:textId="77777777">
      <w:r>
        <w:t xml:space="preserve">Het kabinet vindt het belangrijk dat de reële waarde van boetes in de loop van de tijd hetzelfde blijft, omdat boetes dan zowel hun preventieve werking (het ontmoedigen van overtredingen) als hun reactieve werking (het bestraffen van gedrag en het voorkomen van herhaling) behouden. De afgelopen jaren is deze reële waarde echter gedaald vanwege het achterwege blijven van indexering. In juli van </w:t>
      </w:r>
      <w:r w:rsidR="00EC195B">
        <w:t xml:space="preserve">2025 </w:t>
      </w:r>
      <w:r>
        <w:t>heeft het kabinet daarom aangegeven om de boetes van de Eerlijk Werk arbeidswetten te verhogen door bij het nieuwe normbedrag rekening te houden met een fictieve indexatie over de afgelopen jaren. Ook zal indexatie daarna jaarlijks plaatsvinden.</w:t>
      </w:r>
      <w:r w:rsidR="0053786F">
        <w:rPr>
          <w:rStyle w:val="Voetnootmarkering"/>
        </w:rPr>
        <w:footnoteReference w:id="13"/>
      </w:r>
      <w:r>
        <w:t xml:space="preserve"> Dit besluit is genomen om misstanden bij met name arbeidsmigranten tegen te gaan en eerlijke arbeidsvoorwaarden te bevorderen. In </w:t>
      </w:r>
      <w:r w:rsidR="00A364AF">
        <w:t xml:space="preserve">de eerste helft </w:t>
      </w:r>
      <w:r>
        <w:t>van 2026 wordt de Tweede Kamer nader geïnformeerd over de indexatie.</w:t>
      </w:r>
      <w:r w:rsidR="006B32CF">
        <w:rPr>
          <w:rStyle w:val="Voetnootmarkering"/>
        </w:rPr>
        <w:footnoteReference w:id="14"/>
      </w:r>
      <w:r>
        <w:t xml:space="preserve"> </w:t>
      </w:r>
      <w:r w:rsidR="00A364AF">
        <w:t>En afgelopen februari heeft het kabinet het voornemen aangekondigd om ook de boetes voor de voor Gezond &amp; Veilig Werk (Arbowet en Arbeidstijdenwet) eenmalig te verhogen en daarna jaarlijks te indexeren.</w:t>
      </w:r>
      <w:r w:rsidR="00A364AF">
        <w:rPr>
          <w:rStyle w:val="Voetnootmarkering"/>
        </w:rPr>
        <w:footnoteReference w:id="15"/>
      </w:r>
    </w:p>
    <w:p w:rsidR="005D15C0" w:rsidP="005D15C0" w:rsidRDefault="005D15C0" w14:paraId="7E9B7291" w14:textId="77777777"/>
    <w:p w:rsidR="00BF60A6" w:rsidP="005D15C0" w:rsidRDefault="005D15C0" w14:paraId="2C872EEC" w14:textId="77777777">
      <w:r>
        <w:t xml:space="preserve">Per 1 januari 2027 treedt de Wet toelating terbeschikkingstelling van arbeidskrachten (Wtta) in werking. Met deze wet komt er een toelatingsstelsel voor de uitleenmarkt. </w:t>
      </w:r>
    </w:p>
    <w:p w:rsidR="00BF60A6" w:rsidP="005D15C0" w:rsidRDefault="00BF60A6" w14:paraId="591FCC27" w14:textId="77777777"/>
    <w:p w:rsidR="00046C32" w:rsidP="005D15C0" w:rsidRDefault="005D15C0" w14:paraId="33E7EBC1" w14:textId="77777777">
      <w:r>
        <w:lastRenderedPageBreak/>
        <w:t xml:space="preserve">Doel van de wet is het beschermen van werknemers, in het bijzonder arbeidsmigranten, en het creëren van een gelijk speelveld voor bedrijven. De Nederlandse Autoriteit Uitleenmarkt (NAU), een nieuw onderdeel van het ministerie van SZW, is verantwoordelijk voor de uitvoering van de Wtta. </w:t>
      </w:r>
    </w:p>
    <w:p w:rsidR="00046C32" w:rsidP="005D15C0" w:rsidRDefault="00046C32" w14:paraId="634C210E" w14:textId="77777777"/>
    <w:p w:rsidR="005D15C0" w:rsidP="005D15C0" w:rsidRDefault="005D15C0" w14:paraId="7A9CFD09" w14:textId="77777777">
      <w:r>
        <w:t xml:space="preserve">Vanaf 1 januari 2028, het moment waarop de handhaving door de </w:t>
      </w:r>
      <w:r w:rsidR="005359AC">
        <w:rPr>
          <w:rFonts w:cstheme="minorHAnsi"/>
        </w:rPr>
        <w:t>Arbeidsinspectie</w:t>
      </w:r>
      <w:r>
        <w:t xml:space="preserve"> start, mogen uitleners alleen nog actief zijn met een toelating van de NAU en mogen inleners alleen nog zakendoen met toegelaten uitleners. De NAU wordt gefaseerd operationeel vanaf 1 juli 2026.</w:t>
      </w:r>
    </w:p>
    <w:p w:rsidR="005D15C0" w:rsidP="005D15C0" w:rsidRDefault="005D15C0" w14:paraId="73A43222" w14:textId="77777777">
      <w:pPr>
        <w:rPr>
          <w:rFonts w:cstheme="minorHAnsi"/>
          <w:b/>
        </w:rPr>
      </w:pPr>
    </w:p>
    <w:p w:rsidR="005D15C0" w:rsidP="005D15C0" w:rsidRDefault="005D15C0" w14:paraId="7D2449E5" w14:textId="77777777">
      <w:pPr>
        <w:pStyle w:val="Lijstalinea"/>
        <w:numPr>
          <w:ilvl w:val="0"/>
          <w:numId w:val="9"/>
        </w:numPr>
        <w:spacing w:after="0"/>
        <w:ind w:left="284" w:hanging="284"/>
        <w:contextualSpacing w:val="0"/>
        <w:rPr>
          <w:rFonts w:cstheme="minorHAnsi"/>
          <w:b/>
        </w:rPr>
      </w:pPr>
      <w:r>
        <w:rPr>
          <w:rFonts w:cstheme="minorHAnsi"/>
          <w:b/>
        </w:rPr>
        <w:t xml:space="preserve">Trends uit de stakeholderconsultatie </w:t>
      </w:r>
    </w:p>
    <w:p w:rsidR="005D15C0" w:rsidP="005D15C0" w:rsidRDefault="009461BD" w14:paraId="7433C6A8" w14:textId="77777777">
      <w:pPr>
        <w:rPr>
          <w:rFonts w:cstheme="minorHAnsi"/>
          <w:bCs/>
        </w:rPr>
      </w:pPr>
      <w:r>
        <w:rPr>
          <w:rFonts w:cstheme="minorHAnsi"/>
          <w:bCs/>
        </w:rPr>
        <w:t xml:space="preserve">In deze sectie worden trends besproken. </w:t>
      </w:r>
      <w:r w:rsidRPr="00282A92" w:rsidR="005D15C0">
        <w:rPr>
          <w:rFonts w:cstheme="minorHAnsi"/>
          <w:bCs/>
        </w:rPr>
        <w:t>De</w:t>
      </w:r>
      <w:r w:rsidR="005D15C0">
        <w:rPr>
          <w:rFonts w:cstheme="minorHAnsi"/>
          <w:bCs/>
        </w:rPr>
        <w:t>ze</w:t>
      </w:r>
      <w:r w:rsidRPr="00282A92" w:rsidR="005D15C0">
        <w:rPr>
          <w:rFonts w:cstheme="minorHAnsi"/>
          <w:bCs/>
        </w:rPr>
        <w:t xml:space="preserve"> </w:t>
      </w:r>
      <w:r w:rsidR="005D15C0">
        <w:rPr>
          <w:rFonts w:cstheme="minorHAnsi"/>
          <w:bCs/>
        </w:rPr>
        <w:t>trends</w:t>
      </w:r>
      <w:r w:rsidRPr="00282A92" w:rsidR="005D15C0">
        <w:rPr>
          <w:rFonts w:cstheme="minorHAnsi"/>
          <w:bCs/>
        </w:rPr>
        <w:t xml:space="preserve"> </w:t>
      </w:r>
      <w:r w:rsidR="005D15C0">
        <w:rPr>
          <w:rFonts w:cstheme="minorHAnsi"/>
          <w:bCs/>
        </w:rPr>
        <w:t>komen</w:t>
      </w:r>
      <w:r w:rsidRPr="00282A92" w:rsidR="005D15C0">
        <w:rPr>
          <w:rFonts w:cstheme="minorHAnsi"/>
          <w:bCs/>
        </w:rPr>
        <w:t xml:space="preserve"> uit </w:t>
      </w:r>
      <w:r>
        <w:rPr>
          <w:rFonts w:cstheme="minorHAnsi"/>
          <w:bCs/>
        </w:rPr>
        <w:t xml:space="preserve">een onderzoek waarbij </w:t>
      </w:r>
      <w:r w:rsidR="001D2BA0">
        <w:rPr>
          <w:rFonts w:cstheme="minorHAnsi"/>
          <w:bCs/>
        </w:rPr>
        <w:t>burgers</w:t>
      </w:r>
      <w:r>
        <w:rPr>
          <w:rFonts w:cstheme="minorHAnsi"/>
          <w:bCs/>
        </w:rPr>
        <w:t xml:space="preserve"> en uitvoeringsprofessionals zijn bevraagd. </w:t>
      </w:r>
      <w:r w:rsidR="005D15C0">
        <w:rPr>
          <w:rFonts w:cstheme="minorHAnsi"/>
          <w:bCs/>
        </w:rPr>
        <w:t>Daarnaast zijn er interviews gehouden met enkele experts waaronder wetenschappers (Prof. dr. Paulien de Winter, dr. Sharon Stellaard en dr. Willeke Slingerland), een voormalig toezichthouder en onderzoeker (dr. Femke de Vries) een ervaringsdeskundige</w:t>
      </w:r>
      <w:r w:rsidR="005D15C0">
        <w:rPr>
          <w:rStyle w:val="Voetnootmarkering"/>
          <w:rFonts w:cstheme="minorHAnsi"/>
          <w:bCs/>
        </w:rPr>
        <w:footnoteReference w:id="16"/>
      </w:r>
      <w:r w:rsidR="005D15C0">
        <w:rPr>
          <w:rFonts w:cstheme="minorHAnsi"/>
          <w:bCs/>
        </w:rPr>
        <w:t xml:space="preserve"> en </w:t>
      </w:r>
      <w:r w:rsidRPr="46AEF2A0" w:rsidR="005D15C0">
        <w:t xml:space="preserve">een </w:t>
      </w:r>
      <w:r w:rsidR="005D15C0">
        <w:rPr>
          <w:rFonts w:cstheme="minorHAnsi"/>
          <w:bCs/>
        </w:rPr>
        <w:t>advocaat (mr. dr. Thomas Sanders)</w:t>
      </w:r>
      <w:r w:rsidRPr="00282A92" w:rsidR="005D15C0">
        <w:rPr>
          <w:rFonts w:cstheme="minorHAnsi"/>
          <w:bCs/>
        </w:rPr>
        <w:t>.</w:t>
      </w:r>
      <w:r w:rsidR="005D15C0">
        <w:rPr>
          <w:rFonts w:cstheme="minorHAnsi"/>
          <w:bCs/>
        </w:rPr>
        <w:t xml:space="preserve"> </w:t>
      </w:r>
    </w:p>
    <w:p w:rsidR="005D15C0" w:rsidP="005D15C0" w:rsidRDefault="005D15C0" w14:paraId="01590D9A" w14:textId="77777777">
      <w:pPr>
        <w:rPr>
          <w:rFonts w:cstheme="minorHAnsi"/>
          <w:bCs/>
        </w:rPr>
      </w:pPr>
    </w:p>
    <w:p w:rsidR="005D15C0" w:rsidP="005D15C0" w:rsidRDefault="005D15C0" w14:paraId="506B7615" w14:textId="77777777">
      <w:pPr>
        <w:rPr>
          <w:rFonts w:cstheme="minorHAnsi"/>
          <w:bCs/>
        </w:rPr>
      </w:pPr>
      <w:r>
        <w:rPr>
          <w:rFonts w:cstheme="minorHAnsi"/>
          <w:bCs/>
        </w:rPr>
        <w:t>Een trend is de t</w:t>
      </w:r>
      <w:r w:rsidRPr="00D129AA">
        <w:rPr>
          <w:rFonts w:cstheme="minorHAnsi"/>
          <w:bCs/>
        </w:rPr>
        <w:t>oenemende complexiteit van regelgeving</w:t>
      </w:r>
      <w:r>
        <w:rPr>
          <w:rFonts w:cstheme="minorHAnsi"/>
          <w:bCs/>
        </w:rPr>
        <w:t xml:space="preserve">. </w:t>
      </w:r>
      <w:r w:rsidRPr="00D129AA">
        <w:rPr>
          <w:rFonts w:cstheme="minorHAnsi"/>
          <w:bCs/>
        </w:rPr>
        <w:t xml:space="preserve">De complexiteit van wet- en regelgeving </w:t>
      </w:r>
      <w:r>
        <w:rPr>
          <w:rFonts w:cstheme="minorHAnsi"/>
          <w:bCs/>
        </w:rPr>
        <w:t>is</w:t>
      </w:r>
      <w:r w:rsidRPr="00D129AA">
        <w:rPr>
          <w:rFonts w:cstheme="minorHAnsi"/>
          <w:bCs/>
        </w:rPr>
        <w:t xml:space="preserve"> een structurele risicofactor die de kans op fouten </w:t>
      </w:r>
      <w:r>
        <w:rPr>
          <w:rFonts w:cstheme="minorHAnsi"/>
          <w:bCs/>
        </w:rPr>
        <w:t xml:space="preserve">door </w:t>
      </w:r>
      <w:r w:rsidR="001D2BA0">
        <w:rPr>
          <w:rFonts w:cstheme="minorHAnsi"/>
          <w:bCs/>
        </w:rPr>
        <w:t>mensen</w:t>
      </w:r>
      <w:r>
        <w:rPr>
          <w:rFonts w:cstheme="minorHAnsi"/>
          <w:bCs/>
        </w:rPr>
        <w:t xml:space="preserve">, bedrijven en de uitvoering </w:t>
      </w:r>
      <w:r w:rsidRPr="00D129AA">
        <w:rPr>
          <w:rFonts w:cstheme="minorHAnsi"/>
          <w:bCs/>
        </w:rPr>
        <w:t>vergroot</w:t>
      </w:r>
      <w:r>
        <w:rPr>
          <w:rFonts w:cstheme="minorHAnsi"/>
          <w:bCs/>
        </w:rPr>
        <w:t xml:space="preserve">. </w:t>
      </w:r>
      <w:r w:rsidR="00001780">
        <w:rPr>
          <w:rFonts w:cstheme="minorHAnsi"/>
          <w:bCs/>
        </w:rPr>
        <w:t>Daarom heeft</w:t>
      </w:r>
      <w:r w:rsidRPr="00D129AA" w:rsidR="00001780">
        <w:rPr>
          <w:rFonts w:cstheme="minorHAnsi"/>
          <w:bCs/>
        </w:rPr>
        <w:t xml:space="preserve"> vereenvoudiging </w:t>
      </w:r>
      <w:r w:rsidR="00001780">
        <w:rPr>
          <w:rFonts w:cstheme="minorHAnsi"/>
          <w:bCs/>
        </w:rPr>
        <w:t xml:space="preserve">van wet- en regelgeving ook </w:t>
      </w:r>
      <w:r w:rsidRPr="00D129AA" w:rsidR="00001780">
        <w:rPr>
          <w:rFonts w:cstheme="minorHAnsi"/>
          <w:bCs/>
        </w:rPr>
        <w:t>prioriteit</w:t>
      </w:r>
      <w:r w:rsidR="00001780">
        <w:rPr>
          <w:rFonts w:cstheme="minorHAnsi"/>
          <w:bCs/>
        </w:rPr>
        <w:t xml:space="preserve">. </w:t>
      </w:r>
      <w:r>
        <w:rPr>
          <w:rFonts w:cstheme="minorHAnsi"/>
          <w:bCs/>
        </w:rPr>
        <w:t xml:space="preserve">De wens om te vereenvoudigen wordt door de uitvoerders benoemd in de standen van de uitvoering en knelpuntenbrieven. </w:t>
      </w:r>
      <w:r w:rsidR="00192AFC">
        <w:rPr>
          <w:rFonts w:cstheme="minorHAnsi"/>
          <w:bCs/>
        </w:rPr>
        <w:t xml:space="preserve">Hierbij is het wel belangrijk </w:t>
      </w:r>
      <w:r>
        <w:rPr>
          <w:rFonts w:cstheme="minorHAnsi"/>
          <w:bCs/>
        </w:rPr>
        <w:t>dat complexiteit kan worden veroorzaakt door een politieke wens voor monitoring van uitvoering</w:t>
      </w:r>
      <w:r w:rsidR="00192AFC">
        <w:rPr>
          <w:rFonts w:cstheme="minorHAnsi"/>
          <w:bCs/>
        </w:rPr>
        <w:t>. Ook kan complexiteit komen door het (verder)</w:t>
      </w:r>
      <w:r>
        <w:rPr>
          <w:rFonts w:cstheme="minorHAnsi"/>
          <w:bCs/>
        </w:rPr>
        <w:t xml:space="preserve"> gericht maken van het stelsel van sociale zekerheid (zoals ook omschreven in het IBO Vereenvoudiging</w:t>
      </w:r>
      <w:r>
        <w:rPr>
          <w:rStyle w:val="Voetnootmarkering"/>
          <w:rFonts w:cstheme="minorHAnsi"/>
          <w:bCs/>
        </w:rPr>
        <w:footnoteReference w:id="17"/>
      </w:r>
      <w:r>
        <w:rPr>
          <w:rFonts w:cstheme="minorHAnsi"/>
          <w:bCs/>
        </w:rPr>
        <w:t xml:space="preserve">). </w:t>
      </w:r>
    </w:p>
    <w:p w:rsidR="005D15C0" w:rsidP="005D15C0" w:rsidRDefault="005D15C0" w14:paraId="459DD2C1" w14:textId="77777777">
      <w:pPr>
        <w:rPr>
          <w:rFonts w:cstheme="minorHAnsi"/>
          <w:bCs/>
        </w:rPr>
      </w:pPr>
    </w:p>
    <w:p w:rsidR="005D15C0" w:rsidP="005D15C0" w:rsidRDefault="005D15C0" w14:paraId="52AB1439" w14:textId="77777777">
      <w:r>
        <w:t xml:space="preserve">Een andere trend is de bestuurscultuur in relatie tot het veranderend mensbeeld.  Er is een neiging om de focus op naleving bij </w:t>
      </w:r>
      <w:r w:rsidR="001D2BA0">
        <w:t>mensen</w:t>
      </w:r>
      <w:r>
        <w:t xml:space="preserve"> te leggen. Dit terwijl er</w:t>
      </w:r>
      <w:r w:rsidR="00B2186D">
        <w:t xml:space="preserve"> tevens</w:t>
      </w:r>
      <w:r>
        <w:t xml:space="preserve"> structurele reflectie nodig is</w:t>
      </w:r>
      <w:r w:rsidRPr="00957896">
        <w:t xml:space="preserve"> </w:t>
      </w:r>
      <w:r w:rsidRPr="00B738E8">
        <w:t>op het eigen handelen van de wetgever en bestuu</w:t>
      </w:r>
      <w:r>
        <w:t xml:space="preserve">r. Dit speelt bijvoorbeeld in de rol van het bestuursorgaan in de afhandeling van herstelacties bij de overheid. In deze reflectie moeten vragen beantwoord worden </w:t>
      </w:r>
      <w:r w:rsidRPr="00B738E8">
        <w:t>zoals</w:t>
      </w:r>
      <w:r>
        <w:t>:</w:t>
      </w:r>
      <w:r w:rsidRPr="00B738E8">
        <w:t xml:space="preserve"> wanneer </w:t>
      </w:r>
      <w:r>
        <w:t xml:space="preserve">moet </w:t>
      </w:r>
      <w:r w:rsidRPr="00B738E8">
        <w:t xml:space="preserve">er niet teruggevorderd worden </w:t>
      </w:r>
      <w:r>
        <w:t>als</w:t>
      </w:r>
      <w:r w:rsidRPr="00B738E8">
        <w:t xml:space="preserve"> </w:t>
      </w:r>
      <w:r>
        <w:t xml:space="preserve">de overheid een fout heeft gemaakt? </w:t>
      </w:r>
      <w:r w:rsidR="00B2186D">
        <w:t>A</w:t>
      </w:r>
      <w:r>
        <w:t xml:space="preserve">ls de regels niet duidelijk zijn, kunnen we als overheid </w:t>
      </w:r>
      <w:r w:rsidR="001D2BA0">
        <w:t>mensen</w:t>
      </w:r>
      <w:r>
        <w:t xml:space="preserve"> hier dan wel aan houden? </w:t>
      </w:r>
      <w:r w:rsidR="00192AFC">
        <w:t xml:space="preserve">En hoe gaan we om met verwachtingen richting </w:t>
      </w:r>
      <w:r w:rsidR="001D2BA0">
        <w:t>mensen</w:t>
      </w:r>
      <w:r w:rsidR="00192AFC">
        <w:t xml:space="preserve"> (zoals het snel aanleveren van informatie) terwijl de overheid deze verwachting zelf niet kan waarmaken?</w:t>
      </w:r>
    </w:p>
    <w:p w:rsidR="005D15C0" w:rsidP="005D15C0" w:rsidRDefault="005D15C0" w14:paraId="0833ADF2" w14:textId="77777777">
      <w:r>
        <w:t xml:space="preserve"> </w:t>
      </w:r>
    </w:p>
    <w:p w:rsidR="00BF60A6" w:rsidP="005D15C0" w:rsidRDefault="005D15C0" w14:paraId="41A4CB38" w14:textId="77777777">
      <w:r>
        <w:t>Internationaal handhaven blijft een grote uitdaging. Dit wordt bemoeilijkt door de uitdaging om over de grens bevoegdheden uit te oefenen die in nationale wetgeving zijn geregeld. Daarbij speelt de noodzaak van structurele en tijdige gegevensuitwisseling met andere landen. In deze context speelt het Benelux-verdrag een rol.</w:t>
      </w:r>
      <w:r>
        <w:rPr>
          <w:rStyle w:val="Voetnootmarkering"/>
        </w:rPr>
        <w:footnoteReference w:id="18"/>
      </w:r>
      <w:r>
        <w:t xml:space="preserve"> Hierdoor wordt het mogelijk om inkomstengegevens uit te wisselen. Het doel daarbij is dat in ieder land hetzelfde niveau van handhavingsactiviteiten kan worden uitgevoerd.</w:t>
      </w:r>
      <w:r>
        <w:rPr>
          <w:rStyle w:val="Voetnootmarkering"/>
        </w:rPr>
        <w:footnoteReference w:id="19"/>
      </w:r>
      <w:r>
        <w:t xml:space="preserve"> Bij internationaal handhaven spelen ook ontwikkelingen op het gebied van belastingwetgeving een rol. </w:t>
      </w:r>
    </w:p>
    <w:p w:rsidR="00046C32" w:rsidP="005D15C0" w:rsidRDefault="005D15C0" w14:paraId="6A1506EC" w14:textId="77777777">
      <w:r>
        <w:lastRenderedPageBreak/>
        <w:t xml:space="preserve">De DAC7 en DAC8 </w:t>
      </w:r>
      <w:r w:rsidR="00A576CE">
        <w:t xml:space="preserve">zijn voorbeelden van </w:t>
      </w:r>
      <w:r>
        <w:t xml:space="preserve">richtlijnen </w:t>
      </w:r>
      <w:r w:rsidR="00A576CE">
        <w:t>die</w:t>
      </w:r>
      <w:r>
        <w:t xml:space="preserve"> de verplichtingen </w:t>
      </w:r>
      <w:r w:rsidR="00A576CE">
        <w:t xml:space="preserve">stroomlijnen </w:t>
      </w:r>
      <w:r>
        <w:t>van EU-</w:t>
      </w:r>
      <w:r w:rsidR="001D2BA0">
        <w:t>burgers</w:t>
      </w:r>
      <w:r>
        <w:t xml:space="preserve"> in de lidstaten. Die informatie levert nieuwe data op voor de Belastingdienst en indirect voor uitvoeringsorganisaties. Ook laten deze DAC’s zien dat het monetaire systeem verandert en dat wet- en regelgeving hierin mee moet veranderen. </w:t>
      </w:r>
      <w:r w:rsidR="00A576CE">
        <w:t xml:space="preserve">Dit geldt evenzo voor de ontwikkeling van crypto, digitale wallets of gok-tokens. </w:t>
      </w:r>
    </w:p>
    <w:p w:rsidR="005D15C0" w:rsidP="005D15C0" w:rsidRDefault="005D15C0" w14:paraId="43B774EF" w14:textId="77777777"/>
    <w:p w:rsidR="005D15C0" w:rsidP="005D15C0" w:rsidRDefault="005D15C0" w14:paraId="700DCF8F" w14:textId="77777777">
      <w:r>
        <w:t xml:space="preserve">Het aantal zaken met een internationale component blijft stijgen, terwijl de schaarste aan personeel en middelen toeneemt. Deze ontwikkeling is </w:t>
      </w:r>
      <w:r w:rsidR="00015D62">
        <w:t>langer gaande en</w:t>
      </w:r>
      <w:r>
        <w:t xml:space="preserve"> leidt tot een groeiende afhankelijkheid van risicogerichte tools en automatisering. Een verregaande inzet op automatisering kent echter ook nadelen, zoals een afname van persoonlijk en menselijk contact. Het vinden van een goede balans tussen deze elementen vormt een belangrijke opgave voor de komende periode. Uit de stakeholderconsultatie blijkt dat </w:t>
      </w:r>
      <w:r w:rsidR="001D2BA0">
        <w:t>mensen</w:t>
      </w:r>
      <w:r>
        <w:t xml:space="preserve"> vooral behoefte hebben aan transparantie over processen en besluitvorming</w:t>
      </w:r>
      <w:r w:rsidR="00812747">
        <w:t xml:space="preserve">. Ook hebben ze behoefte aan </w:t>
      </w:r>
      <w:r>
        <w:t xml:space="preserve">persoonlijk contact in plaats van volledige automatisering. Daarbij merken we op </w:t>
      </w:r>
      <w:r w:rsidR="00A576CE">
        <w:t xml:space="preserve">dat </w:t>
      </w:r>
      <w:r w:rsidR="001D2BA0">
        <w:t>de gesproken mensen</w:t>
      </w:r>
      <w:r w:rsidR="00A576CE">
        <w:t xml:space="preserve"> meegeven dat </w:t>
      </w:r>
      <w:r>
        <w:t xml:space="preserve">vertrouwen niet ontstaat door het simpelweg te ‘geven’; vertrouwen wordt opgebouwd door betrouwbaar te handelen. Wanneer die betrouwbaarheid ontbreekt, kan dat het vertrouwen </w:t>
      </w:r>
      <w:r w:rsidR="00A364AF">
        <w:t>v</w:t>
      </w:r>
      <w:r>
        <w:t xml:space="preserve">erder onder druk zetten. </w:t>
      </w:r>
      <w:r w:rsidR="00A576CE">
        <w:t xml:space="preserve">Duurzaam betrouwbaar handelen door de overheid is dus gewenst. </w:t>
      </w:r>
    </w:p>
    <w:p w:rsidR="005D15C0" w:rsidP="005D15C0" w:rsidRDefault="005D15C0" w14:paraId="5CE09FE0" w14:textId="77777777"/>
    <w:p w:rsidRPr="00A60B4E" w:rsidR="005D15C0" w:rsidP="00A60B4E" w:rsidRDefault="005D15C0" w14:paraId="30624931"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Dilemma</w:t>
      </w:r>
      <w:r w:rsidR="00A60B4E">
        <w:rPr>
          <w:rFonts w:ascii="Verdana" w:hAnsi="Verdana" w:eastAsia="DejaVu Sans" w:cs="Lohit Hindi"/>
          <w:color w:val="000000"/>
          <w:kern w:val="0"/>
          <w:sz w:val="18"/>
          <w:szCs w:val="18"/>
          <w:lang w:eastAsia="nl-NL"/>
          <w14:ligatures w14:val="none"/>
        </w:rPr>
        <w:t xml:space="preserve"> 5:</w:t>
      </w:r>
      <w:r w:rsidRPr="00A60B4E">
        <w:rPr>
          <w:rFonts w:ascii="Verdana" w:hAnsi="Verdana" w:eastAsia="DejaVu Sans" w:cs="Lohit Hindi"/>
          <w:color w:val="000000"/>
          <w:kern w:val="0"/>
          <w:sz w:val="18"/>
          <w:szCs w:val="18"/>
          <w:lang w:eastAsia="nl-NL"/>
          <w14:ligatures w14:val="none"/>
        </w:rPr>
        <w:t xml:space="preserve"> Privacy versus Datagedreven werken</w:t>
      </w:r>
    </w:p>
    <w:p w:rsidRPr="00A60B4E" w:rsidR="005D15C0" w:rsidP="00A60B4E" w:rsidRDefault="005D15C0" w14:paraId="459E9718"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Dit dilemma gaat over de inzet van</w:t>
      </w:r>
      <w:r w:rsidRPr="00A60B4E" w:rsidR="009461BD">
        <w:rPr>
          <w:rFonts w:ascii="Verdana" w:hAnsi="Verdana" w:eastAsia="DejaVu Sans" w:cs="Lohit Hindi"/>
          <w:color w:val="000000"/>
          <w:kern w:val="0"/>
          <w:sz w:val="18"/>
          <w:szCs w:val="18"/>
          <w:lang w:eastAsia="nl-NL"/>
          <w14:ligatures w14:val="none"/>
        </w:rPr>
        <w:t xml:space="preserve"> automatische algoritmes (kunstmatige intelligentie of</w:t>
      </w:r>
      <w:r w:rsidRPr="00A60B4E">
        <w:rPr>
          <w:rFonts w:ascii="Verdana" w:hAnsi="Verdana" w:eastAsia="DejaVu Sans" w:cs="Lohit Hindi"/>
          <w:color w:val="000000"/>
          <w:kern w:val="0"/>
          <w:sz w:val="18"/>
          <w:szCs w:val="18"/>
          <w:lang w:eastAsia="nl-NL"/>
          <w14:ligatures w14:val="none"/>
        </w:rPr>
        <w:t xml:space="preserve"> AI</w:t>
      </w:r>
      <w:r w:rsidRPr="00A60B4E" w:rsidR="009461BD">
        <w:rPr>
          <w:rFonts w:ascii="Verdana" w:hAnsi="Verdana" w:eastAsia="DejaVu Sans" w:cs="Lohit Hindi"/>
          <w:color w:val="000000"/>
          <w:kern w:val="0"/>
          <w:sz w:val="18"/>
          <w:szCs w:val="18"/>
          <w:lang w:eastAsia="nl-NL"/>
          <w14:ligatures w14:val="none"/>
        </w:rPr>
        <w:t>)</w:t>
      </w:r>
      <w:r w:rsidRPr="00A60B4E">
        <w:rPr>
          <w:rFonts w:ascii="Verdana" w:hAnsi="Verdana" w:eastAsia="DejaVu Sans" w:cs="Lohit Hindi"/>
          <w:color w:val="000000"/>
          <w:kern w:val="0"/>
          <w:sz w:val="18"/>
          <w:szCs w:val="18"/>
          <w:lang w:eastAsia="nl-NL"/>
          <w14:ligatures w14:val="none"/>
        </w:rPr>
        <w:t xml:space="preserve">, data en technologie voor risicoselectie en detectie van misbruik of onveilige situaties. Aselect toezicht is neutraal en inefficiënt, risicogericht toezicht is effectiever en efficiënter, mits het voldoet aan wettelijke waarborgen en ethiek. </w:t>
      </w:r>
    </w:p>
    <w:p w:rsidR="005D15C0" w:rsidP="005D15C0" w:rsidRDefault="005D15C0" w14:paraId="701759B2" w14:textId="77777777">
      <w:pPr>
        <w:rPr>
          <w:rFonts w:cstheme="minorHAnsi"/>
          <w:bCs/>
        </w:rPr>
      </w:pPr>
    </w:p>
    <w:p w:rsidR="005D15C0" w:rsidP="005D15C0" w:rsidRDefault="005D15C0" w14:paraId="4AD8E3AC" w14:textId="77777777">
      <w:pPr>
        <w:contextualSpacing/>
      </w:pPr>
      <w:r>
        <w:rPr>
          <w:rFonts w:cstheme="minorHAnsi"/>
        </w:rPr>
        <w:t xml:space="preserve">Voor zowel het sociale zekerheidsdomein als het arbeidsdomein geldt dat er data- en risicogericht wordt gewerkt. Dit gebeurt om in dienstverlening, toezicht en handhaving de beperkte capaciteit efficiënt in te zetten. Data-gedreven werken </w:t>
      </w:r>
      <w:r w:rsidR="00192AFC">
        <w:rPr>
          <w:rFonts w:cstheme="minorHAnsi"/>
        </w:rPr>
        <w:t xml:space="preserve">betekent: </w:t>
      </w:r>
      <w:r w:rsidRPr="008E1E44">
        <w:rPr>
          <w:rFonts w:cstheme="minorHAnsi"/>
        </w:rPr>
        <w:t>goed onderbouwd, zorgvuldig en met bewezen effectieve maatregelen  werken.</w:t>
      </w:r>
      <w:r>
        <w:rPr>
          <w:rFonts w:cstheme="minorHAnsi"/>
        </w:rPr>
        <w:t xml:space="preserve"> Risicogericht werken is noodzakelijk om de beperkte capaciteit effectief in te zetten, bijvoorbeeld bij toezicht en detectie.</w:t>
      </w:r>
      <w:r w:rsidR="001D2BA0">
        <w:rPr>
          <w:rFonts w:cstheme="minorHAnsi"/>
        </w:rPr>
        <w:t xml:space="preserve"> Ook is risicogericht werken minder belastend voor mensen en bedrijven die de regels wél naleven (en dat past bij gedifferentieerd toezicht zoals eerder benoemd). </w:t>
      </w:r>
      <w:r w:rsidRPr="00681F26">
        <w:t xml:space="preserve">Bij de inzet van risicogericht toezicht </w:t>
      </w:r>
      <w:r>
        <w:t xml:space="preserve">zal </w:t>
      </w:r>
      <w:r w:rsidRPr="00681F26">
        <w:t xml:space="preserve">de overheid altijd de wet- en regelgeving </w:t>
      </w:r>
      <w:r>
        <w:t xml:space="preserve">moeten </w:t>
      </w:r>
      <w:r w:rsidRPr="00681F26">
        <w:t xml:space="preserve">naleven. </w:t>
      </w:r>
      <w:r w:rsidRPr="00681F26" w:rsidR="00192AFC">
        <w:t xml:space="preserve">De </w:t>
      </w:r>
      <w:r w:rsidR="00192AFC">
        <w:t>Parlementaire E</w:t>
      </w:r>
      <w:r w:rsidRPr="00681F26" w:rsidR="00192AFC">
        <w:t xml:space="preserve">nquêtecommissie </w:t>
      </w:r>
      <w:r w:rsidR="00192AFC">
        <w:t>Fraude en Dienstverlening (PEFD)</w:t>
      </w:r>
      <w:r w:rsidR="00192AFC">
        <w:rPr>
          <w:rStyle w:val="Voetnootmarkering"/>
        </w:rPr>
        <w:footnoteReference w:id="20"/>
      </w:r>
      <w:r w:rsidR="00192AFC">
        <w:t xml:space="preserve"> </w:t>
      </w:r>
      <w:r w:rsidRPr="00681F26">
        <w:t>wijst terecht op het belang van zorgvuldigheid, transparantie en voldoende waarborgen bij de inzet van</w:t>
      </w:r>
      <w:r>
        <w:t xml:space="preserve"> risicogericht toezicht</w:t>
      </w:r>
      <w:r w:rsidRPr="00681F26">
        <w:t xml:space="preserve">. </w:t>
      </w:r>
      <w:r>
        <w:t>Cruciale waarborgen</w:t>
      </w:r>
      <w:r w:rsidRPr="00681F26">
        <w:t xml:space="preserve"> zijn </w:t>
      </w:r>
      <w:r>
        <w:t>onder andere</w:t>
      </w:r>
      <w:r w:rsidRPr="00681F26">
        <w:t xml:space="preserve"> het baseren van risicomodellen op onderzoek en analyse</w:t>
      </w:r>
      <w:r>
        <w:t>, m</w:t>
      </w:r>
      <w:r w:rsidRPr="00681F26">
        <w:t>aar ook regelmatige monitoring, onderhoud en eval</w:t>
      </w:r>
      <w:r>
        <w:t>uatie</w:t>
      </w:r>
      <w:r w:rsidRPr="00681F26">
        <w:t xml:space="preserve">. </w:t>
      </w:r>
      <w:r>
        <w:t xml:space="preserve">Andere waarborgen zijn bijvoorbeeld om ook een deel aselect te monitoren naast het risicogerichte. Het doel van deze waarborgen is vooringenomenheid te voorkomen van (automatische) algoritmen </w:t>
      </w:r>
      <w:r w:rsidR="00782140">
        <w:t xml:space="preserve">als dat een rol speelt </w:t>
      </w:r>
      <w:r w:rsidR="009A4497">
        <w:t xml:space="preserve">in </w:t>
      </w:r>
      <w:r>
        <w:t xml:space="preserve">het besluitvormingsproces. Ook moeten de waarborgen de begrijpelijkheid en daarmee bestrijdbaarheid </w:t>
      </w:r>
      <w:r w:rsidR="00192AFC">
        <w:t xml:space="preserve">(d.w.z.: onderbouwd bezwaar in te kunnen dienen of kunnen klagen) </w:t>
      </w:r>
      <w:r>
        <w:t xml:space="preserve">van beschikkingen vergroten. </w:t>
      </w:r>
      <w:r w:rsidR="00A4563F">
        <w:t xml:space="preserve">In dit kader verwijzen we hier naar </w:t>
      </w:r>
      <w:r>
        <w:t>het wetsvoorstel modernisering grondslagen.</w:t>
      </w:r>
      <w:r w:rsidR="00A364AF">
        <w:rPr>
          <w:rStyle w:val="Voetnootmarkering"/>
        </w:rPr>
        <w:footnoteReference w:id="21"/>
      </w:r>
      <w:r>
        <w:t xml:space="preserve"> </w:t>
      </w:r>
    </w:p>
    <w:p w:rsidR="005D15C0" w:rsidP="005D15C0" w:rsidRDefault="005D15C0" w14:paraId="7DA3076F" w14:textId="77777777">
      <w:pPr>
        <w:contextualSpacing/>
      </w:pPr>
    </w:p>
    <w:p w:rsidRPr="00051919" w:rsidR="00046C32" w:rsidP="005D15C0" w:rsidRDefault="005D15C0" w14:paraId="7261383D" w14:textId="77777777">
      <w:pPr>
        <w:contextualSpacing/>
        <w:rPr>
          <w:rFonts w:cstheme="minorHAnsi"/>
        </w:rPr>
      </w:pPr>
      <w:r w:rsidRPr="00681F26">
        <w:t xml:space="preserve">Daarnaast is het belangrijk om </w:t>
      </w:r>
      <w:r w:rsidR="002F0F36">
        <w:t xml:space="preserve">te monitoren </w:t>
      </w:r>
      <w:r w:rsidRPr="00681F26">
        <w:t>hoe</w:t>
      </w:r>
      <w:r>
        <w:t xml:space="preserve"> de inzet van </w:t>
      </w:r>
      <w:r w:rsidRPr="00681F26">
        <w:t>risicomodel</w:t>
      </w:r>
      <w:r>
        <w:t>len</w:t>
      </w:r>
      <w:r w:rsidRPr="00681F26">
        <w:t xml:space="preserve"> uitpak</w:t>
      </w:r>
      <w:r w:rsidR="00B2186D">
        <w:t>t</w:t>
      </w:r>
      <w:r w:rsidRPr="00681F26">
        <w:t xml:space="preserve"> in de praktijk</w:t>
      </w:r>
      <w:r>
        <w:t>.</w:t>
      </w:r>
      <w:r>
        <w:rPr>
          <w:rStyle w:val="Voetnootmarkering"/>
        </w:rPr>
        <w:footnoteReference w:id="22"/>
      </w:r>
      <w:r>
        <w:t xml:space="preserve"> </w:t>
      </w:r>
      <w:r>
        <w:rPr>
          <w:rFonts w:cstheme="minorHAnsi"/>
        </w:rPr>
        <w:t xml:space="preserve">Daarom wordt bij het ontwikkelen van deze modellen de werking getoetst bij </w:t>
      </w:r>
      <w:r w:rsidR="001D2BA0">
        <w:rPr>
          <w:rFonts w:cstheme="minorHAnsi"/>
        </w:rPr>
        <w:t>mensen</w:t>
      </w:r>
      <w:r>
        <w:rPr>
          <w:rFonts w:cstheme="minorHAnsi"/>
        </w:rPr>
        <w:t xml:space="preserve"> en/of bedrijven, bijvoorbeeld om discriminatie te voorkomen. </w:t>
      </w:r>
      <w:r w:rsidRPr="007F5198">
        <w:rPr>
          <w:rFonts w:cstheme="minorHAnsi"/>
        </w:rPr>
        <w:t>Er mag geen sprake zijn van geautomatiseerde besluitvorming</w:t>
      </w:r>
      <w:r w:rsidRPr="3EA11DA0">
        <w:t xml:space="preserve"> </w:t>
      </w:r>
      <w:r w:rsidRPr="007F5198">
        <w:rPr>
          <w:rFonts w:cstheme="minorHAnsi"/>
        </w:rPr>
        <w:t>op basis van ongeoorloofde profilering.</w:t>
      </w:r>
      <w:r>
        <w:rPr>
          <w:rFonts w:cstheme="minorHAnsi"/>
        </w:rPr>
        <w:t xml:space="preserve"> Dit sluit aan bij diverse aanbevelingen van de staatscommissie Rechtsstaat. Daarnaast blijft menselijke tussenkomst cruciaal, ook om maatwerk te kunnen bieden. Persoonlijk contact geeft de mogelijkheid om specifieke omstandigheden te herkennen en mee te wegen. Hierdoor komen knelpunten in de uitvoering en handhaving sneller aan het licht. </w:t>
      </w:r>
    </w:p>
    <w:p w:rsidRPr="008C4BC9" w:rsidR="005D15C0" w:rsidP="005D15C0" w:rsidRDefault="005D15C0" w14:paraId="16B77360" w14:textId="77777777">
      <w:pPr>
        <w:rPr>
          <w:lang w:eastAsia="en-US"/>
        </w:rPr>
      </w:pPr>
    </w:p>
    <w:p w:rsidR="005D15C0" w:rsidP="005D15C0" w:rsidRDefault="00965479" w14:paraId="16D1DD0E" w14:textId="77777777">
      <w:r>
        <w:t>O</w:t>
      </w:r>
      <w:r w:rsidR="005D15C0">
        <w:t xml:space="preserve">verheidsbreed </w:t>
      </w:r>
      <w:r>
        <w:t xml:space="preserve">is er </w:t>
      </w:r>
      <w:r w:rsidRPr="007B0143" w:rsidR="005D15C0">
        <w:t>een groeiend</w:t>
      </w:r>
      <w:r w:rsidR="005D15C0">
        <w:t xml:space="preserve"> gebruik</w:t>
      </w:r>
      <w:r w:rsidRPr="007B0143" w:rsidR="005D15C0">
        <w:t xml:space="preserve"> van technologie.</w:t>
      </w:r>
      <w:r w:rsidR="005D15C0">
        <w:rPr>
          <w:rStyle w:val="Voetnootmarkering"/>
        </w:rPr>
        <w:footnoteReference w:id="23"/>
      </w:r>
      <w:r w:rsidRPr="007B0143" w:rsidR="005D15C0">
        <w:t xml:space="preserve"> Er zijn hoge verwachtingen van de inzet van AI en data</w:t>
      </w:r>
      <w:r w:rsidR="005D15C0">
        <w:t>-</w:t>
      </w:r>
      <w:r w:rsidRPr="007B0143" w:rsidR="005D15C0">
        <w:t xml:space="preserve">gestuurd handhaven voor </w:t>
      </w:r>
      <w:r w:rsidR="005D15C0">
        <w:t>detectie van misbruik</w:t>
      </w:r>
      <w:r w:rsidRPr="007B0143" w:rsidR="005D15C0">
        <w:t xml:space="preserve"> en patroonherkenning.</w:t>
      </w:r>
      <w:r w:rsidRPr="003F581C" w:rsidR="005D15C0">
        <w:t xml:space="preserve"> Tegelijkertijd is het de vraag of deze verwachtingen </w:t>
      </w:r>
      <w:r w:rsidR="000F5712">
        <w:t xml:space="preserve">zullen </w:t>
      </w:r>
      <w:r w:rsidRPr="003F581C" w:rsidR="005D15C0">
        <w:t>worden waargemaakt</w:t>
      </w:r>
      <w:r w:rsidR="005D15C0">
        <w:t>. Dit geldt i</w:t>
      </w:r>
      <w:r w:rsidRPr="003F581C" w:rsidR="005D15C0">
        <w:t xml:space="preserve">n het bijzonder </w:t>
      </w:r>
      <w:r>
        <w:t xml:space="preserve">bij </w:t>
      </w:r>
      <w:r w:rsidRPr="003F581C" w:rsidR="005D15C0">
        <w:t xml:space="preserve">ethische </w:t>
      </w:r>
      <w:r>
        <w:t>vraagstukken</w:t>
      </w:r>
      <w:r w:rsidR="005D15C0">
        <w:t xml:space="preserve">. Dat speelt </w:t>
      </w:r>
      <w:r w:rsidRPr="003F581C" w:rsidR="005D15C0">
        <w:t>bijvoorbeeld</w:t>
      </w:r>
      <w:r w:rsidR="005D15C0">
        <w:t xml:space="preserve"> bij</w:t>
      </w:r>
      <w:r w:rsidRPr="003F581C" w:rsidR="005D15C0">
        <w:t xml:space="preserve"> het inzetten van algoritmes voor risicoselectie</w:t>
      </w:r>
      <w:r w:rsidR="005D15C0">
        <w:t xml:space="preserve"> of het gebruiken van automatische toekenning. Er worden </w:t>
      </w:r>
      <w:r>
        <w:t xml:space="preserve">hierover </w:t>
      </w:r>
      <w:r w:rsidR="005D15C0">
        <w:t xml:space="preserve">door uitvoerders en beleidsmakers </w:t>
      </w:r>
      <w:r>
        <w:t>a</w:t>
      </w:r>
      <w:r w:rsidR="005D15C0">
        <w:t>mbities geformuleerd, maar de implementatie behoeft nog onderzoek en uitwerking</w:t>
      </w:r>
      <w:r w:rsidRPr="003F581C" w:rsidR="005D15C0">
        <w:t xml:space="preserve">. </w:t>
      </w:r>
      <w:r w:rsidR="005D15C0">
        <w:t>Zo vergen d</w:t>
      </w:r>
      <w:r w:rsidRPr="004E4922" w:rsidR="005D15C0">
        <w:t>ata-analyse en risicoprofilering</w:t>
      </w:r>
      <w:r w:rsidR="00812747">
        <w:t>:</w:t>
      </w:r>
      <w:r w:rsidRPr="004E4922" w:rsidR="005D15C0">
        <w:t xml:space="preserve"> transparantie, bewustzijn van systemische vooroordelen en expliciete waarborgen tegen discriminatie. </w:t>
      </w:r>
      <w:r w:rsidR="005D15C0">
        <w:t>Er zijn hoge verwachtingen van AI voor proactieve dienstverlening, bijvoorbeeld het verminderen van niet-gebruik. Tegelijkertijd zijn er zorgen over mogelijke fouten. Daarbij moet niet alleen worden gekeken naar de risico’s, maar moeten professionals ook meegenomen worden in mogelijke voordelen</w:t>
      </w:r>
      <w:r w:rsidR="00E36D2A">
        <w:t xml:space="preserve"> van AI. Daarom moet ook gewerkt worden aan hun </w:t>
      </w:r>
      <w:r w:rsidR="005D15C0">
        <w:t xml:space="preserve">AI-geletterdheid. Dit is een belangrijke factor die kan bijdragen aan de uitlegbaarheid en navolgbaarheid van (deels automatisch gemaakte) beslissingen en beschikkingen. </w:t>
      </w:r>
    </w:p>
    <w:p w:rsidR="005D15C0" w:rsidP="005D15C0" w:rsidRDefault="005D15C0" w14:paraId="0C1A17E3" w14:textId="77777777"/>
    <w:p w:rsidR="00015D62" w:rsidP="005D15C0" w:rsidRDefault="00782140" w14:paraId="601322F9" w14:textId="77777777">
      <w:r>
        <w:t xml:space="preserve">Er zijn </w:t>
      </w:r>
      <w:r w:rsidR="005D15C0">
        <w:t xml:space="preserve">problemen </w:t>
      </w:r>
      <w:r>
        <w:t>met</w:t>
      </w:r>
      <w:r w:rsidR="00A30825">
        <w:t xml:space="preserve"> </w:t>
      </w:r>
      <w:r w:rsidR="005D15C0">
        <w:t>beschikbaar</w:t>
      </w:r>
      <w:r w:rsidR="00A30825">
        <w:t>heid, actualiteit en betrouwbaarheid</w:t>
      </w:r>
      <w:r>
        <w:t xml:space="preserve"> van data van </w:t>
      </w:r>
      <w:r w:rsidR="00E36D2A">
        <w:t>mensen</w:t>
      </w:r>
      <w:r>
        <w:t xml:space="preserve"> en bedrijven (problemen met datakwaliteit en datapositie)</w:t>
      </w:r>
      <w:r w:rsidR="005D15C0">
        <w:t>.</w:t>
      </w:r>
      <w:r w:rsidR="005D15C0">
        <w:rPr>
          <w:rStyle w:val="Voetnootmarkering"/>
        </w:rPr>
        <w:footnoteReference w:id="24"/>
      </w:r>
      <w:r w:rsidR="005D15C0">
        <w:t xml:space="preserve"> Een cruciaal punt is hierbij de balans tussen privacy en gegevensuitwisseling. Daarbij zal altijd duidelijk moeten zijn dat </w:t>
      </w:r>
      <w:r w:rsidRPr="00DE2D9E" w:rsidR="005D15C0">
        <w:t xml:space="preserve">de inzet </w:t>
      </w:r>
      <w:r w:rsidR="005D15C0">
        <w:t xml:space="preserve">van AI past binnen </w:t>
      </w:r>
      <w:r w:rsidRPr="006D78D1" w:rsidR="005D15C0">
        <w:t>de wettelijke kaders</w:t>
      </w:r>
      <w:r w:rsidR="005D15C0">
        <w:t>. Deze kaders zijn de EU AI-Act, d</w:t>
      </w:r>
      <w:r w:rsidRPr="006D78D1" w:rsidR="005D15C0">
        <w:t>e Algemene verordening gegevensbescherming (AVG)</w:t>
      </w:r>
      <w:r w:rsidR="005D15C0">
        <w:t xml:space="preserve"> en</w:t>
      </w:r>
      <w:r w:rsidRPr="006D78D1" w:rsidR="005D15C0">
        <w:t xml:space="preserve"> </w:t>
      </w:r>
      <w:r w:rsidR="005D15C0">
        <w:t xml:space="preserve">de algemene beginselen van behoorlijk bestuur. Om dat te borgen, zal er gebruik worden gemaakt van tools en frameworks zoals het </w:t>
      </w:r>
      <w:r w:rsidRPr="007C18FB" w:rsidR="005D15C0">
        <w:t>Impact Assessment Mensenrechten en Algoritmes</w:t>
      </w:r>
      <w:r w:rsidR="005D15C0">
        <w:rPr>
          <w:rStyle w:val="Voetnootmarkering"/>
        </w:rPr>
        <w:footnoteReference w:id="25"/>
      </w:r>
      <w:r w:rsidR="005D15C0">
        <w:t xml:space="preserve">. </w:t>
      </w:r>
    </w:p>
    <w:p w:rsidR="00015D62" w:rsidP="005D15C0" w:rsidRDefault="00015D62" w14:paraId="59319D8C" w14:textId="77777777"/>
    <w:p w:rsidR="005D15C0" w:rsidP="005D15C0" w:rsidRDefault="00812747" w14:paraId="5F75DDB2" w14:textId="77777777">
      <w:r>
        <w:t>Professionals kiezen</w:t>
      </w:r>
      <w:r w:rsidR="005D15C0">
        <w:t xml:space="preserve"> </w:t>
      </w:r>
      <w:r>
        <w:t xml:space="preserve">voor </w:t>
      </w:r>
      <w:r w:rsidR="005D15C0">
        <w:t xml:space="preserve">een combinatie van gegevensuitwisseling tussen instanties en opvraging bij de </w:t>
      </w:r>
      <w:r w:rsidR="00846DA5">
        <w:t>mensen zelf</w:t>
      </w:r>
      <w:r>
        <w:t>. Ze kiezen dat</w:t>
      </w:r>
      <w:r w:rsidR="005D15C0">
        <w:t xml:space="preserve"> boven volledig uitwisselen tussen overheidsorganisaties of enkel uitvragen bij </w:t>
      </w:r>
      <w:r w:rsidR="00E36D2A">
        <w:t>mensen</w:t>
      </w:r>
      <w:r w:rsidR="005D15C0">
        <w:t>.</w:t>
      </w:r>
      <w:r w:rsidR="00E36D2A">
        <w:t xml:space="preserve"> Mensen</w:t>
      </w:r>
      <w:r w:rsidR="005D15C0">
        <w:t xml:space="preserve"> benadrukken dat transparantie over welke gegevens worden gedeeld en de waarborging van (informatie)veiligheid essentieel is. Zowel professionals als </w:t>
      </w:r>
      <w:r w:rsidR="00E36D2A">
        <w:t>burgers</w:t>
      </w:r>
      <w:r w:rsidR="005D15C0">
        <w:t xml:space="preserve"> waarschuwen dat het risico op (etnisch) profileren en bias in risicomodellen vermeden moet worden. Dit zal richting de toekomst vragen om modernisering in het stelsel, met name op het gebied van IV en data-infrastructuur. </w:t>
      </w:r>
    </w:p>
    <w:p w:rsidR="005D15C0" w:rsidP="005D15C0" w:rsidRDefault="005D15C0" w14:paraId="47C6EDB3" w14:textId="77777777"/>
    <w:p w:rsidR="005D15C0" w:rsidP="005D15C0" w:rsidRDefault="009461BD" w14:paraId="3599C56B" w14:textId="77777777">
      <w:r>
        <w:lastRenderedPageBreak/>
        <w:t>Een andere ontwikkeling is</w:t>
      </w:r>
      <w:r w:rsidR="005D15C0">
        <w:t xml:space="preserve"> dat AI ook ingezet kan worden door </w:t>
      </w:r>
      <w:r w:rsidR="00E36D2A">
        <w:t>mensen</w:t>
      </w:r>
      <w:r w:rsidR="005D15C0">
        <w:t xml:space="preserve"> en bedrijven om misbruik te plegen, door bijvoorbeeld documenten te vervalsen</w:t>
      </w:r>
      <w:r w:rsidR="00795255">
        <w:t xml:space="preserve"> of om massaal of abusief herhaaldelijk bezwaar in te dienen</w:t>
      </w:r>
      <w:r w:rsidR="005D15C0">
        <w:t>. Daarom zal in de komende jaren meer onderzoek worden gedaan naar het gebruik van AI</w:t>
      </w:r>
      <w:r w:rsidR="00795255">
        <w:t xml:space="preserve">. </w:t>
      </w:r>
      <w:r w:rsidR="005D15C0">
        <w:t>Hierbij wordt ook gekeken naar de context waarin en de redenen waarom nieuwe technologie wordt ingezet. Zo kan technologie bijdragen aan standaardisatie en automatisering. Echter, technologie is in het verleden soms ingezet als besparingsmaatregel. Dat had nadelige effecten zoals het verminderen van menselijk contact tot gevolg.</w:t>
      </w:r>
    </w:p>
    <w:p w:rsidR="005D15C0" w:rsidP="005D15C0" w:rsidRDefault="005D15C0" w14:paraId="67376818" w14:textId="77777777"/>
    <w:p w:rsidR="005D15C0" w:rsidP="005D15C0" w:rsidRDefault="005D15C0" w14:paraId="53A152D5" w14:textId="77777777">
      <w:r>
        <w:t>De broze relatie tussen de overheid (beleid, uitvoering, bestuur</w:t>
      </w:r>
      <w:r w:rsidR="00BA33A4">
        <w:t xml:space="preserve">), </w:t>
      </w:r>
      <w:r w:rsidR="00D25EEF">
        <w:t>politiek</w:t>
      </w:r>
      <w:r>
        <w:t xml:space="preserve"> en de burger is ook een belangrijke trend. </w:t>
      </w:r>
      <w:r w:rsidR="00E36D2A">
        <w:t>Burgers</w:t>
      </w:r>
      <w:r>
        <w:t xml:space="preserve"> en ervaringsdeskundigen hebben tijdens burgerpanels en werksessies duidelijk aangegeven wat nodig is om deze relatie te verbeteren. De burger ziet de overheid als één organisatie, en de fouten van de ene organisatie hebben uitstraling op de anderen. Het in persoonlijk contact herkennen en erkennen van fouten hiervan is belangrijk voor deze relatie. Ook moet beleid en uitvoering transparant zijn over beslissingen en afwegingen; zeggen wat ze doen, en doen wat ze zeggen. Dat laatste heeft ook betrekking op bejegening. Een m</w:t>
      </w:r>
      <w:r w:rsidRPr="004E4922">
        <w:t>ensgerichte benadering</w:t>
      </w:r>
      <w:r>
        <w:t xml:space="preserve"> </w:t>
      </w:r>
      <w:r w:rsidRPr="004E4922">
        <w:t xml:space="preserve">en nazorg (bijvoorbeeld na een sanctie) zijn essentieel om herhaalde problemen en maatschappelijke uitsluiting te voorkomen. </w:t>
      </w:r>
      <w:r w:rsidR="004F6A5F">
        <w:t>Al deze punten gelden ook voor (lokale) bestuurders, in het kader van rechtsstatelijk vakmanschap.</w:t>
      </w:r>
      <w:r w:rsidR="006B32CF">
        <w:rPr>
          <w:rStyle w:val="Voetnootmarkering"/>
        </w:rPr>
        <w:footnoteReference w:id="26"/>
      </w:r>
    </w:p>
    <w:p w:rsidR="005D15C0" w:rsidP="005D15C0" w:rsidRDefault="005D15C0" w14:paraId="6EF3A7B8" w14:textId="77777777"/>
    <w:p w:rsidR="005D15C0" w:rsidP="005D15C0" w:rsidRDefault="005D15C0" w14:paraId="14761EBB" w14:textId="77777777">
      <w:r>
        <w:t>D</w:t>
      </w:r>
      <w:r w:rsidR="004F6A5F">
        <w:t>ie behoefte aan een mensgerichte benadering</w:t>
      </w:r>
      <w:r>
        <w:t xml:space="preserve"> geldt ook voor n</w:t>
      </w:r>
      <w:r w:rsidRPr="004E4922">
        <w:t>iet-uitkeringsgerechtigden (“nuggers”)</w:t>
      </w:r>
      <w:r>
        <w:t>. Zij</w:t>
      </w:r>
      <w:r w:rsidRPr="004E4922">
        <w:t xml:space="preserve"> vallen vaak structureel buiten beeld</w:t>
      </w:r>
      <w:r>
        <w:t xml:space="preserve"> in onderzoeken of beleidsambities</w:t>
      </w:r>
      <w:r w:rsidR="004F6A5F">
        <w:t>. Da</w:t>
      </w:r>
      <w:r>
        <w:t>t wordt</w:t>
      </w:r>
      <w:r w:rsidRPr="004E4922">
        <w:t xml:space="preserve"> versterkt door complexe regelgeving en gebrekkige communicatie. </w:t>
      </w:r>
      <w:r>
        <w:t xml:space="preserve">De overheid moet zich niet blindstaren op doelgroepenbeleid of afbakening, maar een meer </w:t>
      </w:r>
      <w:r w:rsidR="00846DA5">
        <w:t>mens</w:t>
      </w:r>
      <w:r>
        <w:t xml:space="preserve">gerichte dienstverlening hebben: het afwijzen van een aanvraag is vaak niet het einde van het probleem voor </w:t>
      </w:r>
      <w:r w:rsidR="00846DA5">
        <w:t>een mens</w:t>
      </w:r>
      <w:r>
        <w:t xml:space="preserve">. Dit is voor handhaving relevant omdat men door handhaving ook een nugger kan worden. Het is dan zoeken naar de balans waar de hulp van de overheid stopt, en de eigen verantwoordelijkheid begint. </w:t>
      </w:r>
      <w:r w:rsidR="00192AFC">
        <w:t xml:space="preserve">Daarover spreken in de persoonlijke contactmomenten kan al een belangrijke stap zijn. </w:t>
      </w:r>
    </w:p>
    <w:p w:rsidRPr="004E4922" w:rsidR="00F6525F" w:rsidP="005D15C0" w:rsidRDefault="00F6525F" w14:paraId="12859A2B" w14:textId="77777777"/>
    <w:p w:rsidR="005D15C0" w:rsidP="005D15C0" w:rsidRDefault="005D15C0" w14:paraId="2A7819DF" w14:textId="77777777">
      <w:r>
        <w:t xml:space="preserve">Het persoonlijk contact is dus cruciaal om de feitelijke omstandigheden van een </w:t>
      </w:r>
      <w:r w:rsidR="00846DA5">
        <w:t>mens</w:t>
      </w:r>
      <w:r>
        <w:t xml:space="preserve"> te onderkennen. Communicatie over voorlichting (preventie van regelovertreding) of communicatie over een sanctie moet rekenschap geven van de situatie van een individu. Het is bijvoorbeeld niet </w:t>
      </w:r>
      <w:r w:rsidR="00192AFC">
        <w:t xml:space="preserve">effectief </w:t>
      </w:r>
      <w:r>
        <w:t xml:space="preserve">om een brief met allerlei informatie te sturen aan een persoon die niet </w:t>
      </w:r>
      <w:r w:rsidR="004F6A5F">
        <w:t>(</w:t>
      </w:r>
      <w:r w:rsidR="00AD3CBD">
        <w:t>goed</w:t>
      </w:r>
      <w:r w:rsidR="004F6A5F">
        <w:t>)</w:t>
      </w:r>
      <w:r w:rsidR="00AD3CBD">
        <w:t xml:space="preserve"> </w:t>
      </w:r>
      <w:r>
        <w:t xml:space="preserve">kan lezen. Dit kan ook het geval zijn bij multi-problematiek: als er in verschillende domeinen (van de overheid) er iets speelt voor een </w:t>
      </w:r>
      <w:r w:rsidR="00846DA5">
        <w:t>mens</w:t>
      </w:r>
      <w:r>
        <w:t>. Dat is bijvoorbeeld het geval als iemand werk en huis binnen korte tijd kwijtraakt door een echtscheiding. Sanctionering</w:t>
      </w:r>
      <w:r w:rsidRPr="004E4922">
        <w:t xml:space="preserve"> </w:t>
      </w:r>
      <w:r>
        <w:t xml:space="preserve">kan </w:t>
      </w:r>
      <w:r w:rsidRPr="004E4922">
        <w:t>trauma</w:t>
      </w:r>
      <w:r>
        <w:t>’</w:t>
      </w:r>
      <w:r w:rsidRPr="004E4922">
        <w:t xml:space="preserve">s versterken </w:t>
      </w:r>
      <w:r>
        <w:t xml:space="preserve">of laten herbeleven </w:t>
      </w:r>
      <w:r w:rsidRPr="004E4922">
        <w:t>en</w:t>
      </w:r>
      <w:r>
        <w:t xml:space="preserve"> zo </w:t>
      </w:r>
      <w:r w:rsidRPr="004E4922">
        <w:t>gevoelens van onrecht vergroten</w:t>
      </w:r>
      <w:r>
        <w:t>. Dit speelt</w:t>
      </w:r>
      <w:r w:rsidRPr="004E4922">
        <w:t xml:space="preserve"> vooral bij mensen met multi</w:t>
      </w:r>
      <w:r>
        <w:t>-</w:t>
      </w:r>
      <w:r w:rsidRPr="004E4922">
        <w:t xml:space="preserve">problematiek of verborgen problematiek zoals huiselijk geweld. </w:t>
      </w:r>
      <w:r>
        <w:t xml:space="preserve">Het is een aandachtspunt om binnen de overheid hier meer bewustzijn voor te ontwikkelen. </w:t>
      </w:r>
    </w:p>
    <w:p w:rsidRPr="00E36D2A" w:rsidR="00E36D2A" w:rsidP="00E36D2A" w:rsidRDefault="00E36D2A" w14:paraId="5C8546F8" w14:textId="77777777">
      <w:pPr>
        <w:rPr>
          <w:lang w:eastAsia="en-US"/>
        </w:rPr>
      </w:pPr>
    </w:p>
    <w:p w:rsidRPr="00A60B4E" w:rsidR="005D15C0" w:rsidP="00A60B4E" w:rsidRDefault="005D15C0" w14:paraId="00007276"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Dilemma</w:t>
      </w:r>
      <w:r w:rsidR="00A60B4E">
        <w:rPr>
          <w:rFonts w:ascii="Verdana" w:hAnsi="Verdana" w:eastAsia="DejaVu Sans" w:cs="Lohit Hindi"/>
          <w:color w:val="000000"/>
          <w:kern w:val="0"/>
          <w:sz w:val="18"/>
          <w:szCs w:val="18"/>
          <w:lang w:eastAsia="nl-NL"/>
          <w14:ligatures w14:val="none"/>
        </w:rPr>
        <w:t xml:space="preserve"> </w:t>
      </w:r>
      <w:r w:rsidR="004B73B8">
        <w:rPr>
          <w:rFonts w:ascii="Verdana" w:hAnsi="Verdana" w:eastAsia="DejaVu Sans" w:cs="Lohit Hindi"/>
          <w:color w:val="000000"/>
          <w:kern w:val="0"/>
          <w:sz w:val="18"/>
          <w:szCs w:val="18"/>
          <w:lang w:eastAsia="nl-NL"/>
          <w14:ligatures w14:val="none"/>
        </w:rPr>
        <w:t>6</w:t>
      </w:r>
      <w:r w:rsidRPr="00A60B4E">
        <w:rPr>
          <w:rFonts w:ascii="Verdana" w:hAnsi="Verdana" w:eastAsia="DejaVu Sans" w:cs="Lohit Hindi"/>
          <w:color w:val="000000"/>
          <w:kern w:val="0"/>
          <w:sz w:val="18"/>
          <w:szCs w:val="18"/>
          <w:lang w:eastAsia="nl-NL"/>
          <w14:ligatures w14:val="none"/>
        </w:rPr>
        <w:t xml:space="preserve">: Slachtofferschap versus </w:t>
      </w:r>
      <w:r w:rsidR="00846DA5">
        <w:rPr>
          <w:rFonts w:ascii="Verdana" w:hAnsi="Verdana" w:eastAsia="DejaVu Sans" w:cs="Lohit Hindi"/>
          <w:color w:val="000000"/>
          <w:kern w:val="0"/>
          <w:sz w:val="18"/>
          <w:szCs w:val="18"/>
          <w:lang w:eastAsia="nl-NL"/>
          <w14:ligatures w14:val="none"/>
        </w:rPr>
        <w:t>d</w:t>
      </w:r>
      <w:r w:rsidRPr="00A60B4E">
        <w:rPr>
          <w:rFonts w:ascii="Verdana" w:hAnsi="Verdana" w:eastAsia="DejaVu Sans" w:cs="Lohit Hindi"/>
          <w:color w:val="000000"/>
          <w:kern w:val="0"/>
          <w:sz w:val="18"/>
          <w:szCs w:val="18"/>
          <w:lang w:eastAsia="nl-NL"/>
          <w14:ligatures w14:val="none"/>
        </w:rPr>
        <w:t>aderschap</w:t>
      </w:r>
    </w:p>
    <w:p w:rsidR="00BF60A6" w:rsidP="00A60B4E" w:rsidRDefault="005D15C0" w14:paraId="2C33CE98"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t xml:space="preserve">Sommige </w:t>
      </w:r>
      <w:r w:rsidR="00AE5016">
        <w:rPr>
          <w:rFonts w:ascii="Verdana" w:hAnsi="Verdana" w:eastAsia="DejaVu Sans" w:cs="Lohit Hindi"/>
          <w:color w:val="000000"/>
          <w:kern w:val="0"/>
          <w:sz w:val="18"/>
          <w:szCs w:val="18"/>
          <w:lang w:eastAsia="nl-NL"/>
          <w14:ligatures w14:val="none"/>
        </w:rPr>
        <w:t>mennsen</w:t>
      </w:r>
      <w:r w:rsidRPr="00A60B4E">
        <w:rPr>
          <w:rFonts w:ascii="Verdana" w:hAnsi="Verdana" w:eastAsia="DejaVu Sans" w:cs="Lohit Hindi"/>
          <w:color w:val="000000"/>
          <w:kern w:val="0"/>
          <w:sz w:val="18"/>
          <w:szCs w:val="18"/>
          <w:lang w:eastAsia="nl-NL"/>
          <w14:ligatures w14:val="none"/>
        </w:rPr>
        <w:t xml:space="preserve"> zijn betrokken bij georganiseerd misbruik. Een </w:t>
      </w:r>
      <w:r w:rsidR="00AE5016">
        <w:rPr>
          <w:rFonts w:ascii="Verdana" w:hAnsi="Verdana" w:eastAsia="DejaVu Sans" w:cs="Lohit Hindi"/>
          <w:color w:val="000000"/>
          <w:kern w:val="0"/>
          <w:sz w:val="18"/>
          <w:szCs w:val="18"/>
          <w:lang w:eastAsia="nl-NL"/>
          <w14:ligatures w14:val="none"/>
        </w:rPr>
        <w:t xml:space="preserve">mens </w:t>
      </w:r>
      <w:r w:rsidRPr="00A60B4E">
        <w:rPr>
          <w:rFonts w:ascii="Verdana" w:hAnsi="Verdana" w:eastAsia="DejaVu Sans" w:cs="Lohit Hindi"/>
          <w:color w:val="000000"/>
          <w:kern w:val="0"/>
          <w:sz w:val="18"/>
          <w:szCs w:val="18"/>
          <w:lang w:eastAsia="nl-NL"/>
          <w14:ligatures w14:val="none"/>
        </w:rPr>
        <w:t xml:space="preserve">kan dan zowel slachtoffer als dader zijn van een overtreding of een misdrijf. </w:t>
      </w:r>
    </w:p>
    <w:p w:rsidRPr="00A60B4E" w:rsidR="005D15C0" w:rsidP="00A60B4E" w:rsidRDefault="005D15C0" w14:paraId="5A8959C3" w14:textId="77777777">
      <w:pPr>
        <w:pStyle w:val="Citaat"/>
        <w:spacing w:before="0" w:after="0"/>
        <w:jc w:val="left"/>
        <w:rPr>
          <w:rFonts w:ascii="Verdana" w:hAnsi="Verdana" w:eastAsia="DejaVu Sans" w:cs="Lohit Hindi"/>
          <w:color w:val="000000"/>
          <w:kern w:val="0"/>
          <w:sz w:val="18"/>
          <w:szCs w:val="18"/>
          <w:lang w:eastAsia="nl-NL"/>
          <w14:ligatures w14:val="none"/>
        </w:rPr>
      </w:pPr>
      <w:r w:rsidRPr="00A60B4E">
        <w:rPr>
          <w:rFonts w:ascii="Verdana" w:hAnsi="Verdana" w:eastAsia="DejaVu Sans" w:cs="Lohit Hindi"/>
          <w:color w:val="000000"/>
          <w:kern w:val="0"/>
          <w:sz w:val="18"/>
          <w:szCs w:val="18"/>
          <w:lang w:eastAsia="nl-NL"/>
          <w14:ligatures w14:val="none"/>
        </w:rPr>
        <w:lastRenderedPageBreak/>
        <w:t xml:space="preserve">Het straffen van de dader-persoon heeft dan ook ongewenste nadelige effecten voor datzelfde slachtoffer-persoon. </w:t>
      </w:r>
      <w:r w:rsidR="00A576CE">
        <w:rPr>
          <w:rFonts w:ascii="Verdana" w:hAnsi="Verdana" w:eastAsia="DejaVu Sans" w:cs="Lohit Hindi"/>
          <w:color w:val="000000"/>
          <w:kern w:val="0"/>
          <w:sz w:val="18"/>
          <w:szCs w:val="18"/>
          <w:lang w:eastAsia="nl-NL"/>
          <w14:ligatures w14:val="none"/>
        </w:rPr>
        <w:t>Door wijzigingen in het mensbeeld, wat tot uiting komt in het wetsvoorstel handhaving sociale zekerheid, zullen meer dingen als fouten worden aangemerkt. Bij een fout ligt het voor de hand niet over een dader te spreken. Echter, d</w:t>
      </w:r>
      <w:r w:rsidRPr="00A60B4E">
        <w:rPr>
          <w:rFonts w:ascii="Verdana" w:hAnsi="Verdana" w:eastAsia="DejaVu Sans" w:cs="Lohit Hindi"/>
          <w:color w:val="000000"/>
          <w:kern w:val="0"/>
          <w:sz w:val="18"/>
          <w:szCs w:val="18"/>
          <w:lang w:eastAsia="nl-NL"/>
          <w14:ligatures w14:val="none"/>
        </w:rPr>
        <w:t xml:space="preserve">e koers kiest er voor om het begrip </w:t>
      </w:r>
      <w:r w:rsidR="00A576CE">
        <w:rPr>
          <w:rFonts w:ascii="Verdana" w:hAnsi="Verdana" w:eastAsia="DejaVu Sans" w:cs="Lohit Hindi"/>
          <w:color w:val="000000"/>
          <w:kern w:val="0"/>
          <w:sz w:val="18"/>
          <w:szCs w:val="18"/>
          <w:lang w:eastAsia="nl-NL"/>
          <w14:ligatures w14:val="none"/>
        </w:rPr>
        <w:t xml:space="preserve">‘dader’ </w:t>
      </w:r>
      <w:r w:rsidRPr="00A60B4E">
        <w:rPr>
          <w:rFonts w:ascii="Verdana" w:hAnsi="Verdana" w:eastAsia="DejaVu Sans" w:cs="Lohit Hindi"/>
          <w:color w:val="000000"/>
          <w:kern w:val="0"/>
          <w:sz w:val="18"/>
          <w:szCs w:val="18"/>
          <w:lang w:eastAsia="nl-NL"/>
          <w14:ligatures w14:val="none"/>
        </w:rPr>
        <w:t xml:space="preserve">niet los te laten, want bij misbruik zijn </w:t>
      </w:r>
      <w:r w:rsidR="00AE5016">
        <w:rPr>
          <w:rFonts w:ascii="Verdana" w:hAnsi="Verdana" w:eastAsia="DejaVu Sans" w:cs="Lohit Hindi"/>
          <w:color w:val="000000"/>
          <w:kern w:val="0"/>
          <w:sz w:val="18"/>
          <w:szCs w:val="18"/>
          <w:lang w:eastAsia="nl-NL"/>
          <w14:ligatures w14:val="none"/>
        </w:rPr>
        <w:t xml:space="preserve">er </w:t>
      </w:r>
      <w:r w:rsidRPr="00A60B4E">
        <w:rPr>
          <w:rFonts w:ascii="Verdana" w:hAnsi="Verdana" w:eastAsia="DejaVu Sans" w:cs="Lohit Hindi"/>
          <w:color w:val="000000"/>
          <w:kern w:val="0"/>
          <w:sz w:val="18"/>
          <w:szCs w:val="18"/>
          <w:lang w:eastAsia="nl-NL"/>
          <w14:ligatures w14:val="none"/>
        </w:rPr>
        <w:t xml:space="preserve">daders en daar moet de overheid niet naïef voor zijn. </w:t>
      </w:r>
    </w:p>
    <w:p w:rsidR="005D15C0" w:rsidP="005D15C0" w:rsidRDefault="005D15C0" w14:paraId="62456C79" w14:textId="77777777">
      <w:pPr>
        <w:rPr>
          <w:rFonts w:cstheme="minorHAnsi"/>
          <w:bCs/>
          <w:i/>
          <w:iCs/>
        </w:rPr>
      </w:pPr>
    </w:p>
    <w:p w:rsidR="005D15C0" w:rsidP="005D15C0" w:rsidRDefault="00DB1005" w14:paraId="1C5F479C" w14:textId="77777777">
      <w:r>
        <w:t xml:space="preserve">Door </w:t>
      </w:r>
      <w:r w:rsidR="005D15C0">
        <w:t xml:space="preserve">ontwikkelingen op het gebied van georganiseerde criminaliteit </w:t>
      </w:r>
      <w:r>
        <w:t xml:space="preserve">raken </w:t>
      </w:r>
      <w:r w:rsidR="005D15C0">
        <w:t xml:space="preserve">de begrippen dader en slachtoffer vermengd. Zo kan een persoon </w:t>
      </w:r>
      <w:r>
        <w:t xml:space="preserve">met een bijstandsuitkering </w:t>
      </w:r>
      <w:r w:rsidR="005D15C0">
        <w:t>gemanipuleerd worden om ruimte te onderverhuren voor bij</w:t>
      </w:r>
      <w:r>
        <w:t>voorbeeld</w:t>
      </w:r>
      <w:r w:rsidR="005D15C0">
        <w:t xml:space="preserve"> wietteelt. </w:t>
      </w:r>
      <w:r>
        <w:t>Iemand</w:t>
      </w:r>
      <w:r w:rsidR="005D15C0">
        <w:t xml:space="preserve"> is dan een dader want diegene doet iets </w:t>
      </w:r>
      <w:r>
        <w:t>strafbaars</w:t>
      </w:r>
      <w:r w:rsidR="005D15C0">
        <w:t xml:space="preserve">, maar </w:t>
      </w:r>
      <w:r>
        <w:t>diegene</w:t>
      </w:r>
      <w:r w:rsidR="005D15C0">
        <w:t xml:space="preserve"> is tegelijkertijd ook slachtoffer van uitbuiting. Daarbij past ook het denken over het concept dader: wanneer is iemand ex-dader? Hoe lang wordt een overtreding in de sociale zekerheid of in het arbeidsdomein iemand nagedragen? En staat dit maatschappelijke participatie niet te veel in de weg? </w:t>
      </w:r>
      <w:r>
        <w:t>Hier erkenning aan geven en zoeken naar oplossingen zijn een relevante trend.</w:t>
      </w:r>
    </w:p>
    <w:p w:rsidR="005D15C0" w:rsidP="005D15C0" w:rsidRDefault="005D15C0" w14:paraId="0E4AE37F" w14:textId="77777777">
      <w:pPr>
        <w:rPr>
          <w:rFonts w:cstheme="minorHAnsi"/>
          <w:bCs/>
        </w:rPr>
      </w:pPr>
    </w:p>
    <w:p w:rsidR="005D15C0" w:rsidP="005D15C0" w:rsidRDefault="005D15C0" w14:paraId="6A063EF9" w14:textId="77777777">
      <w:pPr>
        <w:rPr>
          <w:rFonts w:cstheme="minorHAnsi"/>
          <w:bCs/>
        </w:rPr>
      </w:pPr>
      <w:r>
        <w:rPr>
          <w:rFonts w:cstheme="minorHAnsi"/>
          <w:bCs/>
        </w:rPr>
        <w:t xml:space="preserve">Een </w:t>
      </w:r>
      <w:r w:rsidR="004B73B8">
        <w:rPr>
          <w:rFonts w:cstheme="minorHAnsi"/>
          <w:bCs/>
        </w:rPr>
        <w:t xml:space="preserve">laatste </w:t>
      </w:r>
      <w:r>
        <w:rPr>
          <w:rFonts w:cstheme="minorHAnsi"/>
          <w:bCs/>
        </w:rPr>
        <w:t>trend is de toenemende krapte op de arbeidsmarkt. Het lukt steeds minder organisaties om vacatures te vullen en dat brengt gevolgen met zich mee voor de uitvoering van wet- en regelgeving. Als men</w:t>
      </w:r>
      <w:r w:rsidR="00D25EEF">
        <w:rPr>
          <w:rFonts w:cstheme="minorHAnsi"/>
          <w:bCs/>
        </w:rPr>
        <w:t xml:space="preserve"> minder</w:t>
      </w:r>
      <w:r>
        <w:rPr>
          <w:rFonts w:cstheme="minorHAnsi"/>
          <w:bCs/>
        </w:rPr>
        <w:t xml:space="preserve"> </w:t>
      </w:r>
      <w:r w:rsidR="00D25EEF">
        <w:rPr>
          <w:rFonts w:cstheme="minorHAnsi"/>
          <w:bCs/>
        </w:rPr>
        <w:t xml:space="preserve">(sociaal) </w:t>
      </w:r>
      <w:r>
        <w:rPr>
          <w:rFonts w:cstheme="minorHAnsi"/>
          <w:bCs/>
        </w:rPr>
        <w:t xml:space="preserve">rechercheurs of </w:t>
      </w:r>
      <w:r w:rsidR="00D25EEF">
        <w:rPr>
          <w:rFonts w:cstheme="minorHAnsi"/>
          <w:bCs/>
        </w:rPr>
        <w:t>toezichthouders</w:t>
      </w:r>
      <w:r>
        <w:rPr>
          <w:rFonts w:cstheme="minorHAnsi"/>
          <w:bCs/>
        </w:rPr>
        <w:t xml:space="preserve"> in dienst heeft, dan zal er minder gedetecteerd worden; als er geen boetefunctionaris in dienst is, </w:t>
      </w:r>
      <w:r w:rsidR="00D25EEF">
        <w:rPr>
          <w:rFonts w:cstheme="minorHAnsi"/>
          <w:bCs/>
        </w:rPr>
        <w:t>kan</w:t>
      </w:r>
      <w:r>
        <w:rPr>
          <w:rFonts w:cstheme="minorHAnsi"/>
          <w:bCs/>
        </w:rPr>
        <w:t xml:space="preserve"> er niet gesanctioneerd worden. Dit is niet een dilemma, maar meer een probleem wat vraagt om scherpe keuzes in wat een organisatie moet prioriteren en de-prioriteren. </w:t>
      </w:r>
    </w:p>
    <w:p w:rsidRPr="0012324F" w:rsidR="005D15C0" w:rsidP="005D15C0" w:rsidRDefault="005D15C0" w14:paraId="0CAACD5F" w14:textId="77777777">
      <w:pPr>
        <w:rPr>
          <w:rFonts w:cstheme="minorHAnsi"/>
          <w:b/>
        </w:rPr>
      </w:pPr>
    </w:p>
    <w:p w:rsidRPr="001E52D0" w:rsidR="005D15C0" w:rsidP="005D15C0" w:rsidRDefault="005D15C0" w14:paraId="0F95731B" w14:textId="77777777">
      <w:pPr>
        <w:pStyle w:val="Lijstalinea"/>
        <w:numPr>
          <w:ilvl w:val="0"/>
          <w:numId w:val="9"/>
        </w:numPr>
        <w:spacing w:after="0"/>
        <w:ind w:left="284" w:hanging="284"/>
        <w:contextualSpacing w:val="0"/>
        <w:rPr>
          <w:b/>
        </w:rPr>
      </w:pPr>
      <w:r w:rsidRPr="001E52D0">
        <w:rPr>
          <w:rFonts w:cstheme="minorHAnsi"/>
          <w:b/>
        </w:rPr>
        <w:t xml:space="preserve">Conclusie nieuwe </w:t>
      </w:r>
      <w:r>
        <w:rPr>
          <w:rFonts w:cstheme="minorHAnsi"/>
          <w:b/>
        </w:rPr>
        <w:t>handhavings</w:t>
      </w:r>
      <w:r w:rsidRPr="001E52D0">
        <w:rPr>
          <w:rFonts w:cstheme="minorHAnsi"/>
          <w:b/>
        </w:rPr>
        <w:t>koers 2026-2029</w:t>
      </w:r>
    </w:p>
    <w:p w:rsidRPr="004642A7" w:rsidR="00AD3CBD" w:rsidP="00AD3CBD" w:rsidRDefault="005D15C0" w14:paraId="736D921F" w14:textId="77777777">
      <w:pPr>
        <w:spacing w:line="254" w:lineRule="auto"/>
        <w:rPr>
          <w:rFonts w:cstheme="minorHAnsi"/>
        </w:rPr>
      </w:pPr>
      <w:r>
        <w:t>Deze nieuwe handhavingskoers draagt bij aan</w:t>
      </w:r>
      <w:r w:rsidRPr="00846F68">
        <w:t xml:space="preserve"> het </w:t>
      </w:r>
      <w:r>
        <w:t>houden</w:t>
      </w:r>
      <w:r w:rsidRPr="00846F68">
        <w:t xml:space="preserve"> van balans </w:t>
      </w:r>
      <w:r>
        <w:t>in het handhavingsbeleid. Dat doet d</w:t>
      </w:r>
      <w:r w:rsidR="0031262F">
        <w:t>e</w:t>
      </w:r>
      <w:r>
        <w:t xml:space="preserve"> koers door aandacht te besteden aan</w:t>
      </w:r>
      <w:r w:rsidRPr="00846F68">
        <w:t xml:space="preserve"> rechtmatigheid en de rechtsstatelijke positie </w:t>
      </w:r>
      <w:r w:rsidR="00DB1005">
        <w:t xml:space="preserve">van </w:t>
      </w:r>
      <w:r w:rsidR="00AE5016">
        <w:t>mensen</w:t>
      </w:r>
      <w:r w:rsidR="00DB1005">
        <w:t xml:space="preserve"> en bedrijven.</w:t>
      </w:r>
      <w:r>
        <w:t xml:space="preserve"> Zo wordt ingezet op </w:t>
      </w:r>
      <w:r w:rsidRPr="00846F68">
        <w:t>een s</w:t>
      </w:r>
      <w:r w:rsidR="00AD3CBD">
        <w:t>telsel</w:t>
      </w:r>
      <w:r w:rsidRPr="00846F68">
        <w:t xml:space="preserve"> dat </w:t>
      </w:r>
      <w:r>
        <w:t>vanuit preventie</w:t>
      </w:r>
      <w:r w:rsidR="00A576CE">
        <w:t xml:space="preserve"> van regelovertreding </w:t>
      </w:r>
      <w:r w:rsidRPr="003F581C">
        <w:t>fouten</w:t>
      </w:r>
      <w:r w:rsidR="00C94490">
        <w:t xml:space="preserve"> en misbruik</w:t>
      </w:r>
      <w:r w:rsidRPr="003F581C">
        <w:t xml:space="preserve"> </w:t>
      </w:r>
      <w:r w:rsidR="00C94490">
        <w:t xml:space="preserve">zoveel mogelijk </w:t>
      </w:r>
      <w:r w:rsidRPr="003F581C">
        <w:t>voorkomt</w:t>
      </w:r>
      <w:r w:rsidR="0031262F">
        <w:t xml:space="preserve">. Onderdeel van het stelsel is ook dat er bij </w:t>
      </w:r>
      <w:r w:rsidR="00777BC7">
        <w:t xml:space="preserve">diverse </w:t>
      </w:r>
      <w:r w:rsidR="0031262F">
        <w:t xml:space="preserve">fouten kan </w:t>
      </w:r>
      <w:r w:rsidR="00A576CE">
        <w:t>word</w:t>
      </w:r>
      <w:r w:rsidR="00777BC7">
        <w:t>en</w:t>
      </w:r>
      <w:r w:rsidR="00A576CE">
        <w:t xml:space="preserve"> gecorrigeerd en geïnformeerd</w:t>
      </w:r>
      <w:r w:rsidR="00BA33A4">
        <w:t xml:space="preserve">, </w:t>
      </w:r>
      <w:r>
        <w:t>en</w:t>
      </w:r>
      <w:r w:rsidR="0031262F">
        <w:t xml:space="preserve"> dat er</w:t>
      </w:r>
      <w:r w:rsidR="00BA33A4">
        <w:t xml:space="preserve"> bij</w:t>
      </w:r>
      <w:r>
        <w:t xml:space="preserve"> misbruik </w:t>
      </w:r>
      <w:r w:rsidR="0031262F">
        <w:t>wordt ge</w:t>
      </w:r>
      <w:r>
        <w:t>straft</w:t>
      </w:r>
      <w:r w:rsidRPr="00846F68">
        <w:t xml:space="preserve">. </w:t>
      </w:r>
      <w:bookmarkStart w:name="_Hlk223446723" w:id="3"/>
      <w:r>
        <w:t xml:space="preserve">De koers benoemt </w:t>
      </w:r>
      <w:r w:rsidR="00B56EF9">
        <w:t>definities</w:t>
      </w:r>
      <w:r>
        <w:t xml:space="preserve">, uitgangspunten en ontwikkelingen </w:t>
      </w:r>
      <w:r w:rsidR="00B56EF9">
        <w:t xml:space="preserve">en </w:t>
      </w:r>
      <w:r w:rsidR="00AD3CBD">
        <w:t xml:space="preserve">biedt </w:t>
      </w:r>
      <w:r w:rsidR="00B56EF9">
        <w:t>zo</w:t>
      </w:r>
      <w:r w:rsidR="00AD3CBD">
        <w:rPr>
          <w:rFonts w:cstheme="minorHAnsi"/>
        </w:rPr>
        <w:t xml:space="preserve"> </w:t>
      </w:r>
      <w:r w:rsidRPr="004642A7" w:rsidR="00AD3CBD">
        <w:rPr>
          <w:rFonts w:cstheme="minorHAnsi"/>
        </w:rPr>
        <w:t xml:space="preserve">een kader voor toekomstige besprekingen </w:t>
      </w:r>
      <w:r w:rsidR="00B56EF9">
        <w:rPr>
          <w:rFonts w:cstheme="minorHAnsi"/>
        </w:rPr>
        <w:t xml:space="preserve">met de Tweede Kamer </w:t>
      </w:r>
      <w:r w:rsidR="00B550CC">
        <w:rPr>
          <w:rFonts w:cstheme="minorHAnsi"/>
        </w:rPr>
        <w:t xml:space="preserve">en stakeholders </w:t>
      </w:r>
      <w:r w:rsidRPr="004642A7" w:rsidR="00AD3CBD">
        <w:rPr>
          <w:rFonts w:cstheme="minorHAnsi"/>
        </w:rPr>
        <w:t>over</w:t>
      </w:r>
      <w:r w:rsidR="00AD3CBD">
        <w:rPr>
          <w:rFonts w:cstheme="minorHAnsi"/>
        </w:rPr>
        <w:t xml:space="preserve"> het handhavingsbeleid en mogelijke incidenten. </w:t>
      </w:r>
      <w:bookmarkEnd w:id="3"/>
    </w:p>
    <w:p w:rsidR="005D15C0" w:rsidP="005D15C0" w:rsidRDefault="005D15C0" w14:paraId="4D8B9BC2" w14:textId="77777777">
      <w:pPr>
        <w:spacing w:line="254" w:lineRule="auto"/>
        <w:rPr>
          <w:rFonts w:cstheme="minorHAnsi"/>
        </w:rPr>
      </w:pPr>
    </w:p>
    <w:p w:rsidR="00BF60A6" w:rsidP="00BA33A4" w:rsidRDefault="00DB1005" w14:paraId="7FE33BE9" w14:textId="77777777">
      <w:pPr>
        <w:spacing w:line="254" w:lineRule="auto"/>
        <w:rPr>
          <w:rFonts w:cstheme="minorHAnsi"/>
        </w:rPr>
      </w:pPr>
      <w:r>
        <w:rPr>
          <w:rFonts w:cstheme="minorHAnsi"/>
        </w:rPr>
        <w:t xml:space="preserve">De koers is succesvol als </w:t>
      </w:r>
      <w:r w:rsidRPr="00846F68" w:rsidR="005D15C0">
        <w:rPr>
          <w:rFonts w:cstheme="minorHAnsi"/>
        </w:rPr>
        <w:t>de uitvoering en toezichthouder de ruimte krijg</w:t>
      </w:r>
      <w:r w:rsidR="00B56EF9">
        <w:rPr>
          <w:rFonts w:cstheme="minorHAnsi"/>
        </w:rPr>
        <w:t>en</w:t>
      </w:r>
      <w:r w:rsidRPr="00846F68" w:rsidR="005D15C0">
        <w:rPr>
          <w:rFonts w:cstheme="minorHAnsi"/>
        </w:rPr>
        <w:t xml:space="preserve"> en voel</w:t>
      </w:r>
      <w:r w:rsidR="00B56EF9">
        <w:rPr>
          <w:rFonts w:cstheme="minorHAnsi"/>
        </w:rPr>
        <w:t>en</w:t>
      </w:r>
      <w:r w:rsidRPr="00846F68" w:rsidR="005D15C0">
        <w:rPr>
          <w:rFonts w:cstheme="minorHAnsi"/>
        </w:rPr>
        <w:t xml:space="preserve"> om </w:t>
      </w:r>
      <w:r w:rsidR="00AD3CBD">
        <w:rPr>
          <w:rFonts w:cstheme="minorHAnsi"/>
        </w:rPr>
        <w:t xml:space="preserve">passend te </w:t>
      </w:r>
      <w:r w:rsidRPr="00846F68" w:rsidR="005D15C0">
        <w:rPr>
          <w:rFonts w:cstheme="minorHAnsi"/>
        </w:rPr>
        <w:t>handhav</w:t>
      </w:r>
      <w:r w:rsidR="00AD3CBD">
        <w:rPr>
          <w:rFonts w:cstheme="minorHAnsi"/>
        </w:rPr>
        <w:t>en</w:t>
      </w:r>
      <w:r w:rsidRPr="00846F68" w:rsidR="005D15C0">
        <w:rPr>
          <w:rFonts w:cstheme="minorHAnsi"/>
        </w:rPr>
        <w:t xml:space="preserve"> </w:t>
      </w:r>
      <w:r w:rsidR="00AD3CBD">
        <w:rPr>
          <w:rFonts w:cstheme="minorHAnsi"/>
        </w:rPr>
        <w:t>en zo</w:t>
      </w:r>
      <w:r w:rsidRPr="00846F68" w:rsidR="005D15C0">
        <w:rPr>
          <w:rFonts w:cstheme="minorHAnsi"/>
        </w:rPr>
        <w:t xml:space="preserve"> aan</w:t>
      </w:r>
      <w:r w:rsidR="00B56EF9">
        <w:rPr>
          <w:rFonts w:cstheme="minorHAnsi"/>
        </w:rPr>
        <w:t xml:space="preserve"> te </w:t>
      </w:r>
      <w:r w:rsidRPr="00846F68" w:rsidR="005D15C0">
        <w:rPr>
          <w:rFonts w:cstheme="minorHAnsi"/>
        </w:rPr>
        <w:t>sluit</w:t>
      </w:r>
      <w:r w:rsidR="00B56EF9">
        <w:rPr>
          <w:rFonts w:cstheme="minorHAnsi"/>
        </w:rPr>
        <w:t>en</w:t>
      </w:r>
      <w:r w:rsidRPr="00846F68" w:rsidR="005D15C0">
        <w:rPr>
          <w:rFonts w:cstheme="minorHAnsi"/>
        </w:rPr>
        <w:t xml:space="preserve"> bij </w:t>
      </w:r>
      <w:r w:rsidR="005D15C0">
        <w:rPr>
          <w:rFonts w:cstheme="minorHAnsi"/>
        </w:rPr>
        <w:t xml:space="preserve">de </w:t>
      </w:r>
      <w:r w:rsidRPr="00846F68" w:rsidR="005D15C0">
        <w:rPr>
          <w:rFonts w:cstheme="minorHAnsi"/>
        </w:rPr>
        <w:t xml:space="preserve">leefwereld van </w:t>
      </w:r>
      <w:r w:rsidR="00AE5016">
        <w:rPr>
          <w:rFonts w:cstheme="minorHAnsi"/>
        </w:rPr>
        <w:t xml:space="preserve">mensen </w:t>
      </w:r>
      <w:r>
        <w:rPr>
          <w:rFonts w:cstheme="minorHAnsi"/>
        </w:rPr>
        <w:t>en</w:t>
      </w:r>
      <w:r w:rsidR="005D15C0">
        <w:rPr>
          <w:rFonts w:cstheme="minorHAnsi"/>
        </w:rPr>
        <w:t xml:space="preserve"> </w:t>
      </w:r>
      <w:r w:rsidRPr="00846F68" w:rsidR="005D15C0">
        <w:rPr>
          <w:rFonts w:cstheme="minorHAnsi"/>
        </w:rPr>
        <w:t>bedrijven</w:t>
      </w:r>
      <w:r w:rsidR="005D15C0">
        <w:rPr>
          <w:rFonts w:cstheme="minorHAnsi"/>
        </w:rPr>
        <w:t>. Dit moet gebeuren</w:t>
      </w:r>
      <w:r w:rsidRPr="00846F68" w:rsidR="005D15C0">
        <w:rPr>
          <w:rFonts w:cstheme="minorHAnsi"/>
        </w:rPr>
        <w:t xml:space="preserve"> zonder </w:t>
      </w:r>
      <w:r w:rsidRPr="000D697F" w:rsidR="005D15C0">
        <w:rPr>
          <w:rFonts w:cstheme="minorHAnsi"/>
        </w:rPr>
        <w:t>rechtmatigheid</w:t>
      </w:r>
      <w:r w:rsidRPr="00846F68" w:rsidR="005D15C0">
        <w:rPr>
          <w:rFonts w:cstheme="minorHAnsi"/>
        </w:rPr>
        <w:t xml:space="preserve"> -en doelmatigheidsprincipes uit het oog te verliezen</w:t>
      </w:r>
      <w:r w:rsidR="005D15C0">
        <w:rPr>
          <w:rFonts w:cstheme="minorHAnsi"/>
        </w:rPr>
        <w:t xml:space="preserve">. </w:t>
      </w:r>
      <w:r w:rsidR="00795255">
        <w:rPr>
          <w:rFonts w:cstheme="minorHAnsi"/>
        </w:rPr>
        <w:t>Het succes blijkt of de koers organisaties helpt bij het (her)prioriteren van hun eigen strategieën en agenda’s. Als gedurende de vier jaar van de koers er verbeteraspecten na</w:t>
      </w:r>
      <w:r w:rsidR="00AC3C68">
        <w:rPr>
          <w:rFonts w:cstheme="minorHAnsi"/>
        </w:rPr>
        <w:t>a</w:t>
      </w:r>
      <w:r w:rsidR="00795255">
        <w:rPr>
          <w:rFonts w:cstheme="minorHAnsi"/>
        </w:rPr>
        <w:t xml:space="preserve">r voren komen in gesprekken over de koers, moeten deze benoemd en besproken worden. </w:t>
      </w:r>
      <w:r w:rsidR="005D15C0">
        <w:rPr>
          <w:rFonts w:cstheme="minorHAnsi"/>
        </w:rPr>
        <w:t>Er moet</w:t>
      </w:r>
      <w:r w:rsidR="00B56EF9">
        <w:rPr>
          <w:rFonts w:cstheme="minorHAnsi"/>
        </w:rPr>
        <w:t xml:space="preserve"> worden</w:t>
      </w:r>
      <w:r w:rsidR="005D15C0">
        <w:rPr>
          <w:rFonts w:cstheme="minorHAnsi"/>
        </w:rPr>
        <w:t xml:space="preserve"> geleerd </w:t>
      </w:r>
      <w:r w:rsidRPr="00846F68" w:rsidR="005D15C0">
        <w:rPr>
          <w:rFonts w:cstheme="minorHAnsi"/>
        </w:rPr>
        <w:t>van incidenten</w:t>
      </w:r>
      <w:r w:rsidR="005D15C0">
        <w:rPr>
          <w:rFonts w:cstheme="minorHAnsi"/>
        </w:rPr>
        <w:t xml:space="preserve">, want deze zijn </w:t>
      </w:r>
      <w:r w:rsidRPr="00846F68" w:rsidR="005D15C0">
        <w:rPr>
          <w:rFonts w:cstheme="minorHAnsi"/>
        </w:rPr>
        <w:t>nooit uit te sluiten.</w:t>
      </w:r>
      <w:r w:rsidRPr="000D697F" w:rsidR="005D15C0">
        <w:rPr>
          <w:rFonts w:cstheme="minorHAnsi"/>
        </w:rPr>
        <w:t xml:space="preserve"> </w:t>
      </w:r>
    </w:p>
    <w:p w:rsidR="00BF60A6" w:rsidP="00BA33A4" w:rsidRDefault="00BF60A6" w14:paraId="4B7E6310" w14:textId="77777777">
      <w:pPr>
        <w:spacing w:line="254" w:lineRule="auto"/>
        <w:rPr>
          <w:rFonts w:cstheme="minorHAnsi"/>
        </w:rPr>
      </w:pPr>
    </w:p>
    <w:p w:rsidR="00BF60A6" w:rsidP="00BA33A4" w:rsidRDefault="00BF60A6" w14:paraId="4AAB3BBF" w14:textId="77777777">
      <w:pPr>
        <w:spacing w:line="254" w:lineRule="auto"/>
        <w:rPr>
          <w:rFonts w:cstheme="minorHAnsi"/>
        </w:rPr>
      </w:pPr>
    </w:p>
    <w:p w:rsidR="00BF60A6" w:rsidP="00BA33A4" w:rsidRDefault="00BF60A6" w14:paraId="261FED8C" w14:textId="77777777">
      <w:pPr>
        <w:spacing w:line="254" w:lineRule="auto"/>
        <w:rPr>
          <w:rFonts w:cstheme="minorHAnsi"/>
        </w:rPr>
      </w:pPr>
    </w:p>
    <w:p w:rsidR="00BF60A6" w:rsidP="00BA33A4" w:rsidRDefault="00BF60A6" w14:paraId="31E8E190" w14:textId="77777777">
      <w:pPr>
        <w:spacing w:line="254" w:lineRule="auto"/>
        <w:rPr>
          <w:rFonts w:cstheme="minorHAnsi"/>
        </w:rPr>
      </w:pPr>
    </w:p>
    <w:p w:rsidR="00BF60A6" w:rsidP="00BA33A4" w:rsidRDefault="00BF60A6" w14:paraId="4E2212A6" w14:textId="77777777">
      <w:pPr>
        <w:spacing w:line="254" w:lineRule="auto"/>
        <w:rPr>
          <w:rFonts w:cstheme="minorHAnsi"/>
        </w:rPr>
      </w:pPr>
    </w:p>
    <w:p w:rsidR="00BF60A6" w:rsidP="00BA33A4" w:rsidRDefault="00BF60A6" w14:paraId="0C325322" w14:textId="77777777">
      <w:pPr>
        <w:spacing w:line="254" w:lineRule="auto"/>
        <w:rPr>
          <w:rFonts w:cstheme="minorHAnsi"/>
        </w:rPr>
      </w:pPr>
    </w:p>
    <w:p w:rsidR="00BF60A6" w:rsidP="00BA33A4" w:rsidRDefault="00BF60A6" w14:paraId="01ABF741" w14:textId="77777777">
      <w:pPr>
        <w:spacing w:line="254" w:lineRule="auto"/>
        <w:rPr>
          <w:rFonts w:cstheme="minorHAnsi"/>
        </w:rPr>
      </w:pPr>
    </w:p>
    <w:p w:rsidR="00BF60A6" w:rsidP="00BA33A4" w:rsidRDefault="00BF60A6" w14:paraId="3D39190F" w14:textId="77777777">
      <w:pPr>
        <w:spacing w:line="254" w:lineRule="auto"/>
        <w:rPr>
          <w:rFonts w:cstheme="minorHAnsi"/>
        </w:rPr>
      </w:pPr>
    </w:p>
    <w:p w:rsidR="00BF60A6" w:rsidP="00BA33A4" w:rsidRDefault="005D15C0" w14:paraId="528320E1" w14:textId="77777777">
      <w:pPr>
        <w:spacing w:line="254" w:lineRule="auto"/>
        <w:rPr>
          <w:rFonts w:cstheme="minorHAnsi"/>
        </w:rPr>
      </w:pPr>
      <w:r>
        <w:rPr>
          <w:rFonts w:cstheme="minorHAnsi"/>
        </w:rPr>
        <w:lastRenderedPageBreak/>
        <w:t xml:space="preserve">Dat vraagt om een reflexieve cultuur binnen organisaties </w:t>
      </w:r>
      <w:r w:rsidR="00DC6499">
        <w:rPr>
          <w:rFonts w:cstheme="minorHAnsi"/>
        </w:rPr>
        <w:t xml:space="preserve">in </w:t>
      </w:r>
      <w:r>
        <w:rPr>
          <w:rFonts w:cstheme="minorHAnsi"/>
        </w:rPr>
        <w:t xml:space="preserve">de verschillende handhavingsketens. </w:t>
      </w:r>
    </w:p>
    <w:p w:rsidRPr="00BA33A4" w:rsidR="005D15C0" w:rsidP="00BA33A4" w:rsidRDefault="005D15C0" w14:paraId="0B912CB6" w14:textId="77777777">
      <w:pPr>
        <w:spacing w:line="254" w:lineRule="auto"/>
        <w:rPr>
          <w:rFonts w:cstheme="minorHAnsi"/>
        </w:rPr>
      </w:pPr>
      <w:r>
        <w:rPr>
          <w:rFonts w:cstheme="minorHAnsi"/>
        </w:rPr>
        <w:t xml:space="preserve">Het succes van deze koers zit dan ook deels in het faciliteren van dit gesprek. </w:t>
      </w:r>
      <w:r w:rsidRPr="000D697F">
        <w:rPr>
          <w:rFonts w:cstheme="minorHAnsi"/>
        </w:rPr>
        <w:t xml:space="preserve">Daarbij is scherpte nodig </w:t>
      </w:r>
      <w:r>
        <w:rPr>
          <w:rFonts w:cstheme="minorHAnsi"/>
        </w:rPr>
        <w:t>op dilemma’s, trends en ontwikkelingen</w:t>
      </w:r>
      <w:r w:rsidR="00DB1005">
        <w:rPr>
          <w:rFonts w:cstheme="minorHAnsi"/>
        </w:rPr>
        <w:t xml:space="preserve">. </w:t>
      </w:r>
    </w:p>
    <w:p w:rsidR="005D15C0" w:rsidP="005D15C0" w:rsidRDefault="005D15C0" w14:paraId="5B6CF4D8" w14:textId="77777777"/>
    <w:p w:rsidRPr="00AB30B4" w:rsidR="00BF60A6" w:rsidP="005D15C0" w:rsidRDefault="00BF60A6" w14:paraId="7DF9DB2E" w14:textId="77777777"/>
    <w:p w:rsidR="005D15C0" w:rsidP="005D15C0" w:rsidRDefault="005D15C0" w14:paraId="755A764F" w14:textId="77777777">
      <w:r>
        <w:t xml:space="preserve">De Minister van Sociale Zaken </w:t>
      </w:r>
      <w:r w:rsidR="00DD579D">
        <w:tab/>
      </w:r>
      <w:r w:rsidR="00DD579D">
        <w:tab/>
      </w:r>
      <w:r w:rsidR="00CE6D72">
        <w:tab/>
      </w:r>
      <w:r w:rsidR="00DD579D">
        <w:t xml:space="preserve">De Minister van Werk </w:t>
      </w:r>
      <w:r>
        <w:br/>
        <w:t>en Werkgelegenheid,</w:t>
      </w:r>
      <w:r w:rsidR="00DD579D">
        <w:tab/>
      </w:r>
      <w:r w:rsidR="00DD579D">
        <w:tab/>
      </w:r>
      <w:r w:rsidR="00DD579D">
        <w:tab/>
      </w:r>
      <w:r w:rsidR="00CE6D72">
        <w:tab/>
        <w:t xml:space="preserve">en Participatie </w:t>
      </w:r>
    </w:p>
    <w:p w:rsidR="00CE6D72" w:rsidP="005D15C0" w:rsidRDefault="00CE6D72" w14:paraId="2A79A59E" w14:textId="77777777"/>
    <w:p w:rsidR="00CE6D72" w:rsidP="005D15C0" w:rsidRDefault="00CE6D72" w14:paraId="17D36E0D" w14:textId="77777777"/>
    <w:p w:rsidR="00CE6D72" w:rsidP="005D15C0" w:rsidRDefault="00CE6D72" w14:paraId="25319F6C" w14:textId="77777777"/>
    <w:p w:rsidR="00CE6D72" w:rsidP="005D15C0" w:rsidRDefault="00CE6D72" w14:paraId="7BBDBCA3" w14:textId="77777777"/>
    <w:p w:rsidR="00CE6D72" w:rsidP="005D15C0" w:rsidRDefault="00CE6D72" w14:paraId="38FAA137" w14:textId="77777777">
      <w:r>
        <w:t xml:space="preserve">J.A. Vijlbrief </w:t>
      </w:r>
      <w:r>
        <w:tab/>
      </w:r>
      <w:r>
        <w:tab/>
      </w:r>
      <w:r>
        <w:tab/>
      </w:r>
      <w:r>
        <w:tab/>
      </w:r>
      <w:r>
        <w:tab/>
        <w:t xml:space="preserve">A.A. Aartsen </w:t>
      </w:r>
    </w:p>
    <w:p w:rsidR="005D15C0" w:rsidP="005D15C0" w:rsidRDefault="005D15C0" w14:paraId="02079952" w14:textId="77777777"/>
    <w:p w:rsidR="005D15C0" w:rsidP="005D15C0" w:rsidRDefault="005D15C0" w14:paraId="78918633" w14:textId="77777777"/>
    <w:p w:rsidR="00DD579D" w:rsidP="005D15C0" w:rsidRDefault="00DD579D" w14:paraId="01D64134" w14:textId="77777777"/>
    <w:p w:rsidR="00DD579D" w:rsidP="005D15C0" w:rsidRDefault="00DD579D" w14:paraId="139016E0" w14:textId="77777777"/>
    <w:p w:rsidR="00DD579D" w:rsidP="005D15C0" w:rsidRDefault="00DD579D" w14:paraId="19CA3E96" w14:textId="77777777"/>
    <w:p w:rsidRPr="005D15C0" w:rsidR="00421357" w:rsidP="005D15C0" w:rsidRDefault="00421357" w14:paraId="7ECFB53D" w14:textId="77777777"/>
    <w:sectPr w:rsidRPr="005D15C0" w:rsidR="00421357" w:rsidSect="002D5B9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6251" w14:textId="77777777" w:rsidR="00EE78A8" w:rsidRDefault="00EE78A8">
      <w:pPr>
        <w:spacing w:line="240" w:lineRule="auto"/>
      </w:pPr>
      <w:r>
        <w:separator/>
      </w:r>
    </w:p>
  </w:endnote>
  <w:endnote w:type="continuationSeparator" w:id="0">
    <w:p w14:paraId="3DE660FF" w14:textId="77777777" w:rsidR="00EE78A8" w:rsidRDefault="00EE7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823" w14:textId="77777777" w:rsidR="00C307C7" w:rsidRDefault="00C30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3391" w14:textId="77777777" w:rsidR="00C307C7" w:rsidRDefault="00C307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E05A" w14:textId="77777777" w:rsidR="00C307C7" w:rsidRDefault="00C30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C1FB" w14:textId="77777777" w:rsidR="00EE78A8" w:rsidRDefault="00EE78A8">
      <w:pPr>
        <w:spacing w:line="240" w:lineRule="auto"/>
      </w:pPr>
      <w:r>
        <w:separator/>
      </w:r>
    </w:p>
  </w:footnote>
  <w:footnote w:type="continuationSeparator" w:id="0">
    <w:p w14:paraId="5B1CAE9A" w14:textId="77777777" w:rsidR="00EE78A8" w:rsidRDefault="00EE78A8">
      <w:pPr>
        <w:spacing w:line="240" w:lineRule="auto"/>
      </w:pPr>
      <w:r>
        <w:continuationSeparator/>
      </w:r>
    </w:p>
  </w:footnote>
  <w:footnote w:id="1">
    <w:p w14:paraId="157E5F87" w14:textId="77777777" w:rsidR="0029546C" w:rsidRPr="005D15C0" w:rsidRDefault="0029546C" w:rsidP="0029546C">
      <w:pPr>
        <w:pStyle w:val="Voetnoottekst"/>
        <w:rPr>
          <w:rFonts w:ascii="Calibri" w:hAnsi="Calibri" w:cs="Calibri"/>
          <w:sz w:val="16"/>
          <w:szCs w:val="16"/>
        </w:rPr>
      </w:pPr>
      <w:r w:rsidRPr="005D15C0">
        <w:rPr>
          <w:rStyle w:val="Voetnootmarkering"/>
          <w:rFonts w:ascii="Calibri" w:hAnsi="Calibri" w:cs="Calibri"/>
          <w:sz w:val="16"/>
          <w:szCs w:val="16"/>
        </w:rPr>
        <w:footnoteRef/>
      </w:r>
      <w:r w:rsidRPr="005D15C0">
        <w:rPr>
          <w:rFonts w:ascii="Calibri" w:hAnsi="Calibri" w:cs="Calibri"/>
          <w:sz w:val="16"/>
          <w:szCs w:val="16"/>
        </w:rPr>
        <w:t xml:space="preserve"> Geformuleerd in de handhavingskoers 2022-2025</w:t>
      </w:r>
      <w:r>
        <w:rPr>
          <w:rFonts w:ascii="Calibri" w:hAnsi="Calibri" w:cs="Calibri"/>
          <w:sz w:val="16"/>
          <w:szCs w:val="16"/>
        </w:rPr>
        <w:t>,</w:t>
      </w:r>
      <w:r w:rsidRPr="00F6525F">
        <w:rPr>
          <w:rFonts w:ascii="Calibri" w:hAnsi="Calibri" w:cs="Calibri"/>
          <w:sz w:val="16"/>
          <w:szCs w:val="16"/>
        </w:rPr>
        <w:t xml:space="preserve"> Kamerstukken II 2021/22, 17 050, nr. 602</w:t>
      </w:r>
    </w:p>
  </w:footnote>
  <w:footnote w:id="2">
    <w:p w14:paraId="2C2380CE" w14:textId="77777777" w:rsidR="00E61C27" w:rsidRDefault="00E61C27">
      <w:pPr>
        <w:pStyle w:val="Voetnoottekst"/>
      </w:pPr>
      <w:r>
        <w:rPr>
          <w:rStyle w:val="Voetnootmarkering"/>
        </w:rPr>
        <w:footnoteRef/>
      </w:r>
      <w:r>
        <w:t xml:space="preserve"> </w:t>
      </w:r>
      <w:r w:rsidR="00DD579D" w:rsidRPr="00DD579D">
        <w:rPr>
          <w:rFonts w:ascii="Calibri" w:hAnsi="Calibri" w:cs="Calibri"/>
          <w:sz w:val="16"/>
          <w:szCs w:val="16"/>
        </w:rPr>
        <w:t>Bestuurlijk vakmanschap wordt verder besproken in sectie 6 van deze brief.</w:t>
      </w:r>
      <w:r w:rsidR="00DD579D">
        <w:t xml:space="preserve"> </w:t>
      </w:r>
    </w:p>
  </w:footnote>
  <w:footnote w:id="3">
    <w:p w14:paraId="6911329B" w14:textId="77777777" w:rsidR="005D15C0" w:rsidRPr="00AB30B4" w:rsidRDefault="005D15C0" w:rsidP="005D15C0">
      <w:pPr>
        <w:pStyle w:val="Voetnoottekst"/>
        <w:rPr>
          <w:rFonts w:ascii="Calibri" w:hAnsi="Calibri" w:cs="Calibri"/>
          <w:sz w:val="18"/>
          <w:szCs w:val="18"/>
        </w:rPr>
      </w:pPr>
      <w:r w:rsidRPr="005D15C0">
        <w:rPr>
          <w:rStyle w:val="Voetnootmarkering"/>
          <w:rFonts w:ascii="Calibri" w:hAnsi="Calibri" w:cs="Calibri"/>
          <w:sz w:val="16"/>
          <w:szCs w:val="16"/>
        </w:rPr>
        <w:footnoteRef/>
      </w:r>
      <w:r w:rsidRPr="005D15C0">
        <w:rPr>
          <w:rFonts w:ascii="Calibri" w:hAnsi="Calibri" w:cs="Calibri"/>
          <w:sz w:val="16"/>
          <w:szCs w:val="16"/>
        </w:rPr>
        <w:t xml:space="preserve"> SEO, </w:t>
      </w:r>
      <w:r w:rsidRPr="005D15C0">
        <w:rPr>
          <w:rFonts w:ascii="Calibri" w:hAnsi="Calibri" w:cs="Calibri"/>
          <w:i/>
          <w:iCs/>
          <w:sz w:val="16"/>
          <w:szCs w:val="16"/>
        </w:rPr>
        <w:t>Hard waar het moet, zacht waar het kan - de effectiviteit van boeteverhogingen om naleving van arbeidswetten voor eerlijk werk te bevorderen</w:t>
      </w:r>
      <w:r w:rsidRPr="005D15C0">
        <w:rPr>
          <w:rFonts w:ascii="Calibri" w:hAnsi="Calibri" w:cs="Calibri"/>
          <w:sz w:val="16"/>
          <w:szCs w:val="16"/>
        </w:rPr>
        <w:t>, 2025</w:t>
      </w:r>
    </w:p>
  </w:footnote>
  <w:footnote w:id="4">
    <w:p w14:paraId="53CF40FE" w14:textId="77777777" w:rsidR="005D15C0" w:rsidRPr="0024629B" w:rsidRDefault="005D15C0" w:rsidP="005D15C0">
      <w:pPr>
        <w:pStyle w:val="Voetnoottekst"/>
        <w:rPr>
          <w:rFonts w:ascii="Calibri" w:hAnsi="Calibri" w:cs="Calibri"/>
          <w:sz w:val="16"/>
          <w:szCs w:val="16"/>
        </w:rPr>
      </w:pPr>
      <w:r w:rsidRPr="0024629B">
        <w:rPr>
          <w:rStyle w:val="Voetnootmarkering"/>
          <w:rFonts w:ascii="Calibri" w:hAnsi="Calibri" w:cs="Calibri"/>
          <w:sz w:val="16"/>
          <w:szCs w:val="16"/>
        </w:rPr>
        <w:footnoteRef/>
      </w:r>
      <w:r w:rsidRPr="0024629B">
        <w:rPr>
          <w:rFonts w:ascii="Calibri" w:hAnsi="Calibri" w:cs="Calibri"/>
          <w:sz w:val="16"/>
          <w:szCs w:val="16"/>
        </w:rPr>
        <w:t xml:space="preserve"> Bijvoorbeeld in het art. 2 Fvw onderzoek naar uitvoeringskosten van het wetsvoorstel handhaving sociale zekerheid. </w:t>
      </w:r>
    </w:p>
  </w:footnote>
  <w:footnote w:id="5">
    <w:p w14:paraId="50FD4490" w14:textId="77777777" w:rsidR="005D15C0" w:rsidRDefault="005D15C0" w:rsidP="005D15C0">
      <w:pPr>
        <w:pStyle w:val="Voetnoottekst"/>
      </w:pPr>
      <w:r w:rsidRPr="0024629B">
        <w:rPr>
          <w:rStyle w:val="Voetnootmarkering"/>
          <w:rFonts w:ascii="Calibri" w:hAnsi="Calibri" w:cs="Calibri"/>
          <w:sz w:val="16"/>
          <w:szCs w:val="16"/>
        </w:rPr>
        <w:footnoteRef/>
      </w:r>
      <w:r w:rsidRPr="0024629B">
        <w:rPr>
          <w:rFonts w:ascii="Calibri" w:hAnsi="Calibri" w:cs="Calibri"/>
          <w:sz w:val="16"/>
          <w:szCs w:val="16"/>
        </w:rPr>
        <w:t xml:space="preserve"> </w:t>
      </w:r>
      <w:r w:rsidR="005B1A93">
        <w:rPr>
          <w:rFonts w:ascii="Calibri" w:hAnsi="Calibri" w:cs="Calibri"/>
          <w:sz w:val="16"/>
          <w:szCs w:val="16"/>
        </w:rPr>
        <w:t xml:space="preserve">Het </w:t>
      </w:r>
      <w:r w:rsidRPr="0024629B">
        <w:rPr>
          <w:rFonts w:ascii="Calibri" w:hAnsi="Calibri" w:cs="Calibri"/>
          <w:sz w:val="16"/>
          <w:szCs w:val="16"/>
        </w:rPr>
        <w:t>handhavingsbeleid</w:t>
      </w:r>
      <w:r w:rsidR="005B1A93">
        <w:rPr>
          <w:rFonts w:ascii="Calibri" w:hAnsi="Calibri" w:cs="Calibri"/>
          <w:sz w:val="16"/>
          <w:szCs w:val="16"/>
        </w:rPr>
        <w:t xml:space="preserve"> beweegt zich door de jaren heen sterk. S</w:t>
      </w:r>
      <w:r w:rsidRPr="0024629B">
        <w:rPr>
          <w:rFonts w:ascii="Calibri" w:hAnsi="Calibri" w:cs="Calibri"/>
          <w:sz w:val="16"/>
          <w:szCs w:val="16"/>
        </w:rPr>
        <w:t xml:space="preserve">oms is </w:t>
      </w:r>
      <w:r w:rsidR="00977951">
        <w:rPr>
          <w:rFonts w:ascii="Calibri" w:hAnsi="Calibri" w:cs="Calibri"/>
          <w:sz w:val="16"/>
          <w:szCs w:val="16"/>
        </w:rPr>
        <w:t xml:space="preserve">het beleid </w:t>
      </w:r>
      <w:r w:rsidRPr="0024629B">
        <w:rPr>
          <w:rFonts w:ascii="Calibri" w:hAnsi="Calibri" w:cs="Calibri"/>
          <w:sz w:val="16"/>
          <w:szCs w:val="16"/>
        </w:rPr>
        <w:t xml:space="preserve">door een incident heel mild, soms is </w:t>
      </w:r>
      <w:r w:rsidR="00977951">
        <w:rPr>
          <w:rFonts w:ascii="Calibri" w:hAnsi="Calibri" w:cs="Calibri"/>
          <w:sz w:val="16"/>
          <w:szCs w:val="16"/>
        </w:rPr>
        <w:t>het d</w:t>
      </w:r>
      <w:r w:rsidRPr="0024629B">
        <w:rPr>
          <w:rFonts w:ascii="Calibri" w:hAnsi="Calibri" w:cs="Calibri"/>
          <w:sz w:val="16"/>
          <w:szCs w:val="16"/>
        </w:rPr>
        <w:t xml:space="preserve">oor een ander incident heel streng. Het blijkt uit de geschiedenis dat deze beweging heen en weer gaat, vandaar </w:t>
      </w:r>
      <w:r w:rsidR="00977951">
        <w:rPr>
          <w:rFonts w:ascii="Calibri" w:hAnsi="Calibri" w:cs="Calibri"/>
          <w:sz w:val="16"/>
          <w:szCs w:val="16"/>
        </w:rPr>
        <w:t>dat de term pendule gebruikt wordt</w:t>
      </w:r>
      <w:r w:rsidRPr="0024629B">
        <w:rPr>
          <w:rFonts w:ascii="Calibri" w:hAnsi="Calibri" w:cs="Calibri"/>
          <w:sz w:val="16"/>
          <w:szCs w:val="16"/>
        </w:rPr>
        <w:t>.</w:t>
      </w:r>
      <w:r>
        <w:t xml:space="preserve">  </w:t>
      </w:r>
    </w:p>
  </w:footnote>
  <w:footnote w:id="6">
    <w:p w14:paraId="1F3C1E8F" w14:textId="77777777" w:rsidR="005D15C0" w:rsidRPr="0024629B" w:rsidRDefault="005D15C0" w:rsidP="005D15C0">
      <w:pPr>
        <w:pStyle w:val="Voetnoottekst"/>
        <w:rPr>
          <w:rFonts w:ascii="Calibri" w:hAnsi="Calibri" w:cs="Calibri"/>
          <w:sz w:val="16"/>
          <w:szCs w:val="16"/>
        </w:rPr>
      </w:pPr>
      <w:r w:rsidRPr="0024629B">
        <w:rPr>
          <w:rStyle w:val="Voetnootmarkering"/>
          <w:rFonts w:ascii="Calibri" w:hAnsi="Calibri" w:cs="Calibri"/>
          <w:sz w:val="16"/>
          <w:szCs w:val="16"/>
        </w:rPr>
        <w:footnoteRef/>
      </w:r>
      <w:r w:rsidRPr="0024629B">
        <w:rPr>
          <w:rFonts w:ascii="Calibri" w:hAnsi="Calibri" w:cs="Calibri"/>
          <w:sz w:val="16"/>
          <w:szCs w:val="16"/>
        </w:rPr>
        <w:t xml:space="preserve"> Voor deze definities wordt verwezen naar het werk van Prof. Dr. P. de Winter, bijvoorbeeld: (2019). Tussen de regels: een rechtssociologische studie naar handhaving in de sociale zekerheid</w:t>
      </w:r>
    </w:p>
  </w:footnote>
  <w:footnote w:id="7">
    <w:p w14:paraId="606D0A0C" w14:textId="77777777" w:rsidR="00C62901" w:rsidRDefault="00C62901">
      <w:pPr>
        <w:pStyle w:val="Voetnoottekst"/>
      </w:pPr>
      <w:r>
        <w:rPr>
          <w:rStyle w:val="Voetnootmarkering"/>
        </w:rPr>
        <w:footnoteRef/>
      </w:r>
      <w:r>
        <w:t xml:space="preserve"> </w:t>
      </w:r>
      <w:r w:rsidRPr="00C62901">
        <w:rPr>
          <w:rFonts w:ascii="Calibri" w:hAnsi="Calibri" w:cs="Calibri"/>
          <w:sz w:val="16"/>
          <w:szCs w:val="16"/>
        </w:rPr>
        <w:t>Dit was ook zo in de vorige handhavingskoers, en blijkt uit het jaarlijks onderzoek Kennis der Verplichtingen</w:t>
      </w:r>
      <w:r w:rsidR="00977951">
        <w:rPr>
          <w:rFonts w:ascii="Calibri" w:hAnsi="Calibri" w:cs="Calibri"/>
          <w:sz w:val="16"/>
          <w:szCs w:val="16"/>
        </w:rPr>
        <w:t xml:space="preserve"> en het voor deze koers uitgevoerde burgerpanelonderzoek van Synthetron ‘</w:t>
      </w:r>
      <w:r w:rsidR="00977951">
        <w:rPr>
          <w:rFonts w:ascii="Calibri" w:hAnsi="Calibri" w:cs="Calibri"/>
          <w:i/>
          <w:iCs/>
          <w:sz w:val="16"/>
          <w:szCs w:val="16"/>
        </w:rPr>
        <w:t>Online dialoog – handhavingskoers 2025”</w:t>
      </w:r>
      <w:r w:rsidRPr="00C62901">
        <w:rPr>
          <w:rFonts w:ascii="Calibri" w:hAnsi="Calibri" w:cs="Calibri"/>
          <w:sz w:val="16"/>
          <w:szCs w:val="16"/>
        </w:rPr>
        <w:t>.</w:t>
      </w:r>
      <w:r>
        <w:t xml:space="preserve"> </w:t>
      </w:r>
    </w:p>
  </w:footnote>
  <w:footnote w:id="8">
    <w:p w14:paraId="52274DBE" w14:textId="77777777" w:rsidR="005D15C0" w:rsidRPr="0024629B" w:rsidRDefault="005D15C0" w:rsidP="005D15C0">
      <w:pPr>
        <w:pStyle w:val="Voetnoottekst"/>
        <w:rPr>
          <w:rFonts w:ascii="Calibri" w:hAnsi="Calibri" w:cs="Calibri"/>
          <w:sz w:val="16"/>
          <w:szCs w:val="16"/>
        </w:rPr>
      </w:pPr>
      <w:r w:rsidRPr="0024629B">
        <w:rPr>
          <w:rStyle w:val="Voetnootmarkering"/>
          <w:rFonts w:ascii="Calibri" w:hAnsi="Calibri" w:cs="Calibri"/>
          <w:sz w:val="16"/>
          <w:szCs w:val="16"/>
        </w:rPr>
        <w:footnoteRef/>
      </w:r>
      <w:r w:rsidRPr="0024629B">
        <w:rPr>
          <w:rFonts w:ascii="Calibri" w:hAnsi="Calibri" w:cs="Calibri"/>
          <w:sz w:val="16"/>
          <w:szCs w:val="16"/>
        </w:rPr>
        <w:t xml:space="preserve"> Het handhavingsproces in de arbeidswetten kent een ander primair proces en een andere schematisering van naleving en maatwerk. Zie hiervoor o.a. </w:t>
      </w:r>
      <w:hyperlink r:id="rId1" w:history="1">
        <w:r w:rsidRPr="0024629B">
          <w:rPr>
            <w:rStyle w:val="Hyperlink"/>
            <w:rFonts w:ascii="Calibri" w:hAnsi="Calibri" w:cs="Calibri"/>
            <w:sz w:val="16"/>
            <w:szCs w:val="16"/>
          </w:rPr>
          <w:t xml:space="preserve">Jaarplan </w:t>
        </w:r>
        <w:r w:rsidR="00841317">
          <w:rPr>
            <w:rStyle w:val="Hyperlink"/>
            <w:rFonts w:ascii="Calibri" w:hAnsi="Calibri" w:cs="Calibri"/>
            <w:sz w:val="16"/>
            <w:szCs w:val="16"/>
          </w:rPr>
          <w:t>N</w:t>
        </w:r>
        <w:r w:rsidR="00EC195B">
          <w:rPr>
            <w:rStyle w:val="Hyperlink"/>
            <w:rFonts w:ascii="Calibri" w:hAnsi="Calibri" w:cs="Calibri"/>
            <w:sz w:val="16"/>
            <w:szCs w:val="16"/>
          </w:rPr>
          <w:t xml:space="preserve">ederlandse Arbeidsinspectie </w:t>
        </w:r>
        <w:r w:rsidR="00841317">
          <w:rPr>
            <w:rStyle w:val="Hyperlink"/>
            <w:rFonts w:ascii="Calibri" w:hAnsi="Calibri" w:cs="Calibri"/>
            <w:sz w:val="16"/>
            <w:szCs w:val="16"/>
          </w:rPr>
          <w:t xml:space="preserve"> </w:t>
        </w:r>
        <w:r w:rsidRPr="0024629B">
          <w:rPr>
            <w:rStyle w:val="Hyperlink"/>
            <w:rFonts w:ascii="Calibri" w:hAnsi="Calibri" w:cs="Calibri"/>
            <w:sz w:val="16"/>
            <w:szCs w:val="16"/>
          </w:rPr>
          <w:t>2026</w:t>
        </w:r>
      </w:hyperlink>
      <w:r w:rsidRPr="0024629B">
        <w:rPr>
          <w:rFonts w:ascii="Calibri" w:hAnsi="Calibri" w:cs="Calibri"/>
          <w:sz w:val="16"/>
          <w:szCs w:val="16"/>
        </w:rPr>
        <w:t xml:space="preserve"> </w:t>
      </w:r>
    </w:p>
  </w:footnote>
  <w:footnote w:id="9">
    <w:p w14:paraId="48DE54A1" w14:textId="77777777" w:rsidR="00DD579D" w:rsidRDefault="00DD579D" w:rsidP="00DD579D">
      <w:pPr>
        <w:pStyle w:val="Voetnoottekst"/>
      </w:pPr>
      <w:r>
        <w:rPr>
          <w:rStyle w:val="Voetnootmarkering"/>
        </w:rPr>
        <w:footnoteRef/>
      </w:r>
      <w:r w:rsidRPr="00A4563F">
        <w:rPr>
          <w:rFonts w:ascii="Calibri" w:hAnsi="Calibri" w:cs="Calibri"/>
          <w:sz w:val="16"/>
          <w:szCs w:val="16"/>
        </w:rPr>
        <w:t xml:space="preserve"> Zie bijvoorbeeld ‘Eindadvies Team Preventie: Een kwestie van doen!’ (SZW, 2024)  </w:t>
      </w:r>
    </w:p>
  </w:footnote>
  <w:footnote w:id="10">
    <w:p w14:paraId="14617FD4" w14:textId="77777777" w:rsidR="005D15C0" w:rsidRPr="00AB30B4" w:rsidRDefault="005D15C0" w:rsidP="005D15C0">
      <w:pPr>
        <w:pStyle w:val="Voetnoottekst"/>
        <w:rPr>
          <w:rFonts w:ascii="Calibri" w:hAnsi="Calibri" w:cs="Calibri"/>
          <w:sz w:val="18"/>
          <w:szCs w:val="18"/>
        </w:rPr>
      </w:pPr>
      <w:r w:rsidRPr="0024629B">
        <w:rPr>
          <w:rStyle w:val="Voetnootmarkering"/>
          <w:rFonts w:ascii="Calibri" w:hAnsi="Calibri" w:cs="Calibri"/>
          <w:sz w:val="16"/>
          <w:szCs w:val="16"/>
        </w:rPr>
        <w:footnoteRef/>
      </w:r>
      <w:r w:rsidRPr="0024629B">
        <w:rPr>
          <w:rFonts w:ascii="Calibri" w:hAnsi="Calibri" w:cs="Calibri"/>
          <w:sz w:val="16"/>
          <w:szCs w:val="16"/>
        </w:rPr>
        <w:t xml:space="preserve"> Kamerstukken II, 17 050, nr 609; Kamerstukken II, dossier 36 785</w:t>
      </w:r>
    </w:p>
  </w:footnote>
  <w:footnote w:id="11">
    <w:p w14:paraId="7B71AB99" w14:textId="77777777" w:rsidR="003B0331" w:rsidRDefault="003B0331" w:rsidP="003B0331">
      <w:pPr>
        <w:pStyle w:val="Voetnoottekst"/>
      </w:pPr>
      <w:r>
        <w:rPr>
          <w:rStyle w:val="Voetnootmarkering"/>
        </w:rPr>
        <w:footnoteRef/>
      </w:r>
      <w:r>
        <w:t xml:space="preserve"> </w:t>
      </w:r>
      <w:r w:rsidRPr="00965479">
        <w:rPr>
          <w:rFonts w:ascii="Calibri" w:hAnsi="Calibri" w:cs="Calibri"/>
          <w:sz w:val="16"/>
          <w:szCs w:val="16"/>
        </w:rPr>
        <w:t>Kamerstukken II, 36 443</w:t>
      </w:r>
      <w:r>
        <w:t xml:space="preserve"> </w:t>
      </w:r>
    </w:p>
  </w:footnote>
  <w:footnote w:id="12">
    <w:p w14:paraId="52D106A4" w14:textId="77777777" w:rsidR="005D15C0" w:rsidRPr="00965479" w:rsidRDefault="005D15C0" w:rsidP="005D15C0">
      <w:pPr>
        <w:pStyle w:val="Voetnoottekst"/>
        <w:rPr>
          <w:rFonts w:ascii="Calibri" w:hAnsi="Calibri" w:cs="Calibri"/>
          <w:sz w:val="16"/>
          <w:szCs w:val="16"/>
        </w:rPr>
      </w:pPr>
      <w:r w:rsidRPr="00965479">
        <w:rPr>
          <w:rStyle w:val="Voetnootmarkering"/>
        </w:rPr>
        <w:footnoteRef/>
      </w:r>
      <w:r w:rsidRPr="00965479">
        <w:rPr>
          <w:rStyle w:val="Voetnootmarkering"/>
        </w:rPr>
        <w:t xml:space="preserve"> </w:t>
      </w:r>
      <w:hyperlink r:id="rId2" w:history="1">
        <w:r w:rsidRPr="00965479">
          <w:rPr>
            <w:rFonts w:ascii="Calibri" w:hAnsi="Calibri" w:cs="Calibri"/>
            <w:sz w:val="16"/>
            <w:szCs w:val="16"/>
          </w:rPr>
          <w:t>Kamerstukken TK 26 448 nr. 849 kamerbrief routekaart hervormingsagenda inkomensondersteuning</w:t>
        </w:r>
      </w:hyperlink>
      <w:r w:rsidRPr="00965479">
        <w:rPr>
          <w:rFonts w:ascii="Calibri" w:hAnsi="Calibri" w:cs="Calibri"/>
          <w:sz w:val="16"/>
          <w:szCs w:val="16"/>
        </w:rPr>
        <w:t xml:space="preserve"> </w:t>
      </w:r>
    </w:p>
  </w:footnote>
  <w:footnote w:id="13">
    <w:p w14:paraId="37F8975F" w14:textId="77777777" w:rsidR="0053786F" w:rsidRPr="0053786F" w:rsidRDefault="0053786F">
      <w:pPr>
        <w:pStyle w:val="Voetnoottekst"/>
        <w:rPr>
          <w:rFonts w:ascii="Calibri" w:hAnsi="Calibri" w:cs="Calibri"/>
          <w:sz w:val="12"/>
          <w:szCs w:val="12"/>
        </w:rPr>
      </w:pPr>
      <w:r>
        <w:rPr>
          <w:rStyle w:val="Voetnootmarkering"/>
        </w:rPr>
        <w:footnoteRef/>
      </w:r>
      <w:r>
        <w:t xml:space="preserve"> </w:t>
      </w:r>
      <w:r w:rsidRPr="0053786F">
        <w:rPr>
          <w:rFonts w:ascii="Calibri" w:hAnsi="Calibri" w:cs="Calibri"/>
          <w:sz w:val="16"/>
          <w:szCs w:val="16"/>
        </w:rPr>
        <w:t>Samen met de Arbeidsinspectie zal worden bezien welke verhoging passend en evenredig is.</w:t>
      </w:r>
    </w:p>
  </w:footnote>
  <w:footnote w:id="14">
    <w:p w14:paraId="56D3F087" w14:textId="77777777" w:rsidR="006B32CF" w:rsidRPr="009461BD" w:rsidRDefault="006B32CF" w:rsidP="009461BD">
      <w:pPr>
        <w:pStyle w:val="Voetnoottekst"/>
        <w:rPr>
          <w:rFonts w:ascii="Calibri" w:hAnsi="Calibri" w:cs="Calibri"/>
          <w:sz w:val="16"/>
          <w:szCs w:val="16"/>
        </w:rPr>
      </w:pPr>
      <w:r w:rsidRPr="009461BD">
        <w:rPr>
          <w:rStyle w:val="Voetnootmarkering"/>
          <w:rFonts w:ascii="Calibri" w:hAnsi="Calibri" w:cs="Calibri"/>
          <w:sz w:val="16"/>
          <w:szCs w:val="16"/>
        </w:rPr>
        <w:footnoteRef/>
      </w:r>
      <w:r w:rsidRPr="009461BD">
        <w:rPr>
          <w:rFonts w:ascii="Calibri" w:hAnsi="Calibri" w:cs="Calibri"/>
          <w:sz w:val="16"/>
          <w:szCs w:val="16"/>
        </w:rPr>
        <w:t xml:space="preserve"> </w:t>
      </w:r>
      <w:r w:rsidR="00A364AF">
        <w:rPr>
          <w:rFonts w:ascii="Calibri" w:hAnsi="Calibri" w:cs="Calibri"/>
          <w:sz w:val="16"/>
          <w:szCs w:val="16"/>
        </w:rPr>
        <w:t>Het voornemen tot verhoging van de boetes voor Eerlijk Werk is aangekondigd in de kabinetsreactie op</w:t>
      </w:r>
      <w:r w:rsidR="00A364AF" w:rsidRPr="009461BD">
        <w:rPr>
          <w:rFonts w:ascii="Calibri" w:hAnsi="Calibri" w:cs="Calibri"/>
          <w:sz w:val="16"/>
          <w:szCs w:val="16"/>
        </w:rPr>
        <w:t xml:space="preserve"> het verdiepend onderzoek van SEO in opdracht van het ministerie</w:t>
      </w:r>
      <w:r w:rsidR="00A364AF">
        <w:rPr>
          <w:rFonts w:ascii="Calibri" w:hAnsi="Calibri" w:cs="Calibri"/>
          <w:sz w:val="16"/>
          <w:szCs w:val="16"/>
        </w:rPr>
        <w:t>. Zie</w:t>
      </w:r>
      <w:r w:rsidR="00A364AF" w:rsidRPr="009461BD">
        <w:rPr>
          <w:rFonts w:ascii="Calibri" w:hAnsi="Calibri" w:cs="Calibri"/>
          <w:sz w:val="16"/>
          <w:szCs w:val="16"/>
        </w:rPr>
        <w:t>: “</w:t>
      </w:r>
      <w:hyperlink r:id="rId3" w:history="1">
        <w:r w:rsidR="00A364AF" w:rsidRPr="009461BD">
          <w:rPr>
            <w:rStyle w:val="Hyperlink"/>
            <w:rFonts w:ascii="Calibri" w:hAnsi="Calibri" w:cs="Calibri"/>
            <w:sz w:val="16"/>
            <w:szCs w:val="16"/>
          </w:rPr>
          <w:t>Hard waar het moet, zacht waar het kan: de effectiviteit van boeteverhogingen om naleving van arbeidswetten voor eerlijk werk te bevorderen</w:t>
        </w:r>
      </w:hyperlink>
      <w:r w:rsidR="00A364AF" w:rsidRPr="009461BD">
        <w:rPr>
          <w:rFonts w:ascii="Calibri" w:hAnsi="Calibri" w:cs="Calibri"/>
          <w:sz w:val="16"/>
          <w:szCs w:val="16"/>
        </w:rPr>
        <w:t>” April, 2025</w:t>
      </w:r>
      <w:r w:rsidR="00A364AF">
        <w:rPr>
          <w:rFonts w:ascii="Calibri" w:hAnsi="Calibri" w:cs="Calibri"/>
          <w:sz w:val="16"/>
          <w:szCs w:val="16"/>
        </w:rPr>
        <w:t xml:space="preserve"> en </w:t>
      </w:r>
      <w:hyperlink r:id="rId4" w:history="1">
        <w:r w:rsidR="00A364AF">
          <w:rPr>
            <w:rStyle w:val="Hyperlink"/>
            <w:rFonts w:ascii="Calibri" w:hAnsi="Calibri" w:cs="Calibri"/>
            <w:sz w:val="16"/>
            <w:szCs w:val="16"/>
          </w:rPr>
          <w:t>Kabinetsreactie rapport SEO</w:t>
        </w:r>
      </w:hyperlink>
      <w:r w:rsidR="00A364AF">
        <w:rPr>
          <w:rFonts w:ascii="Calibri" w:hAnsi="Calibri" w:cs="Calibri"/>
          <w:sz w:val="16"/>
          <w:szCs w:val="16"/>
        </w:rPr>
        <w:t>.</w:t>
      </w:r>
    </w:p>
  </w:footnote>
  <w:footnote w:id="15">
    <w:p w14:paraId="1BBF3CCB" w14:textId="77777777" w:rsidR="00A364AF" w:rsidRDefault="00A364AF" w:rsidP="00A364AF">
      <w:pPr>
        <w:pStyle w:val="Voetnoottekst"/>
      </w:pPr>
      <w:r w:rsidRPr="00A364AF">
        <w:rPr>
          <w:rStyle w:val="Voetnootmarkering"/>
        </w:rPr>
        <w:footnoteRef/>
      </w:r>
      <w:r w:rsidRPr="00A364AF">
        <w:rPr>
          <w:rStyle w:val="Voetnootmarkering"/>
        </w:rPr>
        <w:t xml:space="preserve"> </w:t>
      </w:r>
      <w:r w:rsidRPr="00F82E6E">
        <w:rPr>
          <w:rFonts w:ascii="Calibri" w:hAnsi="Calibri" w:cs="Calibri"/>
          <w:bCs/>
          <w:sz w:val="16"/>
          <w:szCs w:val="16"/>
        </w:rPr>
        <w:t>Kamerstukken II 2025/2026, 29861, nr. 187</w:t>
      </w:r>
    </w:p>
  </w:footnote>
  <w:footnote w:id="16">
    <w:p w14:paraId="128BF1BE"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Een persoon met expertise op het gebied van traumasensitief werken en </w:t>
      </w:r>
      <w:r w:rsidRPr="00015D62">
        <w:rPr>
          <w:rFonts w:ascii="Calibri" w:hAnsi="Calibri" w:cs="Calibri"/>
          <w:bCs/>
          <w:sz w:val="16"/>
          <w:szCs w:val="16"/>
        </w:rPr>
        <w:t xml:space="preserve">het zijn van een niet-uitkeringsgerechtigde (nugger); naam bij SZW bekend.   </w:t>
      </w:r>
    </w:p>
  </w:footnote>
  <w:footnote w:id="17">
    <w:p w14:paraId="1DC5D021"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w:t>
      </w:r>
      <w:hyperlink r:id="rId5" w:history="1">
        <w:r w:rsidRPr="00015D62">
          <w:rPr>
            <w:rStyle w:val="Hyperlink"/>
            <w:rFonts w:ascii="Calibri" w:hAnsi="Calibri" w:cs="Calibri"/>
            <w:sz w:val="16"/>
            <w:szCs w:val="16"/>
          </w:rPr>
          <w:t>IBO Vereenvoudiging Sociale Zekerheid - Moeilijk makkelijker maken | Rapport | Rijksoverheid.nl</w:t>
        </w:r>
      </w:hyperlink>
    </w:p>
  </w:footnote>
  <w:footnote w:id="18">
    <w:p w14:paraId="48CE4E1D"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Zie Kamerstukken TK nr. 23530-152, bijlage 2 </w:t>
      </w:r>
    </w:p>
  </w:footnote>
  <w:footnote w:id="19">
    <w:p w14:paraId="2D979D5B" w14:textId="77777777" w:rsidR="005D15C0" w:rsidRPr="00015D62" w:rsidRDefault="005D15C0" w:rsidP="005D15C0">
      <w:pPr>
        <w:pStyle w:val="Voetnoottekst"/>
        <w:rPr>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Dit is nu soms niet mogelijk omdat in sommige landen noodzakelijke data niet voorhanden is.</w:t>
      </w:r>
      <w:r w:rsidRPr="00015D62">
        <w:rPr>
          <w:sz w:val="16"/>
          <w:szCs w:val="16"/>
        </w:rPr>
        <w:t xml:space="preserve"> </w:t>
      </w:r>
    </w:p>
  </w:footnote>
  <w:footnote w:id="20">
    <w:p w14:paraId="2C7C7856" w14:textId="77777777" w:rsidR="00192AFC" w:rsidRDefault="00192AFC">
      <w:pPr>
        <w:pStyle w:val="Voetnoottekst"/>
      </w:pPr>
      <w:r>
        <w:rPr>
          <w:rStyle w:val="Voetnootmarkering"/>
        </w:rPr>
        <w:footnoteRef/>
      </w:r>
      <w:r>
        <w:t xml:space="preserve"> </w:t>
      </w:r>
      <w:r w:rsidRPr="00192AFC">
        <w:rPr>
          <w:rFonts w:ascii="Calibri" w:hAnsi="Calibri" w:cs="Calibri"/>
          <w:sz w:val="16"/>
          <w:szCs w:val="16"/>
        </w:rPr>
        <w:t>Parlementaire Enquêtecommissie Fraudebeleid en Dienstverlening (2024</w:t>
      </w:r>
      <w:r w:rsidRPr="00192AFC">
        <w:rPr>
          <w:rFonts w:ascii="Calibri" w:hAnsi="Calibri" w:cs="Calibri"/>
          <w:i/>
          <w:iCs/>
          <w:sz w:val="16"/>
          <w:szCs w:val="16"/>
        </w:rPr>
        <w:t>) Blind voor mens en recht</w:t>
      </w:r>
      <w:r w:rsidRPr="00192AFC">
        <w:rPr>
          <w:rFonts w:ascii="Calibri" w:hAnsi="Calibri" w:cs="Calibri"/>
          <w:sz w:val="16"/>
          <w:szCs w:val="16"/>
        </w:rPr>
        <w:t xml:space="preserve">. </w:t>
      </w:r>
    </w:p>
  </w:footnote>
  <w:footnote w:id="21">
    <w:p w14:paraId="3E2151A3" w14:textId="77777777" w:rsidR="00A364AF" w:rsidRDefault="00A364AF">
      <w:pPr>
        <w:pStyle w:val="Voetnoottekst"/>
      </w:pPr>
      <w:r>
        <w:rPr>
          <w:rStyle w:val="Voetnootmarkering"/>
        </w:rPr>
        <w:footnoteRef/>
      </w:r>
      <w:r>
        <w:t xml:space="preserve"> </w:t>
      </w:r>
      <w:r w:rsidRPr="00A364AF">
        <w:rPr>
          <w:rFonts w:ascii="Calibri" w:hAnsi="Calibri" w:cs="Calibri"/>
          <w:sz w:val="16"/>
          <w:szCs w:val="16"/>
        </w:rPr>
        <w:t>Zie hierover nader: Kamerbrief ‘Voortgang werkagenda SUWI’, paragraaf Modernisering grondslagen Kamer</w:t>
      </w:r>
      <w:r>
        <w:rPr>
          <w:rFonts w:ascii="Calibri" w:hAnsi="Calibri" w:cs="Calibri"/>
          <w:sz w:val="16"/>
          <w:szCs w:val="16"/>
        </w:rPr>
        <w:t>stukken II,</w:t>
      </w:r>
      <w:r w:rsidRPr="00A364AF">
        <w:rPr>
          <w:rFonts w:ascii="Calibri" w:hAnsi="Calibri" w:cs="Calibri"/>
          <w:sz w:val="16"/>
          <w:szCs w:val="16"/>
        </w:rPr>
        <w:t xml:space="preserve"> 26 448, nr. 796</w:t>
      </w:r>
      <w:r>
        <w:rPr>
          <w:rFonts w:ascii="Calibri" w:hAnsi="Calibri" w:cs="Calibri"/>
          <w:sz w:val="16"/>
          <w:szCs w:val="16"/>
        </w:rPr>
        <w:t xml:space="preserve">. </w:t>
      </w:r>
    </w:p>
  </w:footnote>
  <w:footnote w:id="22">
    <w:p w14:paraId="1F459E41"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Zie bijvoorbeeld </w:t>
      </w:r>
      <w:hyperlink r:id="rId6" w:history="1">
        <w:r w:rsidRPr="00015D62">
          <w:rPr>
            <w:rStyle w:val="Hyperlink"/>
            <w:rFonts w:ascii="Calibri" w:hAnsi="Calibri" w:cs="Calibri"/>
            <w:sz w:val="16"/>
            <w:szCs w:val="16"/>
          </w:rPr>
          <w:t>Algoritmekader BZK</w:t>
        </w:r>
      </w:hyperlink>
      <w:r w:rsidRPr="00015D62">
        <w:rPr>
          <w:rFonts w:ascii="Calibri" w:hAnsi="Calibri" w:cs="Calibri"/>
          <w:sz w:val="16"/>
          <w:szCs w:val="16"/>
        </w:rPr>
        <w:t xml:space="preserve"> </w:t>
      </w:r>
    </w:p>
  </w:footnote>
  <w:footnote w:id="23">
    <w:p w14:paraId="4CD4D464"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w:t>
      </w:r>
      <w:hyperlink r:id="rId7" w:history="1">
        <w:r w:rsidRPr="00015D62">
          <w:rPr>
            <w:rStyle w:val="Hyperlink"/>
            <w:rFonts w:ascii="Calibri" w:hAnsi="Calibri" w:cs="Calibri"/>
            <w:sz w:val="16"/>
            <w:szCs w:val="16"/>
          </w:rPr>
          <w:t>WRR rapport nr. 105</w:t>
        </w:r>
      </w:hyperlink>
      <w:r w:rsidRPr="00015D62">
        <w:rPr>
          <w:rFonts w:ascii="Calibri" w:hAnsi="Calibri" w:cs="Calibri"/>
          <w:sz w:val="16"/>
          <w:szCs w:val="16"/>
        </w:rPr>
        <w:t xml:space="preserve">; </w:t>
      </w:r>
      <w:hyperlink r:id="rId8" w:history="1">
        <w:r w:rsidRPr="00015D62">
          <w:rPr>
            <w:rStyle w:val="Hyperlink"/>
            <w:rFonts w:ascii="Calibri" w:hAnsi="Calibri" w:cs="Calibri"/>
            <w:sz w:val="16"/>
            <w:szCs w:val="16"/>
          </w:rPr>
          <w:t>TNO Overheidsbrede monitor GenAI</w:t>
        </w:r>
      </w:hyperlink>
      <w:r w:rsidRPr="00015D62">
        <w:rPr>
          <w:rFonts w:ascii="Calibri" w:hAnsi="Calibri" w:cs="Calibri"/>
          <w:sz w:val="16"/>
          <w:szCs w:val="16"/>
        </w:rPr>
        <w:t xml:space="preserve"> 2025</w:t>
      </w:r>
    </w:p>
  </w:footnote>
  <w:footnote w:id="24">
    <w:p w14:paraId="1BE4E3B0" w14:textId="77777777" w:rsidR="005D15C0" w:rsidRPr="00015D62" w:rsidRDefault="005D15C0" w:rsidP="005D15C0">
      <w:pPr>
        <w:pStyle w:val="Voetnoottekst"/>
        <w:rPr>
          <w:rFonts w:ascii="Calibri" w:hAnsi="Calibri" w:cs="Calibri"/>
          <w:sz w:val="16"/>
          <w:szCs w:val="16"/>
        </w:rPr>
      </w:pPr>
      <w:r w:rsidRPr="00015D62">
        <w:rPr>
          <w:rStyle w:val="Voetnootmarkering"/>
          <w:rFonts w:ascii="Calibri" w:hAnsi="Calibri" w:cs="Calibri"/>
          <w:sz w:val="16"/>
          <w:szCs w:val="16"/>
        </w:rPr>
        <w:footnoteRef/>
      </w:r>
      <w:r w:rsidRPr="00015D62">
        <w:rPr>
          <w:rFonts w:ascii="Calibri" w:hAnsi="Calibri" w:cs="Calibri"/>
          <w:sz w:val="16"/>
          <w:szCs w:val="16"/>
        </w:rPr>
        <w:t xml:space="preserve"> Daarom is het belangrijk hierbij het belang van de inlichtingenplicht en meewerkplicht voor </w:t>
      </w:r>
      <w:r w:rsidR="00E36D2A">
        <w:rPr>
          <w:rFonts w:ascii="Calibri" w:hAnsi="Calibri" w:cs="Calibri"/>
          <w:sz w:val="16"/>
          <w:szCs w:val="16"/>
        </w:rPr>
        <w:t>mensen</w:t>
      </w:r>
      <w:r w:rsidRPr="00015D62">
        <w:rPr>
          <w:rFonts w:ascii="Calibri" w:hAnsi="Calibri" w:cs="Calibri"/>
          <w:sz w:val="16"/>
          <w:szCs w:val="16"/>
        </w:rPr>
        <w:t xml:space="preserve"> en bedrijven te onderstrepen. </w:t>
      </w:r>
    </w:p>
  </w:footnote>
  <w:footnote w:id="25">
    <w:p w14:paraId="36FF84DF" w14:textId="77777777" w:rsidR="005D15C0" w:rsidRPr="00AB30B4" w:rsidRDefault="005D15C0" w:rsidP="005D15C0">
      <w:pPr>
        <w:pStyle w:val="Voetnoottekst"/>
        <w:rPr>
          <w:rFonts w:ascii="Calibri" w:hAnsi="Calibri" w:cs="Calibri"/>
          <w:sz w:val="18"/>
          <w:szCs w:val="18"/>
        </w:rPr>
      </w:pPr>
      <w:r w:rsidRPr="00015D62">
        <w:rPr>
          <w:rStyle w:val="Voetnootmarkering"/>
          <w:rFonts w:ascii="Calibri" w:hAnsi="Calibri" w:cs="Calibri"/>
          <w:sz w:val="16"/>
          <w:szCs w:val="16"/>
        </w:rPr>
        <w:footnoteRef/>
      </w:r>
      <w:r w:rsidRPr="00015D62">
        <w:rPr>
          <w:rFonts w:ascii="Calibri" w:hAnsi="Calibri" w:cs="Calibri"/>
          <w:sz w:val="16"/>
          <w:szCs w:val="16"/>
        </w:rPr>
        <w:t xml:space="preserve"> </w:t>
      </w:r>
      <w:hyperlink r:id="rId9" w:history="1">
        <w:r w:rsidRPr="00015D62">
          <w:rPr>
            <w:rStyle w:val="Hyperlink"/>
            <w:rFonts w:ascii="Calibri" w:hAnsi="Calibri" w:cs="Calibri"/>
            <w:sz w:val="16"/>
            <w:szCs w:val="16"/>
          </w:rPr>
          <w:t>Impact Assessment Mensenrechten en Algoritmes | Rapport | Rijksoverheid.nl</w:t>
        </w:r>
      </w:hyperlink>
    </w:p>
  </w:footnote>
  <w:footnote w:id="26">
    <w:p w14:paraId="03991FC1" w14:textId="77777777" w:rsidR="006B32CF" w:rsidRDefault="006B32CF">
      <w:pPr>
        <w:pStyle w:val="Voetnoottekst"/>
      </w:pPr>
      <w:r>
        <w:rPr>
          <w:rStyle w:val="Voetnootmarkering"/>
        </w:rPr>
        <w:footnoteRef/>
      </w:r>
      <w:r>
        <w:t xml:space="preserve"> </w:t>
      </w:r>
      <w:r w:rsidRPr="006B32CF">
        <w:rPr>
          <w:rFonts w:ascii="Calibri" w:hAnsi="Calibri" w:cs="Calibri"/>
          <w:sz w:val="16"/>
          <w:szCs w:val="16"/>
        </w:rPr>
        <w:t>Graag wordt verwezen naar de operationele aanbevelingen uit een traject van de VAR ‘Bestuursrecht Beter’</w:t>
      </w:r>
      <w:r>
        <w:t xml:space="preserve"> </w:t>
      </w:r>
      <w:hyperlink r:id="rId10" w:history="1">
        <w:r w:rsidRPr="006B32CF">
          <w:rPr>
            <w:rStyle w:val="Hyperlink"/>
            <w:rFonts w:ascii="Calibri" w:hAnsi="Calibri" w:cs="Calibri"/>
            <w:sz w:val="16"/>
            <w:szCs w:val="16"/>
          </w:rPr>
          <w:t>VAR Handvest overheid burger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A40" w14:textId="77777777" w:rsidR="00C307C7" w:rsidRDefault="00C307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9D94" w14:textId="77777777" w:rsidR="00ED7FEA" w:rsidRDefault="0098458A">
    <w:r>
      <w:rPr>
        <w:noProof/>
      </w:rPr>
      <mc:AlternateContent>
        <mc:Choice Requires="wps">
          <w:drawing>
            <wp:anchor distT="0" distB="0" distL="0" distR="0" simplePos="0" relativeHeight="251654144" behindDoc="0" locked="1" layoutInCell="1" allowOverlap="1" wp14:anchorId="197D8CD6" wp14:editId="0090AEE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69C90AB" w14:textId="77777777" w:rsidR="00ED7FEA" w:rsidRDefault="00ED7FEA">
                          <w:pPr>
                            <w:pStyle w:val="WitregelW2"/>
                          </w:pPr>
                        </w:p>
                        <w:p w14:paraId="5F66B3EE" w14:textId="77777777" w:rsidR="00ED7FEA" w:rsidRDefault="0098458A">
                          <w:pPr>
                            <w:pStyle w:val="Referentiegegevenskopjes"/>
                          </w:pPr>
                          <w:r>
                            <w:t>Datum</w:t>
                          </w:r>
                        </w:p>
                        <w:p w14:paraId="02119A11" w14:textId="264A1191" w:rsidR="00695089" w:rsidRDefault="00791F8C">
                          <w:pPr>
                            <w:pStyle w:val="Referentiegegevens"/>
                          </w:pPr>
                          <w:r>
                            <w:t>1 april 2026</w:t>
                          </w:r>
                          <w:r w:rsidR="00EB569F">
                            <w:fldChar w:fldCharType="begin"/>
                          </w:r>
                          <w:r w:rsidR="00EB569F">
                            <w:instrText xml:space="preserve"> DOCPROPERTY  "iDatum"  \* MERGEFORMAT </w:instrText>
                          </w:r>
                          <w:r w:rsidR="00EB569F">
                            <w:fldChar w:fldCharType="end"/>
                          </w:r>
                        </w:p>
                        <w:p w14:paraId="7850212A" w14:textId="77777777" w:rsidR="00ED7FEA" w:rsidRDefault="00ED7FEA">
                          <w:pPr>
                            <w:pStyle w:val="WitregelW1"/>
                          </w:pPr>
                        </w:p>
                        <w:p w14:paraId="351541CB" w14:textId="77777777" w:rsidR="00ED7FEA" w:rsidRDefault="0098458A">
                          <w:pPr>
                            <w:pStyle w:val="Referentiegegevenskopjes"/>
                          </w:pPr>
                          <w:r>
                            <w:t>Onze referentie</w:t>
                          </w:r>
                        </w:p>
                        <w:p w14:paraId="0B89EB21" w14:textId="04D8A817" w:rsidR="00B01EF5" w:rsidRDefault="00C307C7">
                          <w:pPr>
                            <w:pStyle w:val="ReferentiegegevensHL"/>
                          </w:pPr>
                          <w:fldSimple w:instr=" DOCPROPERTY  &quot;iOnsKenmerk&quot;  \* MERGEFORMAT ">
                            <w:r w:rsidR="00EB569F">
                              <w:t>2026-0000080404</w:t>
                            </w:r>
                          </w:fldSimple>
                        </w:p>
                      </w:txbxContent>
                    </wps:txbx>
                    <wps:bodyPr vert="horz" wrap="square" lIns="0" tIns="0" rIns="0" bIns="0" anchor="t" anchorCtr="0"/>
                  </wps:wsp>
                </a:graphicData>
              </a:graphic>
            </wp:anchor>
          </w:drawing>
        </mc:Choice>
        <mc:Fallback>
          <w:pict>
            <v:shapetype w14:anchorId="197D8CD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69C90AB" w14:textId="77777777" w:rsidR="00ED7FEA" w:rsidRDefault="00ED7FEA">
                    <w:pPr>
                      <w:pStyle w:val="WitregelW2"/>
                    </w:pPr>
                  </w:p>
                  <w:p w14:paraId="5F66B3EE" w14:textId="77777777" w:rsidR="00ED7FEA" w:rsidRDefault="0098458A">
                    <w:pPr>
                      <w:pStyle w:val="Referentiegegevenskopjes"/>
                    </w:pPr>
                    <w:r>
                      <w:t>Datum</w:t>
                    </w:r>
                  </w:p>
                  <w:p w14:paraId="02119A11" w14:textId="264A1191" w:rsidR="00695089" w:rsidRDefault="00791F8C">
                    <w:pPr>
                      <w:pStyle w:val="Referentiegegevens"/>
                    </w:pPr>
                    <w:r>
                      <w:t>1 april 2026</w:t>
                    </w:r>
                    <w:r w:rsidR="00EB569F">
                      <w:fldChar w:fldCharType="begin"/>
                    </w:r>
                    <w:r w:rsidR="00EB569F">
                      <w:instrText xml:space="preserve"> DOCPROPERTY  "iDatum"  \* MERGEFORMAT </w:instrText>
                    </w:r>
                    <w:r w:rsidR="00EB569F">
                      <w:fldChar w:fldCharType="end"/>
                    </w:r>
                  </w:p>
                  <w:p w14:paraId="7850212A" w14:textId="77777777" w:rsidR="00ED7FEA" w:rsidRDefault="00ED7FEA">
                    <w:pPr>
                      <w:pStyle w:val="WitregelW1"/>
                    </w:pPr>
                  </w:p>
                  <w:p w14:paraId="351541CB" w14:textId="77777777" w:rsidR="00ED7FEA" w:rsidRDefault="0098458A">
                    <w:pPr>
                      <w:pStyle w:val="Referentiegegevenskopjes"/>
                    </w:pPr>
                    <w:r>
                      <w:t>Onze referentie</w:t>
                    </w:r>
                  </w:p>
                  <w:p w14:paraId="0B89EB21" w14:textId="04D8A817" w:rsidR="00B01EF5" w:rsidRDefault="00C307C7">
                    <w:pPr>
                      <w:pStyle w:val="ReferentiegegevensHL"/>
                    </w:pPr>
                    <w:fldSimple w:instr=" DOCPROPERTY  &quot;iOnsKenmerk&quot;  \* MERGEFORMAT ">
                      <w:r w:rsidR="00EB569F">
                        <w:t>2026-0000080404</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993BB59" wp14:editId="43872BD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A55A2F" w14:textId="77777777" w:rsidR="00695089" w:rsidRDefault="00EB56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93BB5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A55A2F" w14:textId="77777777" w:rsidR="00695089" w:rsidRDefault="00EB56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974C" w14:textId="77777777" w:rsidR="00ED7FEA" w:rsidRDefault="0098458A">
    <w:pPr>
      <w:spacing w:after="7029" w:line="14" w:lineRule="exact"/>
    </w:pPr>
    <w:r>
      <w:rPr>
        <w:noProof/>
      </w:rPr>
      <mc:AlternateContent>
        <mc:Choice Requires="wps">
          <w:drawing>
            <wp:anchor distT="0" distB="0" distL="0" distR="0" simplePos="0" relativeHeight="251656192" behindDoc="0" locked="1" layoutInCell="1" allowOverlap="1" wp14:anchorId="33A98244" wp14:editId="08F7362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708D3A" w14:textId="77777777" w:rsidR="00ED7FEA" w:rsidRDefault="0098458A">
                          <w:pPr>
                            <w:spacing w:line="240" w:lineRule="auto"/>
                          </w:pPr>
                          <w:r>
                            <w:rPr>
                              <w:noProof/>
                            </w:rPr>
                            <w:drawing>
                              <wp:inline distT="0" distB="0" distL="0" distR="0" wp14:anchorId="4D9B6150" wp14:editId="5CF12BBA">
                                <wp:extent cx="2339975" cy="1582834"/>
                                <wp:effectExtent l="0" t="0" r="0" b="0"/>
                                <wp:docPr id="1811799718"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A9824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7708D3A" w14:textId="77777777" w:rsidR="00ED7FEA" w:rsidRDefault="0098458A">
                    <w:pPr>
                      <w:spacing w:line="240" w:lineRule="auto"/>
                    </w:pPr>
                    <w:r>
                      <w:rPr>
                        <w:noProof/>
                      </w:rPr>
                      <w:drawing>
                        <wp:inline distT="0" distB="0" distL="0" distR="0" wp14:anchorId="4D9B6150" wp14:editId="5CF12BBA">
                          <wp:extent cx="2339975" cy="1582834"/>
                          <wp:effectExtent l="0" t="0" r="0" b="0"/>
                          <wp:docPr id="1811799718"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E57300" wp14:editId="1379920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8F9A80" w14:textId="77777777" w:rsidR="00ED7FEA" w:rsidRDefault="00ED7FEA">
                          <w:pPr>
                            <w:pStyle w:val="WitregelW1"/>
                          </w:pPr>
                        </w:p>
                        <w:p w14:paraId="17270EF2" w14:textId="77777777" w:rsidR="00ED7FEA" w:rsidRPr="00AB30B4" w:rsidRDefault="0098458A">
                          <w:pPr>
                            <w:pStyle w:val="Afzendgegevens"/>
                            <w:rPr>
                              <w:lang w:val="de-DE"/>
                            </w:rPr>
                          </w:pPr>
                          <w:r w:rsidRPr="00AB30B4">
                            <w:rPr>
                              <w:lang w:val="de-DE"/>
                            </w:rPr>
                            <w:t>Postbus 90801</w:t>
                          </w:r>
                        </w:p>
                        <w:p w14:paraId="507529B6" w14:textId="77777777" w:rsidR="00ED7FEA" w:rsidRPr="00AB30B4" w:rsidRDefault="0098458A">
                          <w:pPr>
                            <w:pStyle w:val="Afzendgegevens"/>
                            <w:rPr>
                              <w:lang w:val="de-DE"/>
                            </w:rPr>
                          </w:pPr>
                          <w:r w:rsidRPr="00AB30B4">
                            <w:rPr>
                              <w:lang w:val="de-DE"/>
                            </w:rPr>
                            <w:t xml:space="preserve">2509 </w:t>
                          </w:r>
                          <w:r w:rsidR="00BF60A6" w:rsidRPr="00AB30B4">
                            <w:rPr>
                              <w:lang w:val="de-DE"/>
                            </w:rPr>
                            <w:t>LV Den</w:t>
                          </w:r>
                          <w:r w:rsidRPr="00AB30B4">
                            <w:rPr>
                              <w:lang w:val="de-DE"/>
                            </w:rPr>
                            <w:t xml:space="preserve"> Haag</w:t>
                          </w:r>
                        </w:p>
                        <w:p w14:paraId="39CE161E" w14:textId="77777777" w:rsidR="00ED7FEA" w:rsidRPr="00AB30B4" w:rsidRDefault="0098458A">
                          <w:pPr>
                            <w:pStyle w:val="Afzendgegevens"/>
                            <w:rPr>
                              <w:lang w:val="de-DE"/>
                            </w:rPr>
                          </w:pPr>
                          <w:r w:rsidRPr="00AB30B4">
                            <w:rPr>
                              <w:lang w:val="de-DE"/>
                            </w:rPr>
                            <w:t>T   070 333 44 44</w:t>
                          </w:r>
                        </w:p>
                        <w:p w14:paraId="32333F10" w14:textId="77777777" w:rsidR="00ED7FEA" w:rsidRPr="00AB30B4" w:rsidRDefault="00ED7FEA">
                          <w:pPr>
                            <w:pStyle w:val="WitregelW2"/>
                            <w:rPr>
                              <w:lang w:val="de-DE"/>
                            </w:rPr>
                          </w:pPr>
                        </w:p>
                        <w:p w14:paraId="73070B32" w14:textId="77777777" w:rsidR="00ED7FEA" w:rsidRDefault="0098458A">
                          <w:pPr>
                            <w:pStyle w:val="Referentiegegevenskopjes"/>
                          </w:pPr>
                          <w:r>
                            <w:t>Onze referentie</w:t>
                          </w:r>
                        </w:p>
                        <w:p w14:paraId="70457AD1" w14:textId="6CBDEECC" w:rsidR="00B01EF5" w:rsidRDefault="00C307C7">
                          <w:pPr>
                            <w:pStyle w:val="ReferentiegegevensHL"/>
                          </w:pPr>
                          <w:fldSimple w:instr=" DOCPROPERTY  &quot;iOnsKenmerk&quot;  \* MERGEFORMAT ">
                            <w:r w:rsidR="00EB569F">
                              <w:t>2026-0000080404</w:t>
                            </w:r>
                          </w:fldSimple>
                        </w:p>
                        <w:p w14:paraId="3485954B" w14:textId="77777777" w:rsidR="00ED7FEA" w:rsidRDefault="00ED7FEA">
                          <w:pPr>
                            <w:pStyle w:val="WitregelW1"/>
                          </w:pPr>
                        </w:p>
                        <w:p w14:paraId="03BD3158" w14:textId="19EEF30C" w:rsidR="00695089" w:rsidRDefault="00EB569F">
                          <w:pPr>
                            <w:pStyle w:val="Referentiegegevens"/>
                          </w:pPr>
                          <w:r>
                            <w:fldChar w:fldCharType="begin"/>
                          </w:r>
                          <w:r>
                            <w:instrText xml:space="preserve"> DOCPROPERTY  "iCC"  \* MERGEFORMAT </w:instrText>
                          </w:r>
                          <w:r>
                            <w:fldChar w:fldCharType="end"/>
                          </w:r>
                        </w:p>
                        <w:p w14:paraId="0C1AC14F" w14:textId="77777777" w:rsidR="00ED7FEA" w:rsidRDefault="00ED7FEA">
                          <w:pPr>
                            <w:pStyle w:val="WitregelW1"/>
                          </w:pPr>
                        </w:p>
                        <w:p w14:paraId="797699FC" w14:textId="2C1A9137" w:rsidR="00695089" w:rsidRDefault="00EB569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EE5730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8F9A80" w14:textId="77777777" w:rsidR="00ED7FEA" w:rsidRDefault="00ED7FEA">
                    <w:pPr>
                      <w:pStyle w:val="WitregelW1"/>
                    </w:pPr>
                  </w:p>
                  <w:p w14:paraId="17270EF2" w14:textId="77777777" w:rsidR="00ED7FEA" w:rsidRPr="00AB30B4" w:rsidRDefault="0098458A">
                    <w:pPr>
                      <w:pStyle w:val="Afzendgegevens"/>
                      <w:rPr>
                        <w:lang w:val="de-DE"/>
                      </w:rPr>
                    </w:pPr>
                    <w:r w:rsidRPr="00AB30B4">
                      <w:rPr>
                        <w:lang w:val="de-DE"/>
                      </w:rPr>
                      <w:t>Postbus 90801</w:t>
                    </w:r>
                  </w:p>
                  <w:p w14:paraId="507529B6" w14:textId="77777777" w:rsidR="00ED7FEA" w:rsidRPr="00AB30B4" w:rsidRDefault="0098458A">
                    <w:pPr>
                      <w:pStyle w:val="Afzendgegevens"/>
                      <w:rPr>
                        <w:lang w:val="de-DE"/>
                      </w:rPr>
                    </w:pPr>
                    <w:r w:rsidRPr="00AB30B4">
                      <w:rPr>
                        <w:lang w:val="de-DE"/>
                      </w:rPr>
                      <w:t xml:space="preserve">2509 </w:t>
                    </w:r>
                    <w:r w:rsidR="00BF60A6" w:rsidRPr="00AB30B4">
                      <w:rPr>
                        <w:lang w:val="de-DE"/>
                      </w:rPr>
                      <w:t>LV Den</w:t>
                    </w:r>
                    <w:r w:rsidRPr="00AB30B4">
                      <w:rPr>
                        <w:lang w:val="de-DE"/>
                      </w:rPr>
                      <w:t xml:space="preserve"> Haag</w:t>
                    </w:r>
                  </w:p>
                  <w:p w14:paraId="39CE161E" w14:textId="77777777" w:rsidR="00ED7FEA" w:rsidRPr="00AB30B4" w:rsidRDefault="0098458A">
                    <w:pPr>
                      <w:pStyle w:val="Afzendgegevens"/>
                      <w:rPr>
                        <w:lang w:val="de-DE"/>
                      </w:rPr>
                    </w:pPr>
                    <w:r w:rsidRPr="00AB30B4">
                      <w:rPr>
                        <w:lang w:val="de-DE"/>
                      </w:rPr>
                      <w:t>T   070 333 44 44</w:t>
                    </w:r>
                  </w:p>
                  <w:p w14:paraId="32333F10" w14:textId="77777777" w:rsidR="00ED7FEA" w:rsidRPr="00AB30B4" w:rsidRDefault="00ED7FEA">
                    <w:pPr>
                      <w:pStyle w:val="WitregelW2"/>
                      <w:rPr>
                        <w:lang w:val="de-DE"/>
                      </w:rPr>
                    </w:pPr>
                  </w:p>
                  <w:p w14:paraId="73070B32" w14:textId="77777777" w:rsidR="00ED7FEA" w:rsidRDefault="0098458A">
                    <w:pPr>
                      <w:pStyle w:val="Referentiegegevenskopjes"/>
                    </w:pPr>
                    <w:r>
                      <w:t>Onze referentie</w:t>
                    </w:r>
                  </w:p>
                  <w:p w14:paraId="70457AD1" w14:textId="6CBDEECC" w:rsidR="00B01EF5" w:rsidRDefault="00C307C7">
                    <w:pPr>
                      <w:pStyle w:val="ReferentiegegevensHL"/>
                    </w:pPr>
                    <w:fldSimple w:instr=" DOCPROPERTY  &quot;iOnsKenmerk&quot;  \* MERGEFORMAT ">
                      <w:r w:rsidR="00EB569F">
                        <w:t>2026-0000080404</w:t>
                      </w:r>
                    </w:fldSimple>
                  </w:p>
                  <w:p w14:paraId="3485954B" w14:textId="77777777" w:rsidR="00ED7FEA" w:rsidRDefault="00ED7FEA">
                    <w:pPr>
                      <w:pStyle w:val="WitregelW1"/>
                    </w:pPr>
                  </w:p>
                  <w:p w14:paraId="03BD3158" w14:textId="19EEF30C" w:rsidR="00695089" w:rsidRDefault="00EB569F">
                    <w:pPr>
                      <w:pStyle w:val="Referentiegegevens"/>
                    </w:pPr>
                    <w:r>
                      <w:fldChar w:fldCharType="begin"/>
                    </w:r>
                    <w:r>
                      <w:instrText xml:space="preserve"> DOCPROPERTY  "iCC"  \* MERGEFORMAT </w:instrText>
                    </w:r>
                    <w:r>
                      <w:fldChar w:fldCharType="end"/>
                    </w:r>
                  </w:p>
                  <w:p w14:paraId="0C1AC14F" w14:textId="77777777" w:rsidR="00ED7FEA" w:rsidRDefault="00ED7FEA">
                    <w:pPr>
                      <w:pStyle w:val="WitregelW1"/>
                    </w:pPr>
                  </w:p>
                  <w:p w14:paraId="797699FC" w14:textId="2C1A9137" w:rsidR="00695089" w:rsidRDefault="00EB569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E30362" wp14:editId="5505AA5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943B9A" w14:textId="77777777" w:rsidR="00ED7FEA" w:rsidRDefault="0098458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0A1B15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61E26A5" w14:textId="77777777" w:rsidR="00ED7FEA" w:rsidRDefault="0098458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644FA7" wp14:editId="04508C2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98EA847" w14:textId="77777777" w:rsidR="00ED7FEA" w:rsidRDefault="0098458A">
                          <w:r>
                            <w:t>De voorzitter van de Tweede Kamer der Staten-Generaal</w:t>
                          </w:r>
                        </w:p>
                        <w:p w14:paraId="40DA6689" w14:textId="78D9963F" w:rsidR="00ED7FEA" w:rsidRDefault="002C37CD">
                          <w:r>
                            <w:t>Postbus 20018</w:t>
                          </w:r>
                        </w:p>
                        <w:p w14:paraId="159C7F32" w14:textId="76E45E78" w:rsidR="00ED7FEA" w:rsidRDefault="002C37CD">
                          <w:r>
                            <w:t>2500 EA</w:t>
                          </w:r>
                          <w:r w:rsidR="0098458A">
                            <w:t xml:space="preserve"> Den Haag</w:t>
                          </w:r>
                        </w:p>
                        <w:p w14:paraId="2FC86A72" w14:textId="77777777" w:rsidR="00ED7FEA" w:rsidRDefault="0098458A">
                          <w:pPr>
                            <w:pStyle w:val="KixCode"/>
                          </w:pPr>
                          <w:r>
                            <w:t>2595 BD6</w:t>
                          </w:r>
                        </w:p>
                      </w:txbxContent>
                    </wps:txbx>
                    <wps:bodyPr vert="horz" wrap="square" lIns="0" tIns="0" rIns="0" bIns="0" anchor="t" anchorCtr="0"/>
                  </wps:wsp>
                </a:graphicData>
              </a:graphic>
            </wp:anchor>
          </w:drawing>
        </mc:Choice>
        <mc:Fallback>
          <w:pict>
            <v:shape w14:anchorId="55644FA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98EA847" w14:textId="77777777" w:rsidR="00ED7FEA" w:rsidRDefault="0098458A">
                    <w:r>
                      <w:t>De voorzitter van de Tweede Kamer der Staten-Generaal</w:t>
                    </w:r>
                  </w:p>
                  <w:p w14:paraId="40DA6689" w14:textId="78D9963F" w:rsidR="00ED7FEA" w:rsidRDefault="002C37CD">
                    <w:r>
                      <w:t>Postbus 20018</w:t>
                    </w:r>
                  </w:p>
                  <w:p w14:paraId="159C7F32" w14:textId="76E45E78" w:rsidR="00ED7FEA" w:rsidRDefault="002C37CD">
                    <w:r>
                      <w:t>2500 EA</w:t>
                    </w:r>
                    <w:r w:rsidR="0098458A">
                      <w:t xml:space="preserve"> Den Haag</w:t>
                    </w:r>
                  </w:p>
                  <w:p w14:paraId="2FC86A72" w14:textId="77777777" w:rsidR="00ED7FEA" w:rsidRDefault="0098458A">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1E0093" wp14:editId="1708CEA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D7FEA" w14:paraId="0C44350B" w14:textId="77777777">
                            <w:trPr>
                              <w:trHeight w:val="200"/>
                            </w:trPr>
                            <w:tc>
                              <w:tcPr>
                                <w:tcW w:w="1134" w:type="dxa"/>
                              </w:tcPr>
                              <w:p w14:paraId="750273D2" w14:textId="77777777" w:rsidR="00ED7FEA" w:rsidRDefault="00ED7FEA"/>
                            </w:tc>
                            <w:tc>
                              <w:tcPr>
                                <w:tcW w:w="5244" w:type="dxa"/>
                              </w:tcPr>
                              <w:p w14:paraId="7A222DCE" w14:textId="77777777" w:rsidR="00ED7FEA" w:rsidRDefault="00ED7FEA"/>
                            </w:tc>
                          </w:tr>
                          <w:tr w:rsidR="00ED7FEA" w14:paraId="71E20593" w14:textId="77777777">
                            <w:trPr>
                              <w:trHeight w:val="240"/>
                            </w:trPr>
                            <w:tc>
                              <w:tcPr>
                                <w:tcW w:w="1134" w:type="dxa"/>
                              </w:tcPr>
                              <w:p w14:paraId="2FB3AE8E" w14:textId="77777777" w:rsidR="00ED7FEA" w:rsidRDefault="0098458A">
                                <w:r>
                                  <w:t>Datum</w:t>
                                </w:r>
                              </w:p>
                            </w:tc>
                            <w:tc>
                              <w:tcPr>
                                <w:tcW w:w="5244" w:type="dxa"/>
                              </w:tcPr>
                              <w:p w14:paraId="1B3C42F9" w14:textId="7BCD3023" w:rsidR="00695089" w:rsidRDefault="00791F8C">
                                <w:r>
                                  <w:t>1 april 2026</w:t>
                                </w:r>
                                <w:r w:rsidR="00EB569F">
                                  <w:fldChar w:fldCharType="begin"/>
                                </w:r>
                                <w:r w:rsidR="00EB569F">
                                  <w:instrText xml:space="preserve"> DOCPROPERTY  "iDatum"  \* MERGEFORMAT </w:instrText>
                                </w:r>
                                <w:r w:rsidR="00EB569F">
                                  <w:fldChar w:fldCharType="end"/>
                                </w:r>
                              </w:p>
                            </w:tc>
                          </w:tr>
                          <w:tr w:rsidR="00ED7FEA" w14:paraId="6E5EDDF3" w14:textId="77777777">
                            <w:trPr>
                              <w:trHeight w:val="240"/>
                            </w:trPr>
                            <w:tc>
                              <w:tcPr>
                                <w:tcW w:w="1134" w:type="dxa"/>
                              </w:tcPr>
                              <w:p w14:paraId="06FCBE4F" w14:textId="77777777" w:rsidR="00ED7FEA" w:rsidRDefault="0098458A">
                                <w:r>
                                  <w:t>Betreft</w:t>
                                </w:r>
                              </w:p>
                            </w:tc>
                            <w:tc>
                              <w:tcPr>
                                <w:tcW w:w="5244" w:type="dxa"/>
                              </w:tcPr>
                              <w:p w14:paraId="291D9160" w14:textId="24A6951B" w:rsidR="00B01EF5" w:rsidRDefault="00C307C7">
                                <w:fldSimple w:instr=" DOCPROPERTY  &quot;iOnderwerp&quot;  \* MERGEFORMAT ">
                                  <w:r w:rsidR="00EB569F">
                                    <w:t>Meerjarige handhavingskoers 2026-2029</w:t>
                                  </w:r>
                                </w:fldSimple>
                              </w:p>
                            </w:tc>
                          </w:tr>
                          <w:tr w:rsidR="00ED7FEA" w14:paraId="54A97436" w14:textId="77777777">
                            <w:trPr>
                              <w:trHeight w:val="200"/>
                            </w:trPr>
                            <w:tc>
                              <w:tcPr>
                                <w:tcW w:w="1134" w:type="dxa"/>
                              </w:tcPr>
                              <w:p w14:paraId="48759775" w14:textId="77777777" w:rsidR="00ED7FEA" w:rsidRDefault="00ED7FEA"/>
                            </w:tc>
                            <w:tc>
                              <w:tcPr>
                                <w:tcW w:w="5244" w:type="dxa"/>
                              </w:tcPr>
                              <w:p w14:paraId="624037CC" w14:textId="77777777" w:rsidR="00ED7FEA" w:rsidRDefault="00ED7FEA"/>
                            </w:tc>
                          </w:tr>
                        </w:tbl>
                        <w:p w14:paraId="03DC1310" w14:textId="77777777" w:rsidR="0098458A" w:rsidRDefault="0098458A"/>
                      </w:txbxContent>
                    </wps:txbx>
                    <wps:bodyPr vert="horz" wrap="square" lIns="0" tIns="0" rIns="0" bIns="0" anchor="t" anchorCtr="0"/>
                  </wps:wsp>
                </a:graphicData>
              </a:graphic>
            </wp:anchor>
          </w:drawing>
        </mc:Choice>
        <mc:Fallback>
          <w:pict>
            <v:shape w14:anchorId="211E009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D7FEA" w14:paraId="0C44350B" w14:textId="77777777">
                      <w:trPr>
                        <w:trHeight w:val="200"/>
                      </w:trPr>
                      <w:tc>
                        <w:tcPr>
                          <w:tcW w:w="1134" w:type="dxa"/>
                        </w:tcPr>
                        <w:p w14:paraId="750273D2" w14:textId="77777777" w:rsidR="00ED7FEA" w:rsidRDefault="00ED7FEA"/>
                      </w:tc>
                      <w:tc>
                        <w:tcPr>
                          <w:tcW w:w="5244" w:type="dxa"/>
                        </w:tcPr>
                        <w:p w14:paraId="7A222DCE" w14:textId="77777777" w:rsidR="00ED7FEA" w:rsidRDefault="00ED7FEA"/>
                      </w:tc>
                    </w:tr>
                    <w:tr w:rsidR="00ED7FEA" w14:paraId="71E20593" w14:textId="77777777">
                      <w:trPr>
                        <w:trHeight w:val="240"/>
                      </w:trPr>
                      <w:tc>
                        <w:tcPr>
                          <w:tcW w:w="1134" w:type="dxa"/>
                        </w:tcPr>
                        <w:p w14:paraId="2FB3AE8E" w14:textId="77777777" w:rsidR="00ED7FEA" w:rsidRDefault="0098458A">
                          <w:r>
                            <w:t>Datum</w:t>
                          </w:r>
                        </w:p>
                      </w:tc>
                      <w:tc>
                        <w:tcPr>
                          <w:tcW w:w="5244" w:type="dxa"/>
                        </w:tcPr>
                        <w:p w14:paraId="1B3C42F9" w14:textId="7BCD3023" w:rsidR="00695089" w:rsidRDefault="00791F8C">
                          <w:r>
                            <w:t>1 april 2026</w:t>
                          </w:r>
                          <w:r w:rsidR="00EB569F">
                            <w:fldChar w:fldCharType="begin"/>
                          </w:r>
                          <w:r w:rsidR="00EB569F">
                            <w:instrText xml:space="preserve"> DOCPROPERTY  "iDatum"  \* MERGEFORMAT </w:instrText>
                          </w:r>
                          <w:r w:rsidR="00EB569F">
                            <w:fldChar w:fldCharType="end"/>
                          </w:r>
                        </w:p>
                      </w:tc>
                    </w:tr>
                    <w:tr w:rsidR="00ED7FEA" w14:paraId="6E5EDDF3" w14:textId="77777777">
                      <w:trPr>
                        <w:trHeight w:val="240"/>
                      </w:trPr>
                      <w:tc>
                        <w:tcPr>
                          <w:tcW w:w="1134" w:type="dxa"/>
                        </w:tcPr>
                        <w:p w14:paraId="06FCBE4F" w14:textId="77777777" w:rsidR="00ED7FEA" w:rsidRDefault="0098458A">
                          <w:r>
                            <w:t>Betreft</w:t>
                          </w:r>
                        </w:p>
                      </w:tc>
                      <w:tc>
                        <w:tcPr>
                          <w:tcW w:w="5244" w:type="dxa"/>
                        </w:tcPr>
                        <w:p w14:paraId="291D9160" w14:textId="24A6951B" w:rsidR="00B01EF5" w:rsidRDefault="00C307C7">
                          <w:fldSimple w:instr=" DOCPROPERTY  &quot;iOnderwerp&quot;  \* MERGEFORMAT ">
                            <w:r w:rsidR="00EB569F">
                              <w:t>Meerjarige handhavingskoers 2026-2029</w:t>
                            </w:r>
                          </w:fldSimple>
                        </w:p>
                      </w:tc>
                    </w:tr>
                    <w:tr w:rsidR="00ED7FEA" w14:paraId="54A97436" w14:textId="77777777">
                      <w:trPr>
                        <w:trHeight w:val="200"/>
                      </w:trPr>
                      <w:tc>
                        <w:tcPr>
                          <w:tcW w:w="1134" w:type="dxa"/>
                        </w:tcPr>
                        <w:p w14:paraId="48759775" w14:textId="77777777" w:rsidR="00ED7FEA" w:rsidRDefault="00ED7FEA"/>
                      </w:tc>
                      <w:tc>
                        <w:tcPr>
                          <w:tcW w:w="5244" w:type="dxa"/>
                        </w:tcPr>
                        <w:p w14:paraId="624037CC" w14:textId="77777777" w:rsidR="00ED7FEA" w:rsidRDefault="00ED7FEA"/>
                      </w:tc>
                    </w:tr>
                  </w:tbl>
                  <w:p w14:paraId="03DC1310" w14:textId="77777777" w:rsidR="0098458A" w:rsidRDefault="009845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ECF945" wp14:editId="692397A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F68A3C" w14:textId="77777777" w:rsidR="00695089" w:rsidRDefault="00EB56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ECF94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BF68A3C" w14:textId="77777777" w:rsidR="00695089" w:rsidRDefault="00EB56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4375A"/>
    <w:multiLevelType w:val="multilevel"/>
    <w:tmpl w:val="0A39A0C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8A1BBD"/>
    <w:multiLevelType w:val="multilevel"/>
    <w:tmpl w:val="4EAFBE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7FD28ED"/>
    <w:multiLevelType w:val="hybridMultilevel"/>
    <w:tmpl w:val="B84A7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C6C55"/>
    <w:multiLevelType w:val="multilevel"/>
    <w:tmpl w:val="A7F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A00"/>
    <w:multiLevelType w:val="hybridMultilevel"/>
    <w:tmpl w:val="1048DF6E"/>
    <w:lvl w:ilvl="0" w:tplc="4076827C">
      <w:start w:val="1"/>
      <w:numFmt w:val="bullet"/>
      <w:lvlText w:val=""/>
      <w:lvlJc w:val="left"/>
      <w:pPr>
        <w:ind w:left="1440" w:hanging="360"/>
      </w:pPr>
      <w:rPr>
        <w:rFonts w:ascii="Symbol" w:hAnsi="Symbol"/>
      </w:rPr>
    </w:lvl>
    <w:lvl w:ilvl="1" w:tplc="6ACA69D6">
      <w:start w:val="1"/>
      <w:numFmt w:val="bullet"/>
      <w:lvlText w:val=""/>
      <w:lvlJc w:val="left"/>
      <w:pPr>
        <w:ind w:left="1440" w:hanging="360"/>
      </w:pPr>
      <w:rPr>
        <w:rFonts w:ascii="Symbol" w:hAnsi="Symbol"/>
      </w:rPr>
    </w:lvl>
    <w:lvl w:ilvl="2" w:tplc="AE2682C2">
      <w:start w:val="1"/>
      <w:numFmt w:val="bullet"/>
      <w:lvlText w:val=""/>
      <w:lvlJc w:val="left"/>
      <w:pPr>
        <w:ind w:left="1440" w:hanging="360"/>
      </w:pPr>
      <w:rPr>
        <w:rFonts w:ascii="Symbol" w:hAnsi="Symbol"/>
      </w:rPr>
    </w:lvl>
    <w:lvl w:ilvl="3" w:tplc="EC0047DA">
      <w:start w:val="1"/>
      <w:numFmt w:val="bullet"/>
      <w:lvlText w:val=""/>
      <w:lvlJc w:val="left"/>
      <w:pPr>
        <w:ind w:left="1440" w:hanging="360"/>
      </w:pPr>
      <w:rPr>
        <w:rFonts w:ascii="Symbol" w:hAnsi="Symbol"/>
      </w:rPr>
    </w:lvl>
    <w:lvl w:ilvl="4" w:tplc="D0F62AC6">
      <w:start w:val="1"/>
      <w:numFmt w:val="bullet"/>
      <w:lvlText w:val=""/>
      <w:lvlJc w:val="left"/>
      <w:pPr>
        <w:ind w:left="1440" w:hanging="360"/>
      </w:pPr>
      <w:rPr>
        <w:rFonts w:ascii="Symbol" w:hAnsi="Symbol"/>
      </w:rPr>
    </w:lvl>
    <w:lvl w:ilvl="5" w:tplc="4852ED96">
      <w:start w:val="1"/>
      <w:numFmt w:val="bullet"/>
      <w:lvlText w:val=""/>
      <w:lvlJc w:val="left"/>
      <w:pPr>
        <w:ind w:left="1440" w:hanging="360"/>
      </w:pPr>
      <w:rPr>
        <w:rFonts w:ascii="Symbol" w:hAnsi="Symbol"/>
      </w:rPr>
    </w:lvl>
    <w:lvl w:ilvl="6" w:tplc="40404428">
      <w:start w:val="1"/>
      <w:numFmt w:val="bullet"/>
      <w:lvlText w:val=""/>
      <w:lvlJc w:val="left"/>
      <w:pPr>
        <w:ind w:left="1440" w:hanging="360"/>
      </w:pPr>
      <w:rPr>
        <w:rFonts w:ascii="Symbol" w:hAnsi="Symbol"/>
      </w:rPr>
    </w:lvl>
    <w:lvl w:ilvl="7" w:tplc="0C2EC026">
      <w:start w:val="1"/>
      <w:numFmt w:val="bullet"/>
      <w:lvlText w:val=""/>
      <w:lvlJc w:val="left"/>
      <w:pPr>
        <w:ind w:left="1440" w:hanging="360"/>
      </w:pPr>
      <w:rPr>
        <w:rFonts w:ascii="Symbol" w:hAnsi="Symbol"/>
      </w:rPr>
    </w:lvl>
    <w:lvl w:ilvl="8" w:tplc="0C5C69B8">
      <w:start w:val="1"/>
      <w:numFmt w:val="bullet"/>
      <w:lvlText w:val=""/>
      <w:lvlJc w:val="left"/>
      <w:pPr>
        <w:ind w:left="1440" w:hanging="360"/>
      </w:pPr>
      <w:rPr>
        <w:rFonts w:ascii="Symbol" w:hAnsi="Symbol"/>
      </w:rPr>
    </w:lvl>
  </w:abstractNum>
  <w:abstractNum w:abstractNumId="5" w15:restartNumberingAfterBreak="0">
    <w:nsid w:val="21F605D5"/>
    <w:multiLevelType w:val="hybridMultilevel"/>
    <w:tmpl w:val="ECCE5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912BD0"/>
    <w:multiLevelType w:val="hybridMultilevel"/>
    <w:tmpl w:val="7CB0D5E4"/>
    <w:lvl w:ilvl="0" w:tplc="274CFF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07092"/>
    <w:multiLevelType w:val="hybridMultilevel"/>
    <w:tmpl w:val="41DABAA8"/>
    <w:lvl w:ilvl="0" w:tplc="33746C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82BBF1"/>
    <w:multiLevelType w:val="multilevel"/>
    <w:tmpl w:val="D6E1062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E91DD2"/>
    <w:multiLevelType w:val="hybridMultilevel"/>
    <w:tmpl w:val="5F969956"/>
    <w:lvl w:ilvl="0" w:tplc="33746C60">
      <w:numFmt w:val="bullet"/>
      <w:lvlText w:val="-"/>
      <w:lvlJc w:val="left"/>
      <w:pPr>
        <w:ind w:left="1800" w:hanging="360"/>
      </w:pPr>
      <w:rPr>
        <w:rFonts w:ascii="Calibri" w:eastAsiaTheme="minorHAnsi" w:hAnsi="Calibri" w:cs="Calibri"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44AA73AA"/>
    <w:multiLevelType w:val="hybridMultilevel"/>
    <w:tmpl w:val="1E227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B63D68"/>
    <w:multiLevelType w:val="multilevel"/>
    <w:tmpl w:val="1F80C6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5D6079"/>
    <w:multiLevelType w:val="hybridMultilevel"/>
    <w:tmpl w:val="6A444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6CD668"/>
    <w:multiLevelType w:val="multilevel"/>
    <w:tmpl w:val="89E378B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BCF90"/>
    <w:multiLevelType w:val="multilevel"/>
    <w:tmpl w:val="684A1C6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E565F"/>
    <w:multiLevelType w:val="hybridMultilevel"/>
    <w:tmpl w:val="636A407A"/>
    <w:lvl w:ilvl="0" w:tplc="33746C60">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52C80109"/>
    <w:multiLevelType w:val="hybridMultilevel"/>
    <w:tmpl w:val="B7467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317A32"/>
    <w:multiLevelType w:val="hybridMultilevel"/>
    <w:tmpl w:val="FEAA6880"/>
    <w:lvl w:ilvl="0" w:tplc="0AAA610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EC0A7F"/>
    <w:multiLevelType w:val="hybridMultilevel"/>
    <w:tmpl w:val="FA181ED6"/>
    <w:lvl w:ilvl="0" w:tplc="D480EE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AB3F86"/>
    <w:multiLevelType w:val="hybridMultilevel"/>
    <w:tmpl w:val="75385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3290474"/>
    <w:multiLevelType w:val="multilevel"/>
    <w:tmpl w:val="3B051EC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E956AD"/>
    <w:multiLevelType w:val="multilevel"/>
    <w:tmpl w:val="21EC6A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12554997">
    <w:abstractNumId w:val="8"/>
  </w:num>
  <w:num w:numId="2" w16cid:durableId="301279184">
    <w:abstractNumId w:val="13"/>
  </w:num>
  <w:num w:numId="3" w16cid:durableId="1074278304">
    <w:abstractNumId w:val="21"/>
  </w:num>
  <w:num w:numId="4" w16cid:durableId="75980036">
    <w:abstractNumId w:val="1"/>
  </w:num>
  <w:num w:numId="5" w16cid:durableId="2016418747">
    <w:abstractNumId w:val="20"/>
  </w:num>
  <w:num w:numId="6" w16cid:durableId="164829361">
    <w:abstractNumId w:val="14"/>
  </w:num>
  <w:num w:numId="7" w16cid:durableId="1882278804">
    <w:abstractNumId w:val="0"/>
  </w:num>
  <w:num w:numId="8" w16cid:durableId="1308054241">
    <w:abstractNumId w:val="11"/>
  </w:num>
  <w:num w:numId="9" w16cid:durableId="953252073">
    <w:abstractNumId w:val="2"/>
  </w:num>
  <w:num w:numId="10" w16cid:durableId="1150054246">
    <w:abstractNumId w:val="12"/>
  </w:num>
  <w:num w:numId="11" w16cid:durableId="376705225">
    <w:abstractNumId w:val="4"/>
  </w:num>
  <w:num w:numId="12" w16cid:durableId="526063643">
    <w:abstractNumId w:val="17"/>
  </w:num>
  <w:num w:numId="13" w16cid:durableId="1811900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704176">
    <w:abstractNumId w:val="19"/>
  </w:num>
  <w:num w:numId="15" w16cid:durableId="1933707439">
    <w:abstractNumId w:val="10"/>
  </w:num>
  <w:num w:numId="16" w16cid:durableId="985746372">
    <w:abstractNumId w:val="16"/>
  </w:num>
  <w:num w:numId="17" w16cid:durableId="1618484519">
    <w:abstractNumId w:val="5"/>
  </w:num>
  <w:num w:numId="18" w16cid:durableId="560142875">
    <w:abstractNumId w:val="3"/>
  </w:num>
  <w:num w:numId="19" w16cid:durableId="2032101710">
    <w:abstractNumId w:val="7"/>
  </w:num>
  <w:num w:numId="20" w16cid:durableId="967734745">
    <w:abstractNumId w:val="15"/>
  </w:num>
  <w:num w:numId="21" w16cid:durableId="1271670040">
    <w:abstractNumId w:val="9"/>
  </w:num>
  <w:num w:numId="22" w16cid:durableId="823930232">
    <w:abstractNumId w:val="6"/>
  </w:num>
  <w:num w:numId="23" w16cid:durableId="1950418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EA"/>
    <w:rsid w:val="00001780"/>
    <w:rsid w:val="00015D62"/>
    <w:rsid w:val="00034BB4"/>
    <w:rsid w:val="00042D1D"/>
    <w:rsid w:val="00043099"/>
    <w:rsid w:val="000449DD"/>
    <w:rsid w:val="00046C32"/>
    <w:rsid w:val="00063FA2"/>
    <w:rsid w:val="00097E50"/>
    <w:rsid w:val="000C190F"/>
    <w:rsid w:val="000C3127"/>
    <w:rsid w:val="000C52A2"/>
    <w:rsid w:val="000C565C"/>
    <w:rsid w:val="000D2370"/>
    <w:rsid w:val="000D333E"/>
    <w:rsid w:val="000F5712"/>
    <w:rsid w:val="000F58A6"/>
    <w:rsid w:val="00117DB6"/>
    <w:rsid w:val="00121D99"/>
    <w:rsid w:val="00122C72"/>
    <w:rsid w:val="00137AFD"/>
    <w:rsid w:val="001447D5"/>
    <w:rsid w:val="001465E5"/>
    <w:rsid w:val="00180575"/>
    <w:rsid w:val="00183E58"/>
    <w:rsid w:val="00186E6E"/>
    <w:rsid w:val="00192AFC"/>
    <w:rsid w:val="0019472B"/>
    <w:rsid w:val="001C4049"/>
    <w:rsid w:val="001D2BA0"/>
    <w:rsid w:val="001F7709"/>
    <w:rsid w:val="00203A15"/>
    <w:rsid w:val="00205210"/>
    <w:rsid w:val="002113AD"/>
    <w:rsid w:val="002263FE"/>
    <w:rsid w:val="0024629B"/>
    <w:rsid w:val="00253658"/>
    <w:rsid w:val="00284DAE"/>
    <w:rsid w:val="0029507A"/>
    <w:rsid w:val="0029546C"/>
    <w:rsid w:val="002965BF"/>
    <w:rsid w:val="002A6A36"/>
    <w:rsid w:val="002A7EF0"/>
    <w:rsid w:val="002C37CD"/>
    <w:rsid w:val="002C39F2"/>
    <w:rsid w:val="002D5B94"/>
    <w:rsid w:val="002E45A0"/>
    <w:rsid w:val="002F0F36"/>
    <w:rsid w:val="00302721"/>
    <w:rsid w:val="0031262F"/>
    <w:rsid w:val="00313FF7"/>
    <w:rsid w:val="0032177C"/>
    <w:rsid w:val="00326BF2"/>
    <w:rsid w:val="003337D6"/>
    <w:rsid w:val="00336EB1"/>
    <w:rsid w:val="00347C14"/>
    <w:rsid w:val="003650B2"/>
    <w:rsid w:val="00365FE2"/>
    <w:rsid w:val="003917AE"/>
    <w:rsid w:val="00392938"/>
    <w:rsid w:val="00396D16"/>
    <w:rsid w:val="003A08F5"/>
    <w:rsid w:val="003B0331"/>
    <w:rsid w:val="003E2F23"/>
    <w:rsid w:val="003E5F17"/>
    <w:rsid w:val="00404674"/>
    <w:rsid w:val="00421357"/>
    <w:rsid w:val="00426BD6"/>
    <w:rsid w:val="00430A8F"/>
    <w:rsid w:val="004455F1"/>
    <w:rsid w:val="0044635F"/>
    <w:rsid w:val="004470C6"/>
    <w:rsid w:val="0047355C"/>
    <w:rsid w:val="00486FAC"/>
    <w:rsid w:val="004915DC"/>
    <w:rsid w:val="004B73B8"/>
    <w:rsid w:val="004C0466"/>
    <w:rsid w:val="004C104E"/>
    <w:rsid w:val="004C6EC5"/>
    <w:rsid w:val="004D14AA"/>
    <w:rsid w:val="004D2B75"/>
    <w:rsid w:val="004E3100"/>
    <w:rsid w:val="004F6A5F"/>
    <w:rsid w:val="0050098C"/>
    <w:rsid w:val="0051266D"/>
    <w:rsid w:val="00513653"/>
    <w:rsid w:val="005243E1"/>
    <w:rsid w:val="005359AC"/>
    <w:rsid w:val="00535DBF"/>
    <w:rsid w:val="0053786F"/>
    <w:rsid w:val="00540ACD"/>
    <w:rsid w:val="00547EBA"/>
    <w:rsid w:val="00553A13"/>
    <w:rsid w:val="00587C4D"/>
    <w:rsid w:val="00591063"/>
    <w:rsid w:val="005A23B8"/>
    <w:rsid w:val="005A6458"/>
    <w:rsid w:val="005B1A93"/>
    <w:rsid w:val="005B6471"/>
    <w:rsid w:val="005C313B"/>
    <w:rsid w:val="005C6FBA"/>
    <w:rsid w:val="005D0EF6"/>
    <w:rsid w:val="005D15C0"/>
    <w:rsid w:val="005F1AE7"/>
    <w:rsid w:val="006015BB"/>
    <w:rsid w:val="006056EB"/>
    <w:rsid w:val="00606E38"/>
    <w:rsid w:val="00613813"/>
    <w:rsid w:val="00614D0B"/>
    <w:rsid w:val="006360EF"/>
    <w:rsid w:val="006446C1"/>
    <w:rsid w:val="00644799"/>
    <w:rsid w:val="00644D8C"/>
    <w:rsid w:val="006712C4"/>
    <w:rsid w:val="00695089"/>
    <w:rsid w:val="006A2BB0"/>
    <w:rsid w:val="006A63F4"/>
    <w:rsid w:val="006B27C9"/>
    <w:rsid w:val="006B32CF"/>
    <w:rsid w:val="006C2400"/>
    <w:rsid w:val="006D0AF3"/>
    <w:rsid w:val="006D7805"/>
    <w:rsid w:val="007166E6"/>
    <w:rsid w:val="00717724"/>
    <w:rsid w:val="007343D1"/>
    <w:rsid w:val="0075033C"/>
    <w:rsid w:val="007565CF"/>
    <w:rsid w:val="00756E89"/>
    <w:rsid w:val="00770837"/>
    <w:rsid w:val="007711EE"/>
    <w:rsid w:val="00776A3E"/>
    <w:rsid w:val="00777BC7"/>
    <w:rsid w:val="00782140"/>
    <w:rsid w:val="007916A4"/>
    <w:rsid w:val="00791F8C"/>
    <w:rsid w:val="00795255"/>
    <w:rsid w:val="007C173D"/>
    <w:rsid w:val="007E1D79"/>
    <w:rsid w:val="007F5091"/>
    <w:rsid w:val="00801472"/>
    <w:rsid w:val="00812747"/>
    <w:rsid w:val="00815602"/>
    <w:rsid w:val="00830AE3"/>
    <w:rsid w:val="00835E8D"/>
    <w:rsid w:val="00841317"/>
    <w:rsid w:val="00846DA5"/>
    <w:rsid w:val="0085137D"/>
    <w:rsid w:val="0087118F"/>
    <w:rsid w:val="00873521"/>
    <w:rsid w:val="00896FC6"/>
    <w:rsid w:val="008B2240"/>
    <w:rsid w:val="008B4BB9"/>
    <w:rsid w:val="008C4BC9"/>
    <w:rsid w:val="008C7CFB"/>
    <w:rsid w:val="008D4452"/>
    <w:rsid w:val="008E567F"/>
    <w:rsid w:val="008E6D35"/>
    <w:rsid w:val="008F0BE3"/>
    <w:rsid w:val="008F1829"/>
    <w:rsid w:val="008F4995"/>
    <w:rsid w:val="00906D4A"/>
    <w:rsid w:val="009151D4"/>
    <w:rsid w:val="00923D9B"/>
    <w:rsid w:val="00935EAB"/>
    <w:rsid w:val="009461BD"/>
    <w:rsid w:val="00950505"/>
    <w:rsid w:val="00950F96"/>
    <w:rsid w:val="0096084D"/>
    <w:rsid w:val="00965479"/>
    <w:rsid w:val="00966244"/>
    <w:rsid w:val="009737DC"/>
    <w:rsid w:val="00974B46"/>
    <w:rsid w:val="00977951"/>
    <w:rsid w:val="00984316"/>
    <w:rsid w:val="0098458A"/>
    <w:rsid w:val="009A1836"/>
    <w:rsid w:val="009A4497"/>
    <w:rsid w:val="009C0BA2"/>
    <w:rsid w:val="009C101F"/>
    <w:rsid w:val="009C58BA"/>
    <w:rsid w:val="009D3928"/>
    <w:rsid w:val="009D6343"/>
    <w:rsid w:val="009D6D73"/>
    <w:rsid w:val="009E3C4D"/>
    <w:rsid w:val="009E7873"/>
    <w:rsid w:val="00A11102"/>
    <w:rsid w:val="00A30825"/>
    <w:rsid w:val="00A364AF"/>
    <w:rsid w:val="00A4563F"/>
    <w:rsid w:val="00A47B75"/>
    <w:rsid w:val="00A5367F"/>
    <w:rsid w:val="00A576CE"/>
    <w:rsid w:val="00A60B4E"/>
    <w:rsid w:val="00A81A62"/>
    <w:rsid w:val="00A828B0"/>
    <w:rsid w:val="00AB111A"/>
    <w:rsid w:val="00AB1793"/>
    <w:rsid w:val="00AB289E"/>
    <w:rsid w:val="00AB30B4"/>
    <w:rsid w:val="00AB5796"/>
    <w:rsid w:val="00AC3C68"/>
    <w:rsid w:val="00AD0FB5"/>
    <w:rsid w:val="00AD2F5A"/>
    <w:rsid w:val="00AD3CBD"/>
    <w:rsid w:val="00AD7F4E"/>
    <w:rsid w:val="00AE5016"/>
    <w:rsid w:val="00AF0F5C"/>
    <w:rsid w:val="00B01EF5"/>
    <w:rsid w:val="00B17E72"/>
    <w:rsid w:val="00B2186D"/>
    <w:rsid w:val="00B22136"/>
    <w:rsid w:val="00B550CC"/>
    <w:rsid w:val="00B56EF9"/>
    <w:rsid w:val="00B644DA"/>
    <w:rsid w:val="00B826D4"/>
    <w:rsid w:val="00B86CFE"/>
    <w:rsid w:val="00B92818"/>
    <w:rsid w:val="00BA33A4"/>
    <w:rsid w:val="00BB0846"/>
    <w:rsid w:val="00BE65B5"/>
    <w:rsid w:val="00BF4325"/>
    <w:rsid w:val="00BF5871"/>
    <w:rsid w:val="00BF60A6"/>
    <w:rsid w:val="00C30620"/>
    <w:rsid w:val="00C307C7"/>
    <w:rsid w:val="00C35E63"/>
    <w:rsid w:val="00C417AA"/>
    <w:rsid w:val="00C53228"/>
    <w:rsid w:val="00C62901"/>
    <w:rsid w:val="00C7338B"/>
    <w:rsid w:val="00C8218B"/>
    <w:rsid w:val="00C907AF"/>
    <w:rsid w:val="00C94490"/>
    <w:rsid w:val="00CC2020"/>
    <w:rsid w:val="00CD7F05"/>
    <w:rsid w:val="00CE25C1"/>
    <w:rsid w:val="00CE6D72"/>
    <w:rsid w:val="00CF25EE"/>
    <w:rsid w:val="00CF6BBD"/>
    <w:rsid w:val="00D001B5"/>
    <w:rsid w:val="00D24A34"/>
    <w:rsid w:val="00D25EEF"/>
    <w:rsid w:val="00D344BC"/>
    <w:rsid w:val="00D45837"/>
    <w:rsid w:val="00D728AE"/>
    <w:rsid w:val="00D819D3"/>
    <w:rsid w:val="00D9664E"/>
    <w:rsid w:val="00DA2494"/>
    <w:rsid w:val="00DB1005"/>
    <w:rsid w:val="00DC2B84"/>
    <w:rsid w:val="00DC6286"/>
    <w:rsid w:val="00DC6499"/>
    <w:rsid w:val="00DD579D"/>
    <w:rsid w:val="00DE76E5"/>
    <w:rsid w:val="00DF6D82"/>
    <w:rsid w:val="00E17CC3"/>
    <w:rsid w:val="00E23F3D"/>
    <w:rsid w:val="00E2611C"/>
    <w:rsid w:val="00E34411"/>
    <w:rsid w:val="00E35375"/>
    <w:rsid w:val="00E35B64"/>
    <w:rsid w:val="00E35B7E"/>
    <w:rsid w:val="00E36D2A"/>
    <w:rsid w:val="00E41220"/>
    <w:rsid w:val="00E50D01"/>
    <w:rsid w:val="00E539FD"/>
    <w:rsid w:val="00E61C27"/>
    <w:rsid w:val="00E7051E"/>
    <w:rsid w:val="00E7559B"/>
    <w:rsid w:val="00E81208"/>
    <w:rsid w:val="00EA2087"/>
    <w:rsid w:val="00EB0792"/>
    <w:rsid w:val="00EB569F"/>
    <w:rsid w:val="00EB6A53"/>
    <w:rsid w:val="00EC195B"/>
    <w:rsid w:val="00ED7FEA"/>
    <w:rsid w:val="00EE1CF1"/>
    <w:rsid w:val="00EE5D9E"/>
    <w:rsid w:val="00EE78A8"/>
    <w:rsid w:val="00EF602F"/>
    <w:rsid w:val="00F13BCD"/>
    <w:rsid w:val="00F519EA"/>
    <w:rsid w:val="00F57732"/>
    <w:rsid w:val="00F6525F"/>
    <w:rsid w:val="00F75C35"/>
    <w:rsid w:val="00F8003B"/>
    <w:rsid w:val="00F8595C"/>
    <w:rsid w:val="00FA336E"/>
    <w:rsid w:val="00FB1456"/>
    <w:rsid w:val="00FC2BF5"/>
    <w:rsid w:val="00FC5213"/>
    <w:rsid w:val="00FC6908"/>
    <w:rsid w:val="00FC72EB"/>
    <w:rsid w:val="00FE41F4"/>
    <w:rsid w:val="00FF0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9F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link w:val="Kop3Char"/>
    <w:uiPriority w:val="9"/>
    <w:qFormat/>
    <w:pPr>
      <w:numPr>
        <w:ilvl w:val="2"/>
        <w:numId w:val="7"/>
      </w:numPr>
      <w:spacing w:before="240"/>
      <w:outlineLvl w:val="2"/>
    </w:pPr>
    <w:rPr>
      <w:i/>
    </w:rPr>
  </w:style>
  <w:style w:type="paragraph" w:styleId="Kop4">
    <w:name w:val="heading 4"/>
    <w:basedOn w:val="Standaard"/>
    <w:next w:val="Standaard"/>
    <w:link w:val="Kop4Char"/>
    <w:uiPriority w:val="9"/>
    <w:qFormat/>
    <w:pPr>
      <w:numPr>
        <w:ilvl w:val="3"/>
        <w:numId w:val="7"/>
      </w:numPr>
      <w:spacing w:before="240"/>
      <w:outlineLvl w:val="3"/>
    </w:pPr>
  </w:style>
  <w:style w:type="paragraph" w:styleId="Kop5">
    <w:name w:val="heading 5"/>
    <w:basedOn w:val="Standaard"/>
    <w:next w:val="Standaard"/>
    <w:link w:val="Kop5Char"/>
    <w:uiPriority w:val="9"/>
    <w:semiHidden/>
    <w:unhideWhenUsed/>
    <w:qFormat/>
    <w:rsid w:val="00AB30B4"/>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30B4"/>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30B4"/>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30B4"/>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30B4"/>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5Char">
    <w:name w:val="Kop 5 Char"/>
    <w:basedOn w:val="Standaardalinea-lettertype"/>
    <w:link w:val="Kop5"/>
    <w:uiPriority w:val="9"/>
    <w:semiHidden/>
    <w:rsid w:val="00AB30B4"/>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AB30B4"/>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AB30B4"/>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AB30B4"/>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AB30B4"/>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AB30B4"/>
    <w:rPr>
      <w:rFonts w:ascii="Verdana" w:hAnsi="Verdana"/>
      <w:color w:val="000000"/>
      <w:sz w:val="24"/>
      <w:szCs w:val="24"/>
    </w:rPr>
  </w:style>
  <w:style w:type="character" w:customStyle="1" w:styleId="Kop2Char">
    <w:name w:val="Kop 2 Char"/>
    <w:basedOn w:val="Standaardalinea-lettertype"/>
    <w:link w:val="Kop2"/>
    <w:uiPriority w:val="9"/>
    <w:rsid w:val="00AB30B4"/>
    <w:rPr>
      <w:rFonts w:ascii="Verdana" w:hAnsi="Verdana"/>
      <w:b/>
      <w:color w:val="000000"/>
      <w:sz w:val="18"/>
      <w:szCs w:val="18"/>
    </w:rPr>
  </w:style>
  <w:style w:type="character" w:customStyle="1" w:styleId="Kop3Char">
    <w:name w:val="Kop 3 Char"/>
    <w:basedOn w:val="Standaardalinea-lettertype"/>
    <w:link w:val="Kop3"/>
    <w:uiPriority w:val="9"/>
    <w:rsid w:val="00AB30B4"/>
    <w:rPr>
      <w:rFonts w:ascii="Verdana" w:hAnsi="Verdana"/>
      <w:i/>
      <w:color w:val="000000"/>
      <w:sz w:val="18"/>
      <w:szCs w:val="18"/>
    </w:rPr>
  </w:style>
  <w:style w:type="character" w:customStyle="1" w:styleId="Kop4Char">
    <w:name w:val="Kop 4 Char"/>
    <w:basedOn w:val="Standaardalinea-lettertype"/>
    <w:link w:val="Kop4"/>
    <w:uiPriority w:val="9"/>
    <w:rsid w:val="00AB30B4"/>
    <w:rPr>
      <w:rFonts w:ascii="Verdana" w:hAnsi="Verdana"/>
      <w:color w:val="000000"/>
      <w:sz w:val="18"/>
      <w:szCs w:val="18"/>
    </w:rPr>
  </w:style>
  <w:style w:type="character" w:customStyle="1" w:styleId="TitelChar">
    <w:name w:val="Titel Char"/>
    <w:basedOn w:val="Standaardalinea-lettertype"/>
    <w:link w:val="Titel"/>
    <w:uiPriority w:val="10"/>
    <w:rsid w:val="00AB30B4"/>
    <w:rPr>
      <w:rFonts w:ascii="Verdana" w:hAnsi="Verdana"/>
      <w:b/>
      <w:color w:val="000000"/>
      <w:sz w:val="24"/>
      <w:szCs w:val="24"/>
    </w:rPr>
  </w:style>
  <w:style w:type="paragraph" w:styleId="Ondertitel">
    <w:name w:val="Subtitle"/>
    <w:basedOn w:val="Standaard"/>
    <w:next w:val="Standaard"/>
    <w:link w:val="OndertitelChar"/>
    <w:uiPriority w:val="11"/>
    <w:qFormat/>
    <w:rsid w:val="00AB30B4"/>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30B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AB30B4"/>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30B4"/>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AB30B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AB30B4"/>
    <w:rPr>
      <w:i/>
      <w:iCs/>
      <w:color w:val="0F4761" w:themeColor="accent1" w:themeShade="BF"/>
    </w:rPr>
  </w:style>
  <w:style w:type="paragraph" w:styleId="Duidelijkcitaat">
    <w:name w:val="Intense Quote"/>
    <w:basedOn w:val="Standaard"/>
    <w:next w:val="Standaard"/>
    <w:link w:val="DuidelijkcitaatChar"/>
    <w:uiPriority w:val="30"/>
    <w:qFormat/>
    <w:rsid w:val="00AB30B4"/>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30B4"/>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AB30B4"/>
    <w:rPr>
      <w:b/>
      <w:bCs/>
      <w:smallCaps/>
      <w:color w:val="0F4761" w:themeColor="accent1" w:themeShade="BF"/>
      <w:spacing w:val="5"/>
    </w:rPr>
  </w:style>
  <w:style w:type="character" w:customStyle="1" w:styleId="KoptekstChar">
    <w:name w:val="Koptekst Char"/>
    <w:basedOn w:val="Standaardalinea-lettertype"/>
    <w:link w:val="Koptekst"/>
    <w:uiPriority w:val="99"/>
    <w:rsid w:val="00AB30B4"/>
    <w:rPr>
      <w:rFonts w:ascii="Verdana" w:hAnsi="Verdana"/>
      <w:color w:val="000000"/>
      <w:sz w:val="22"/>
      <w:szCs w:val="22"/>
    </w:rPr>
  </w:style>
  <w:style w:type="character" w:customStyle="1" w:styleId="VoettekstChar">
    <w:name w:val="Voettekst Char"/>
    <w:basedOn w:val="Standaardalinea-lettertype"/>
    <w:link w:val="Voettekst"/>
    <w:uiPriority w:val="99"/>
    <w:rsid w:val="00AB30B4"/>
    <w:rPr>
      <w:rFonts w:ascii="Verdana" w:hAnsi="Verdana"/>
      <w:color w:val="000000"/>
      <w:sz w:val="13"/>
      <w:szCs w:val="13"/>
    </w:rPr>
  </w:style>
  <w:style w:type="paragraph" w:styleId="Revisie">
    <w:name w:val="Revision"/>
    <w:hidden/>
    <w:uiPriority w:val="99"/>
    <w:semiHidden/>
    <w:rsid w:val="00AB30B4"/>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AB30B4"/>
    <w:rPr>
      <w:sz w:val="16"/>
      <w:szCs w:val="16"/>
    </w:rPr>
  </w:style>
  <w:style w:type="paragraph" w:styleId="Tekstopmerking">
    <w:name w:val="annotation text"/>
    <w:basedOn w:val="Standaard"/>
    <w:link w:val="TekstopmerkingChar"/>
    <w:uiPriority w:val="99"/>
    <w:unhideWhenUsed/>
    <w:rsid w:val="00AB30B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B30B4"/>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30B4"/>
    <w:rPr>
      <w:b/>
      <w:bCs/>
    </w:rPr>
  </w:style>
  <w:style w:type="character" w:customStyle="1" w:styleId="OnderwerpvanopmerkingChar">
    <w:name w:val="Onderwerp van opmerking Char"/>
    <w:basedOn w:val="TekstopmerkingChar"/>
    <w:link w:val="Onderwerpvanopmerking"/>
    <w:uiPriority w:val="99"/>
    <w:semiHidden/>
    <w:rsid w:val="00AB30B4"/>
    <w:rPr>
      <w:rFonts w:asciiTheme="minorHAnsi" w:eastAsiaTheme="minorHAnsi" w:hAnsiTheme="minorHAnsi" w:cstheme="minorBidi"/>
      <w:b/>
      <w:bCs/>
      <w:kern w:val="2"/>
      <w:lang w:eastAsia="en-US"/>
      <w14:ligatures w14:val="standardContextual"/>
    </w:rPr>
  </w:style>
  <w:style w:type="paragraph" w:styleId="Voetnoottekst">
    <w:name w:val="footnote text"/>
    <w:basedOn w:val="Standaard"/>
    <w:link w:val="VoetnoottekstChar"/>
    <w:uiPriority w:val="99"/>
    <w:semiHidden/>
    <w:unhideWhenUsed/>
    <w:rsid w:val="00AB30B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B30B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B30B4"/>
    <w:rPr>
      <w:vertAlign w:val="superscript"/>
    </w:rPr>
  </w:style>
  <w:style w:type="character" w:styleId="Onopgelostemelding">
    <w:name w:val="Unresolved Mention"/>
    <w:basedOn w:val="Standaardalinea-lettertype"/>
    <w:uiPriority w:val="99"/>
    <w:semiHidden/>
    <w:unhideWhenUsed/>
    <w:rsid w:val="00AB30B4"/>
    <w:rPr>
      <w:color w:val="605E5C"/>
      <w:shd w:val="clear" w:color="auto" w:fill="E1DFDD"/>
    </w:rPr>
  </w:style>
  <w:style w:type="character" w:styleId="Vermelding">
    <w:name w:val="Mention"/>
    <w:basedOn w:val="Standaardalinea-lettertype"/>
    <w:uiPriority w:val="99"/>
    <w:unhideWhenUsed/>
    <w:rsid w:val="00AB30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9202">
      <w:bodyDiv w:val="1"/>
      <w:marLeft w:val="0"/>
      <w:marRight w:val="0"/>
      <w:marTop w:val="0"/>
      <w:marBottom w:val="0"/>
      <w:divBdr>
        <w:top w:val="none" w:sz="0" w:space="0" w:color="auto"/>
        <w:left w:val="none" w:sz="0" w:space="0" w:color="auto"/>
        <w:bottom w:val="none" w:sz="0" w:space="0" w:color="auto"/>
        <w:right w:val="none" w:sz="0" w:space="0" w:color="auto"/>
      </w:divBdr>
    </w:div>
    <w:div w:id="1994942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package" Target="embeddings/Microsoft_Visio_Drawing.vsdx"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file:///H:\Mijn%20documenten\Databob%20SZW\Handhavingsvisie\10.%20Handhavingskoers\11.%20Brief\Feedback\Nieuw\Naar%20def\Overheidsbrede%20Monitor%20GenAI" TargetMode="External"/><Relationship Id="rId3" Type="http://schemas.openxmlformats.org/officeDocument/2006/relationships/hyperlink" Target="https://www.seo.nl/wp-content/uploads/2025/07/2025-75-Hard-waar-het-moet-zacht-waar-het-kan.pdf" TargetMode="External"/><Relationship Id="rId7" Type="http://schemas.openxmlformats.org/officeDocument/2006/relationships/hyperlink" Target="https://www.wrr.nl/publicaties/rapporten/2021/11/11/opgave-ai-de-nieuwe-systeemtechnologie" TargetMode="External"/><Relationship Id="rId2" Type="http://schemas.openxmlformats.org/officeDocument/2006/relationships/hyperlink" Target="https://www.tweedekamer.nl/kamerstukken/brieven_regering/detail?id=2025Z14573&amp;did=2025D33363" TargetMode="External"/><Relationship Id="rId1" Type="http://schemas.openxmlformats.org/officeDocument/2006/relationships/hyperlink" Target="https://www.nlarbeidsinspectie.nl/publicaties/jaarplannen/2025/11/20/jaarplan-2026-nederlandse-arbeidsinspectie" TargetMode="External"/><Relationship Id="rId6" Type="http://schemas.openxmlformats.org/officeDocument/2006/relationships/hyperlink" Target="https://www.digitaleoverheid.nl/overzicht-van-alle-onderwerpen/algoritmes/algoritmekader/" TargetMode="External"/><Relationship Id="rId5" Type="http://schemas.openxmlformats.org/officeDocument/2006/relationships/hyperlink" Target="https://www.rijksoverheid.nl/documenten/rapporten/2023/06/09/eindrapport-ibo-vereenvoudiging-sociale-zekerheid" TargetMode="External"/><Relationship Id="rId10" Type="http://schemas.openxmlformats.org/officeDocument/2006/relationships/hyperlink" Target="https://verenigingbestuursrecht.nl/wp-content/uploads/2023/09/Handvest-overheid-burger-def.pdf" TargetMode="External"/><Relationship Id="rId4" Type="http://schemas.openxmlformats.org/officeDocument/2006/relationships/hyperlink" Target="https://open.overheid.nl/documenten/e992dfb2-89b4-46da-b280-32b11e401e95/file" TargetMode="External"/><Relationship Id="rId9" Type="http://schemas.openxmlformats.org/officeDocument/2006/relationships/hyperlink" Target="https://www.rijksoverheid.nl/documenten/rapporten/2021/02/25/impact-assessment-mensenrechten-en-algoritm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5526</ap:Words>
  <ap:Characters>30397</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Brief Kamer - Meerjarige handhavingskoers 2026-2029</vt:lpstr>
    </vt:vector>
  </ap:TitlesOfParts>
  <ap:LinksUpToDate>false</ap:LinksUpToDate>
  <ap:CharactersWithSpaces>35852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2026-03-31T09:27:00.0000000Z</dcterms:created>
  <dcterms:modified xsi:type="dcterms:W3CDTF">2026-03-31T09:32:00.0000000Z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Meerjarige handhavingskoers 2026-2029</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T.H. Visser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Meerjarige handhavingskoers 2026-2029</vt:lpwstr>
  </property>
  <property fmtid="{D5CDD505-2E9C-101B-9397-08002B2CF9AE}" pid="36" name="iOnsKenmerk">
    <vt:lpwstr>2026-0000080404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