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BC3B2D" w:rsidRDefault="00340ECA" w14:paraId="254ACD8F" w14:textId="54359111"/>
    <w:p w:rsidR="00D56D55" w:rsidP="00BC3B2D" w:rsidRDefault="00D56D55" w14:paraId="75461F43" w14:textId="4E2392B5">
      <w:pPr>
        <w:rPr>
          <w:szCs w:val="18"/>
        </w:rPr>
      </w:pPr>
      <w:r w:rsidRPr="00DF0273">
        <w:rPr>
          <w:szCs w:val="18"/>
        </w:rPr>
        <w:t xml:space="preserve">Geachte </w:t>
      </w:r>
      <w:r w:rsidR="00BC3B2D">
        <w:rPr>
          <w:szCs w:val="18"/>
        </w:rPr>
        <w:t>V</w:t>
      </w:r>
      <w:r w:rsidRPr="00DF0273">
        <w:rPr>
          <w:szCs w:val="18"/>
        </w:rPr>
        <w:t>oorzitter,</w:t>
      </w:r>
    </w:p>
    <w:p w:rsidRPr="00DF0273" w:rsidR="00D56D55" w:rsidP="00BC3B2D" w:rsidRDefault="00D56D55" w14:paraId="4E8F77D8" w14:textId="77777777">
      <w:pPr>
        <w:rPr>
          <w:szCs w:val="18"/>
        </w:rPr>
      </w:pPr>
    </w:p>
    <w:p w:rsidR="00D56D55" w:rsidP="00BC3B2D" w:rsidRDefault="00D56D55" w14:paraId="1E2A327F" w14:textId="79382196">
      <w:pPr>
        <w:rPr>
          <w:szCs w:val="18"/>
        </w:rPr>
      </w:pPr>
      <w:r>
        <w:rPr>
          <w:szCs w:val="18"/>
        </w:rPr>
        <w:t>Van 24 tot en met 29</w:t>
      </w:r>
      <w:r w:rsidRPr="6BA93C38">
        <w:rPr>
          <w:szCs w:val="18"/>
        </w:rPr>
        <w:t xml:space="preserve"> april vindt in Santa Marta, Colombia, de eerste internationale conferentie plaats over de </w:t>
      </w:r>
      <w:r>
        <w:rPr>
          <w:szCs w:val="18"/>
        </w:rPr>
        <w:t>afbouw van fossiele brandstoffen</w:t>
      </w:r>
      <w:r>
        <w:rPr>
          <w:rStyle w:val="Voetnootmarkering"/>
          <w:szCs w:val="18"/>
        </w:rPr>
        <w:footnoteReference w:id="1"/>
      </w:r>
      <w:r w:rsidRPr="6BA93C38">
        <w:rPr>
          <w:szCs w:val="18"/>
        </w:rPr>
        <w:t xml:space="preserve">. </w:t>
      </w:r>
      <w:r>
        <w:rPr>
          <w:szCs w:val="18"/>
        </w:rPr>
        <w:t>T</w:t>
      </w:r>
      <w:r w:rsidRPr="6BA93C38">
        <w:rPr>
          <w:szCs w:val="18"/>
        </w:rPr>
        <w:t>ijdens de afgelopen klimaat</w:t>
      </w:r>
      <w:r>
        <w:rPr>
          <w:szCs w:val="18"/>
        </w:rPr>
        <w:t>conferentie</w:t>
      </w:r>
      <w:r w:rsidRPr="6BA93C38">
        <w:rPr>
          <w:szCs w:val="18"/>
        </w:rPr>
        <w:t xml:space="preserve"> van de Verenigde Naties</w:t>
      </w:r>
      <w:r>
        <w:rPr>
          <w:szCs w:val="18"/>
        </w:rPr>
        <w:t xml:space="preserve"> (VN) </w:t>
      </w:r>
      <w:r w:rsidRPr="6BA93C38">
        <w:rPr>
          <w:szCs w:val="18"/>
        </w:rPr>
        <w:t xml:space="preserve">in Belém, COP30, </w:t>
      </w:r>
      <w:r>
        <w:rPr>
          <w:szCs w:val="18"/>
        </w:rPr>
        <w:t xml:space="preserve">hebben Nederland en Colombia aangekondigd deze conferentie samen </w:t>
      </w:r>
      <w:r w:rsidRPr="6BA93C38">
        <w:rPr>
          <w:szCs w:val="18"/>
        </w:rPr>
        <w:t>te organiseren</w:t>
      </w:r>
      <w:r>
        <w:rPr>
          <w:szCs w:val="18"/>
        </w:rPr>
        <w:t xml:space="preserve"> om uitvoering te geven aan de </w:t>
      </w:r>
      <w:r w:rsidR="002A7788">
        <w:rPr>
          <w:szCs w:val="18"/>
        </w:rPr>
        <w:t xml:space="preserve">eerder tijdens COP28 gemaakte </w:t>
      </w:r>
      <w:r>
        <w:rPr>
          <w:szCs w:val="18"/>
        </w:rPr>
        <w:t xml:space="preserve">afspraak dat landen </w:t>
      </w:r>
      <w:r w:rsidR="002A7788">
        <w:rPr>
          <w:szCs w:val="18"/>
        </w:rPr>
        <w:t>di</w:t>
      </w:r>
      <w:r>
        <w:rPr>
          <w:szCs w:val="18"/>
        </w:rPr>
        <w:t xml:space="preserve">t decennium versneld </w:t>
      </w:r>
      <w:r w:rsidR="002A7788">
        <w:rPr>
          <w:szCs w:val="18"/>
        </w:rPr>
        <w:t xml:space="preserve">toewerken naar een transitie weg </w:t>
      </w:r>
      <w:r>
        <w:rPr>
          <w:szCs w:val="18"/>
        </w:rPr>
        <w:t>van fossiele brandstoffen.</w:t>
      </w:r>
      <w:r>
        <w:rPr>
          <w:rStyle w:val="Voetnootmarkering"/>
          <w:szCs w:val="18"/>
        </w:rPr>
        <w:footnoteReference w:id="2"/>
      </w:r>
      <w:r w:rsidRPr="6BA93C38">
        <w:rPr>
          <w:szCs w:val="18"/>
        </w:rPr>
        <w:t xml:space="preserve"> </w:t>
      </w:r>
    </w:p>
    <w:p w:rsidRPr="005A2732" w:rsidR="00D56D55" w:rsidP="00BC3B2D" w:rsidRDefault="00D56D55" w14:paraId="31EB7CAF" w14:textId="77777777">
      <w:pPr>
        <w:rPr>
          <w:b/>
          <w:bCs/>
          <w:szCs w:val="18"/>
        </w:rPr>
      </w:pPr>
    </w:p>
    <w:p w:rsidR="00D56D55" w:rsidP="00BC3B2D" w:rsidRDefault="00D56D55" w14:paraId="53DFEE01" w14:textId="7E5FB5DC">
      <w:pPr>
        <w:rPr>
          <w:szCs w:val="18"/>
        </w:rPr>
      </w:pPr>
      <w:r>
        <w:rPr>
          <w:szCs w:val="18"/>
        </w:rPr>
        <w:t>De</w:t>
      </w:r>
      <w:r w:rsidRPr="43745329">
        <w:rPr>
          <w:szCs w:val="18"/>
        </w:rPr>
        <w:t xml:space="preserve"> huidige geopolitieke situatie</w:t>
      </w:r>
      <w:r>
        <w:rPr>
          <w:szCs w:val="18"/>
        </w:rPr>
        <w:t xml:space="preserve"> laat zien</w:t>
      </w:r>
      <w:r w:rsidRPr="43745329">
        <w:rPr>
          <w:szCs w:val="18"/>
        </w:rPr>
        <w:t xml:space="preserve"> dat </w:t>
      </w:r>
      <w:r>
        <w:rPr>
          <w:szCs w:val="18"/>
        </w:rPr>
        <w:t>het verminderen van onze afhankelijkheid van fossiele brandstoffen hard nodig is. De grote p</w:t>
      </w:r>
      <w:r w:rsidRPr="43745329">
        <w:rPr>
          <w:szCs w:val="18"/>
        </w:rPr>
        <w:t xml:space="preserve">rijsvolatiliteit en hoge </w:t>
      </w:r>
      <w:r>
        <w:rPr>
          <w:szCs w:val="18"/>
        </w:rPr>
        <w:t xml:space="preserve">prijzen voor </w:t>
      </w:r>
      <w:r w:rsidRPr="43745329">
        <w:rPr>
          <w:szCs w:val="18"/>
        </w:rPr>
        <w:t xml:space="preserve">fossiele </w:t>
      </w:r>
      <w:r>
        <w:rPr>
          <w:szCs w:val="18"/>
        </w:rPr>
        <w:t>energie</w:t>
      </w:r>
      <w:r w:rsidRPr="43745329">
        <w:rPr>
          <w:szCs w:val="18"/>
        </w:rPr>
        <w:t xml:space="preserve"> leiden tot onzekerheid en onverwachte kosten voor huishoudens en bedrijven.</w:t>
      </w:r>
      <w:r>
        <w:rPr>
          <w:szCs w:val="18"/>
        </w:rPr>
        <w:t xml:space="preserve"> Landen met een hoger aandeel hernieuwbare energie zijn beter bestand tegen dergelijke schokken. Door verwevenheid van </w:t>
      </w:r>
      <w:r w:rsidRPr="00C84529">
        <w:rPr>
          <w:szCs w:val="18"/>
        </w:rPr>
        <w:t>fossiele brandstoffen</w:t>
      </w:r>
      <w:r>
        <w:rPr>
          <w:szCs w:val="18"/>
        </w:rPr>
        <w:t xml:space="preserve"> in de wereldwijde economie </w:t>
      </w:r>
      <w:r w:rsidR="002A7788">
        <w:rPr>
          <w:szCs w:val="18"/>
        </w:rPr>
        <w:t xml:space="preserve">en de huidige energiemix </w:t>
      </w:r>
      <w:r>
        <w:rPr>
          <w:szCs w:val="18"/>
        </w:rPr>
        <w:t xml:space="preserve">is de afbouw van fossiel echter geen gemakkelijke opgave. Hoewel de economische logica van de transitie naar schone energie duidelijk is, kent de realisatie allerlei obstakels. </w:t>
      </w:r>
    </w:p>
    <w:p w:rsidR="00D56D55" w:rsidP="00BC3B2D" w:rsidRDefault="00D56D55" w14:paraId="05A4A6D3" w14:textId="77777777">
      <w:pPr>
        <w:rPr>
          <w:szCs w:val="18"/>
        </w:rPr>
      </w:pPr>
    </w:p>
    <w:p w:rsidR="00D56D55" w:rsidP="00BC3B2D" w:rsidRDefault="00D56D55" w14:paraId="50BA7B39" w14:textId="3964D878">
      <w:pPr>
        <w:rPr>
          <w:szCs w:val="18"/>
        </w:rPr>
      </w:pPr>
      <w:r>
        <w:rPr>
          <w:szCs w:val="18"/>
        </w:rPr>
        <w:t>Daarom is het belangrijk dat we een grote groep landen samenbrengen om over oplossingen te spreken</w:t>
      </w:r>
      <w:r w:rsidR="00876EAC">
        <w:rPr>
          <w:szCs w:val="18"/>
        </w:rPr>
        <w:t xml:space="preserve"> </w:t>
      </w:r>
      <w:r>
        <w:rPr>
          <w:szCs w:val="18"/>
        </w:rPr>
        <w:t>en om te bezien hoe zij elkaar kunnen helpen in de uitvoering</w:t>
      </w:r>
      <w:r w:rsidR="00876EAC">
        <w:rPr>
          <w:szCs w:val="18"/>
        </w:rPr>
        <w:t>, ook via verdere internationale samenwerking</w:t>
      </w:r>
      <w:r>
        <w:rPr>
          <w:szCs w:val="18"/>
        </w:rPr>
        <w:t>. In deze brief zal ik nader ingaan op de</w:t>
      </w:r>
      <w:r w:rsidRPr="6BA93C38">
        <w:rPr>
          <w:szCs w:val="18"/>
        </w:rPr>
        <w:t xml:space="preserve"> </w:t>
      </w:r>
      <w:r>
        <w:rPr>
          <w:szCs w:val="18"/>
        </w:rPr>
        <w:t>opzet en inhoud</w:t>
      </w:r>
      <w:r w:rsidRPr="6BA93C38">
        <w:rPr>
          <w:szCs w:val="18"/>
        </w:rPr>
        <w:t xml:space="preserve"> van de conferentie, de inzet van Nederland, het proces tot nu toe en </w:t>
      </w:r>
      <w:r>
        <w:rPr>
          <w:szCs w:val="18"/>
        </w:rPr>
        <w:t xml:space="preserve">op </w:t>
      </w:r>
      <w:r w:rsidRPr="6BA93C38">
        <w:rPr>
          <w:szCs w:val="18"/>
        </w:rPr>
        <w:t>de beoogde uitkomsten</w:t>
      </w:r>
      <w:r>
        <w:rPr>
          <w:szCs w:val="18"/>
        </w:rPr>
        <w:t xml:space="preserve"> van de ministeriële bijeenkomst op 28 en 29 april</w:t>
      </w:r>
      <w:r w:rsidRPr="6BA93C38">
        <w:rPr>
          <w:szCs w:val="18"/>
        </w:rPr>
        <w:t>.</w:t>
      </w:r>
    </w:p>
    <w:p w:rsidRPr="00DF0273" w:rsidR="00D56D55" w:rsidP="00BC3B2D" w:rsidRDefault="00D56D55" w14:paraId="5D779554" w14:textId="77777777">
      <w:pPr>
        <w:rPr>
          <w:szCs w:val="18"/>
        </w:rPr>
      </w:pPr>
    </w:p>
    <w:p w:rsidRPr="00DA547E" w:rsidR="00D56D55" w:rsidP="00BC3B2D" w:rsidRDefault="00D56D55" w14:paraId="1D1611E6" w14:textId="77777777">
      <w:pPr>
        <w:rPr>
          <w:b/>
          <w:szCs w:val="18"/>
        </w:rPr>
      </w:pPr>
      <w:r w:rsidRPr="00DA547E">
        <w:rPr>
          <w:b/>
          <w:szCs w:val="18"/>
        </w:rPr>
        <w:t>Aanleiding</w:t>
      </w:r>
    </w:p>
    <w:p w:rsidR="00D56D55" w:rsidP="00BC3B2D" w:rsidRDefault="00D56D55" w14:paraId="72B97660" w14:textId="7AAB71F4">
      <w:pPr>
        <w:rPr>
          <w:szCs w:val="18"/>
        </w:rPr>
      </w:pPr>
      <w:r>
        <w:rPr>
          <w:szCs w:val="18"/>
        </w:rPr>
        <w:t>O</w:t>
      </w:r>
      <w:r w:rsidRPr="00E55224">
        <w:rPr>
          <w:szCs w:val="18"/>
        </w:rPr>
        <w:t xml:space="preserve">m </w:t>
      </w:r>
      <w:r>
        <w:rPr>
          <w:szCs w:val="18"/>
        </w:rPr>
        <w:t>de opwarming van de aarde beperkt te houden tot 1,5C hebben landen e</w:t>
      </w:r>
      <w:r>
        <w:rPr>
          <w:bCs/>
          <w:szCs w:val="18"/>
        </w:rPr>
        <w:t>ind 2023 geconcludeerd</w:t>
      </w:r>
      <w:r w:rsidRPr="00E55224">
        <w:rPr>
          <w:szCs w:val="18"/>
        </w:rPr>
        <w:t xml:space="preserve"> dat </w:t>
      </w:r>
      <w:r>
        <w:rPr>
          <w:szCs w:val="18"/>
        </w:rPr>
        <w:t xml:space="preserve">het nodig is om versneld </w:t>
      </w:r>
      <w:r w:rsidRPr="00E55224">
        <w:rPr>
          <w:szCs w:val="18"/>
        </w:rPr>
        <w:t>weg</w:t>
      </w:r>
      <w:r>
        <w:rPr>
          <w:szCs w:val="18"/>
        </w:rPr>
        <w:t xml:space="preserve"> te </w:t>
      </w:r>
      <w:r w:rsidRPr="00E55224">
        <w:rPr>
          <w:szCs w:val="18"/>
        </w:rPr>
        <w:t xml:space="preserve">bewegen van fossiele </w:t>
      </w:r>
      <w:r w:rsidRPr="00E55224">
        <w:rPr>
          <w:szCs w:val="18"/>
        </w:rPr>
        <w:lastRenderedPageBreak/>
        <w:t xml:space="preserve">brandstoffen in energiesystemen en </w:t>
      </w:r>
      <w:r>
        <w:rPr>
          <w:szCs w:val="18"/>
        </w:rPr>
        <w:t xml:space="preserve">om te </w:t>
      </w:r>
      <w:r w:rsidRPr="00E55224">
        <w:rPr>
          <w:szCs w:val="18"/>
        </w:rPr>
        <w:t>stoppen met inefficiënte fossiele subsidies</w:t>
      </w:r>
      <w:r>
        <w:rPr>
          <w:szCs w:val="18"/>
        </w:rPr>
        <w:t>.</w:t>
      </w:r>
      <w:r>
        <w:rPr>
          <w:rStyle w:val="Voetnootmarkering"/>
          <w:szCs w:val="18"/>
        </w:rPr>
        <w:footnoteReference w:id="3"/>
      </w:r>
      <w:r w:rsidRPr="00E55224">
        <w:rPr>
          <w:szCs w:val="18"/>
        </w:rPr>
        <w:t xml:space="preserve"> </w:t>
      </w:r>
      <w:r>
        <w:rPr>
          <w:szCs w:val="18"/>
        </w:rPr>
        <w:t>Tijdens de afgelopen VN-klimaatconferentie, COP30, riep een grote groep landen op om hiertoe een wereldwijde routekaart af te spreken, waarmee de uitvoering van deze afspraak richting zou krijgen.</w:t>
      </w:r>
      <w:r w:rsidRPr="00E55224">
        <w:rPr>
          <w:szCs w:val="18"/>
        </w:rPr>
        <w:t xml:space="preserve"> </w:t>
      </w:r>
      <w:r>
        <w:rPr>
          <w:szCs w:val="18"/>
        </w:rPr>
        <w:t>In Belém bleek het echter nog niet mogelijk om wereldwijde consensus te vinden. De conferentie in Santa Marta biedt de</w:t>
      </w:r>
      <w:r w:rsidR="00975B6E">
        <w:rPr>
          <w:szCs w:val="18"/>
        </w:rPr>
        <w:t xml:space="preserve"> aanwezige</w:t>
      </w:r>
      <w:r>
        <w:rPr>
          <w:szCs w:val="18"/>
        </w:rPr>
        <w:t xml:space="preserve"> groep landen een kans om desondanks door</w:t>
      </w:r>
      <w:r w:rsidRPr="00E55224">
        <w:rPr>
          <w:szCs w:val="18"/>
        </w:rPr>
        <w:t xml:space="preserve"> te werken aan concrete oplossingen voor </w:t>
      </w:r>
      <w:r>
        <w:rPr>
          <w:szCs w:val="18"/>
        </w:rPr>
        <w:t>de</w:t>
      </w:r>
      <w:r w:rsidRPr="00E55224">
        <w:rPr>
          <w:szCs w:val="18"/>
        </w:rPr>
        <w:t xml:space="preserve"> afbouw van fossiele brandstoffen. </w:t>
      </w:r>
    </w:p>
    <w:p w:rsidRPr="00E55224" w:rsidR="00D56D55" w:rsidP="00BC3B2D" w:rsidRDefault="00D56D55" w14:paraId="0E0813A0" w14:textId="77777777">
      <w:pPr>
        <w:rPr>
          <w:szCs w:val="18"/>
        </w:rPr>
      </w:pPr>
    </w:p>
    <w:p w:rsidRPr="00DA547E" w:rsidR="00D56D55" w:rsidP="00BC3B2D" w:rsidRDefault="00D56D55" w14:paraId="4FFF2833" w14:textId="77777777">
      <w:pPr>
        <w:rPr>
          <w:b/>
          <w:bCs/>
          <w:szCs w:val="18"/>
        </w:rPr>
      </w:pPr>
      <w:r w:rsidRPr="00DA547E">
        <w:rPr>
          <w:b/>
          <w:bCs/>
          <w:szCs w:val="18"/>
        </w:rPr>
        <w:t>Opzet en inhoud van de conferentie</w:t>
      </w:r>
    </w:p>
    <w:p w:rsidR="00D56D55" w:rsidP="00BC3B2D" w:rsidRDefault="00D56D55" w14:paraId="0AB618F4" w14:textId="4A00451B">
      <w:pPr>
        <w:rPr>
          <w:szCs w:val="18"/>
        </w:rPr>
      </w:pPr>
      <w:r>
        <w:rPr>
          <w:szCs w:val="18"/>
        </w:rPr>
        <w:t xml:space="preserve">Gedurende in totaal zes dagen zullen diverse belanghebbenden en landen samenkomen om hun oplossingen te delen en toe te werken naar nieuwe plannen om deze te realiseren. </w:t>
      </w:r>
      <w:r w:rsidRPr="00950FED" w:rsidR="00950FED">
        <w:rPr>
          <w:szCs w:val="18"/>
        </w:rPr>
        <w:t>Voor de conferentie zijn landen uitgenodigd die aan hebben gegeven actief met de afbouw van fossiele brandstoffen aan de slag te willen gaan. Daarnaast wordt gestreefd naar een gebalanceerde afvaardiging,</w:t>
      </w:r>
      <w:r w:rsidR="00950FED">
        <w:rPr>
          <w:szCs w:val="18"/>
        </w:rPr>
        <w:t xml:space="preserve"> en een totaal aantal deelnemers dat ministers in staat stelt </w:t>
      </w:r>
      <w:r>
        <w:rPr>
          <w:szCs w:val="18"/>
        </w:rPr>
        <w:t xml:space="preserve">de nodige verdiepende gesprekken te kunnen voeren. Op dit moment worden circa vijftig landen verwacht. </w:t>
      </w:r>
    </w:p>
    <w:p w:rsidR="00D56D55" w:rsidP="00BC3B2D" w:rsidRDefault="00D56D55" w14:paraId="5441ECBA" w14:textId="77777777">
      <w:pPr>
        <w:rPr>
          <w:szCs w:val="18"/>
        </w:rPr>
      </w:pPr>
    </w:p>
    <w:p w:rsidR="00D56D55" w:rsidP="00BC3B2D" w:rsidRDefault="00D56D55" w14:paraId="06E7F5C0" w14:textId="405E1199">
      <w:pPr>
        <w:rPr>
          <w:szCs w:val="18"/>
        </w:rPr>
      </w:pPr>
      <w:r w:rsidRPr="6BA93C38">
        <w:rPr>
          <w:szCs w:val="18"/>
        </w:rPr>
        <w:t xml:space="preserve">De conferentie </w:t>
      </w:r>
      <w:r>
        <w:rPr>
          <w:szCs w:val="18"/>
        </w:rPr>
        <w:t>is gestructureerd rond</w:t>
      </w:r>
      <w:r w:rsidRPr="6BA93C38">
        <w:rPr>
          <w:szCs w:val="18"/>
        </w:rPr>
        <w:t xml:space="preserve"> drie thema’s die essentieel zijn voor het versnellen van de </w:t>
      </w:r>
      <w:r>
        <w:rPr>
          <w:szCs w:val="18"/>
        </w:rPr>
        <w:t>afbouw</w:t>
      </w:r>
      <w:r w:rsidRPr="6BA93C38">
        <w:rPr>
          <w:szCs w:val="18"/>
        </w:rPr>
        <w:t>. Ten eerste</w:t>
      </w:r>
      <w:r>
        <w:rPr>
          <w:szCs w:val="18"/>
        </w:rPr>
        <w:t>,</w:t>
      </w:r>
      <w:r w:rsidRPr="6BA93C38">
        <w:rPr>
          <w:szCs w:val="18"/>
        </w:rPr>
        <w:t xml:space="preserve"> het verminderen van economische afhankelijkheid van fossiele brandstoffen, door landen concreet te ondersteunen bij het verbreden van hun economische basis en het versterken van toekomstbestendige sectoren. Ten tweede</w:t>
      </w:r>
      <w:r>
        <w:rPr>
          <w:szCs w:val="18"/>
        </w:rPr>
        <w:t>,</w:t>
      </w:r>
      <w:r w:rsidRPr="6BA93C38">
        <w:rPr>
          <w:szCs w:val="18"/>
        </w:rPr>
        <w:t xml:space="preserve"> het hervormen van </w:t>
      </w:r>
      <w:r>
        <w:rPr>
          <w:szCs w:val="18"/>
        </w:rPr>
        <w:t xml:space="preserve">de </w:t>
      </w:r>
      <w:r w:rsidRPr="6BA93C38">
        <w:rPr>
          <w:szCs w:val="18"/>
        </w:rPr>
        <w:t xml:space="preserve">vraag en </w:t>
      </w:r>
      <w:r>
        <w:rPr>
          <w:szCs w:val="18"/>
        </w:rPr>
        <w:t xml:space="preserve">het </w:t>
      </w:r>
      <w:r w:rsidRPr="6BA93C38">
        <w:rPr>
          <w:szCs w:val="18"/>
        </w:rPr>
        <w:t>aanbod</w:t>
      </w:r>
      <w:r>
        <w:rPr>
          <w:szCs w:val="18"/>
        </w:rPr>
        <w:t xml:space="preserve"> van deze brandstoffen</w:t>
      </w:r>
      <w:r w:rsidRPr="6BA93C38">
        <w:rPr>
          <w:szCs w:val="18"/>
        </w:rPr>
        <w:t xml:space="preserve">, waaronder het afbouwen van </w:t>
      </w:r>
      <w:r>
        <w:rPr>
          <w:szCs w:val="18"/>
        </w:rPr>
        <w:t>financiële</w:t>
      </w:r>
      <w:r w:rsidRPr="6BA93C38">
        <w:rPr>
          <w:szCs w:val="18"/>
        </w:rPr>
        <w:t xml:space="preserve"> prikkels</w:t>
      </w:r>
      <w:r>
        <w:rPr>
          <w:szCs w:val="18"/>
        </w:rPr>
        <w:t xml:space="preserve"> voor fossiele brandstoffen</w:t>
      </w:r>
      <w:r w:rsidRPr="6BA93C38">
        <w:rPr>
          <w:szCs w:val="18"/>
        </w:rPr>
        <w:t xml:space="preserve"> en het bevorderen van duurzame alternatieven. Ten derde</w:t>
      </w:r>
      <w:r>
        <w:rPr>
          <w:szCs w:val="18"/>
        </w:rPr>
        <w:t>,</w:t>
      </w:r>
      <w:r w:rsidRPr="6BA93C38">
        <w:rPr>
          <w:szCs w:val="18"/>
        </w:rPr>
        <w:t xml:space="preserve"> het versterken van internationale samenwerking en multilateralisme</w:t>
      </w:r>
      <w:r>
        <w:rPr>
          <w:szCs w:val="18"/>
        </w:rPr>
        <w:t xml:space="preserve"> op dit onderwerp</w:t>
      </w:r>
      <w:r w:rsidRPr="6BA93C38">
        <w:rPr>
          <w:szCs w:val="18"/>
        </w:rPr>
        <w:t xml:space="preserve">, met oog voor effectieve klimaatdiplomatie en gezamenlijke oplossingen. </w:t>
      </w:r>
      <w:r w:rsidR="00950FED">
        <w:rPr>
          <w:szCs w:val="18"/>
        </w:rPr>
        <w:t xml:space="preserve">Tijdens het ministeriële deel op 28 en 29 april vinden verdiepende gesprekken plaats tussen landen en stakeholders op deze thema’s. Door uitdagingen en </w:t>
      </w:r>
      <w:r w:rsidRPr="00441693" w:rsidR="00950FED">
        <w:rPr>
          <w:i/>
          <w:szCs w:val="18"/>
        </w:rPr>
        <w:t>best practices</w:t>
      </w:r>
      <w:r w:rsidR="00950FED">
        <w:rPr>
          <w:szCs w:val="18"/>
        </w:rPr>
        <w:t xml:space="preserve"> te delen, wordt van elkaars ervaring geleerd en de transitie versterkt.</w:t>
      </w:r>
    </w:p>
    <w:p w:rsidR="00D56D55" w:rsidP="00BC3B2D" w:rsidRDefault="00D56D55" w14:paraId="5657528E" w14:textId="77777777">
      <w:pPr>
        <w:rPr>
          <w:szCs w:val="18"/>
        </w:rPr>
      </w:pPr>
    </w:p>
    <w:p w:rsidR="00D56D55" w:rsidP="00BC3B2D" w:rsidRDefault="00D56D55" w14:paraId="0BCB8791" w14:textId="531C9DA2">
      <w:pPr>
        <w:rPr>
          <w:szCs w:val="18"/>
        </w:rPr>
      </w:pPr>
      <w:r w:rsidRPr="6BA93C38">
        <w:rPr>
          <w:szCs w:val="18"/>
        </w:rPr>
        <w:t xml:space="preserve">De conferentie is nadrukkelijk geen vervanging van </w:t>
      </w:r>
      <w:r>
        <w:rPr>
          <w:szCs w:val="18"/>
        </w:rPr>
        <w:t>de jaarlijkse VN-klimaatconferenties (COP). Wel biedt het</w:t>
      </w:r>
      <w:r w:rsidRPr="6BA93C38">
        <w:rPr>
          <w:szCs w:val="18"/>
        </w:rPr>
        <w:t xml:space="preserve"> een aanvullend platform </w:t>
      </w:r>
      <w:r>
        <w:rPr>
          <w:szCs w:val="18"/>
        </w:rPr>
        <w:t>gericht</w:t>
      </w:r>
      <w:r w:rsidRPr="6BA93C38">
        <w:rPr>
          <w:szCs w:val="18"/>
        </w:rPr>
        <w:t xml:space="preserve"> op concrete stappen </w:t>
      </w:r>
      <w:r>
        <w:rPr>
          <w:szCs w:val="18"/>
        </w:rPr>
        <w:t>om de wereldwijde afbouw</w:t>
      </w:r>
      <w:r w:rsidRPr="6BA93C38">
        <w:rPr>
          <w:szCs w:val="18"/>
        </w:rPr>
        <w:t xml:space="preserve"> van fossiele brandstoffen</w:t>
      </w:r>
      <w:r>
        <w:rPr>
          <w:szCs w:val="18"/>
        </w:rPr>
        <w:t xml:space="preserve"> te helpen versnellen</w:t>
      </w:r>
      <w:r w:rsidRPr="6BA93C38">
        <w:rPr>
          <w:szCs w:val="18"/>
        </w:rPr>
        <w:t xml:space="preserve">. </w:t>
      </w:r>
      <w:r>
        <w:rPr>
          <w:szCs w:val="18"/>
        </w:rPr>
        <w:t xml:space="preserve">Colombia en Nederland </w:t>
      </w:r>
      <w:r w:rsidRPr="43745329">
        <w:rPr>
          <w:szCs w:val="18"/>
        </w:rPr>
        <w:t xml:space="preserve">willen </w:t>
      </w:r>
      <w:r>
        <w:rPr>
          <w:szCs w:val="18"/>
        </w:rPr>
        <w:t xml:space="preserve">daarnaast een constructieve </w:t>
      </w:r>
      <w:r w:rsidRPr="43745329">
        <w:rPr>
          <w:szCs w:val="18"/>
        </w:rPr>
        <w:t xml:space="preserve">impuls geven aan </w:t>
      </w:r>
      <w:r>
        <w:rPr>
          <w:szCs w:val="18"/>
        </w:rPr>
        <w:t xml:space="preserve">de ontwikkeling van een routekaart voor de transitie weg van fossiele brandstoffen, zoals aangekondigd door het Braziliaanse voorzitterschap van COP30. Het voorzitterschap is aanwezig in Santa Marta en ontvangt na afloop van de conferentie </w:t>
      </w:r>
      <w:r w:rsidR="00F33D6B">
        <w:rPr>
          <w:szCs w:val="18"/>
        </w:rPr>
        <w:t xml:space="preserve">zowel </w:t>
      </w:r>
      <w:r>
        <w:rPr>
          <w:szCs w:val="18"/>
        </w:rPr>
        <w:t xml:space="preserve">de officiële samenvatting van de besprekingen als </w:t>
      </w:r>
      <w:r w:rsidR="00F33D6B">
        <w:rPr>
          <w:szCs w:val="18"/>
        </w:rPr>
        <w:t xml:space="preserve">de </w:t>
      </w:r>
      <w:r>
        <w:rPr>
          <w:szCs w:val="18"/>
        </w:rPr>
        <w:t xml:space="preserve">inbreng voor de routekaart. </w:t>
      </w:r>
      <w:r w:rsidR="00876EAC">
        <w:rPr>
          <w:szCs w:val="18"/>
        </w:rPr>
        <w:t xml:space="preserve">Zo zorgen we dat de uitkomsten van de conferentie goed worden ingebed in de ontwikkeling van deze routekaart. </w:t>
      </w:r>
      <w:r>
        <w:rPr>
          <w:szCs w:val="18"/>
        </w:rPr>
        <w:t xml:space="preserve">Hiermee geeft het kabinet ook uitvoering aan </w:t>
      </w:r>
      <w:r w:rsidRPr="00220E03">
        <w:rPr>
          <w:szCs w:val="18"/>
        </w:rPr>
        <w:t>de motie</w:t>
      </w:r>
      <w:r w:rsidR="002A7788">
        <w:rPr>
          <w:szCs w:val="18"/>
        </w:rPr>
        <w:t xml:space="preserve"> van het lid </w:t>
      </w:r>
      <w:r w:rsidRPr="00220E03">
        <w:rPr>
          <w:szCs w:val="18"/>
        </w:rPr>
        <w:t xml:space="preserve">Teunissen over </w:t>
      </w:r>
      <w:r>
        <w:rPr>
          <w:szCs w:val="18"/>
        </w:rPr>
        <w:t xml:space="preserve">het opnemen van </w:t>
      </w:r>
      <w:r w:rsidRPr="00220E03">
        <w:rPr>
          <w:szCs w:val="18"/>
        </w:rPr>
        <w:t xml:space="preserve">de uitkomsten van de conferentie in Colombia in de </w:t>
      </w:r>
      <w:r w:rsidRPr="005A2732">
        <w:rPr>
          <w:i/>
          <w:iCs/>
          <w:szCs w:val="18"/>
        </w:rPr>
        <w:t>Transitioning Away From Fossil Fuels Roadmap</w:t>
      </w:r>
      <w:r>
        <w:rPr>
          <w:szCs w:val="18"/>
        </w:rPr>
        <w:t>.</w:t>
      </w:r>
      <w:r>
        <w:rPr>
          <w:rStyle w:val="Voetnootmarkering"/>
          <w:szCs w:val="18"/>
        </w:rPr>
        <w:footnoteReference w:id="4"/>
      </w:r>
      <w:r w:rsidR="00950FED">
        <w:rPr>
          <w:szCs w:val="18"/>
        </w:rPr>
        <w:t xml:space="preserve"> Het kabinet zet ook in op bredere terugkoppeling van de conferentie aan het COP-voorzitterschap.</w:t>
      </w:r>
    </w:p>
    <w:p w:rsidRPr="00F33D6B" w:rsidR="00876EAC" w:rsidP="00BC3B2D" w:rsidRDefault="00876EAC" w14:paraId="20E76DC2" w14:textId="77777777">
      <w:pPr>
        <w:rPr>
          <w:szCs w:val="18"/>
        </w:rPr>
      </w:pPr>
    </w:p>
    <w:p w:rsidR="00852329" w:rsidRDefault="00852329" w14:paraId="2920B6D6" w14:textId="77777777">
      <w:pPr>
        <w:spacing w:line="240" w:lineRule="auto"/>
        <w:rPr>
          <w:b/>
          <w:bCs/>
          <w:szCs w:val="18"/>
        </w:rPr>
      </w:pPr>
      <w:r>
        <w:rPr>
          <w:b/>
          <w:bCs/>
          <w:szCs w:val="18"/>
        </w:rPr>
        <w:br w:type="page"/>
      </w:r>
    </w:p>
    <w:p w:rsidRPr="00DA547E" w:rsidR="00D56D55" w:rsidP="00BC3B2D" w:rsidRDefault="00D56D55" w14:paraId="1A1C7DBA" w14:textId="1A5AD16B">
      <w:pPr>
        <w:rPr>
          <w:b/>
          <w:bCs/>
          <w:szCs w:val="18"/>
        </w:rPr>
      </w:pPr>
      <w:r w:rsidRPr="00DA547E">
        <w:rPr>
          <w:b/>
          <w:bCs/>
          <w:szCs w:val="18"/>
        </w:rPr>
        <w:lastRenderedPageBreak/>
        <w:t>Inzet Nederland</w:t>
      </w:r>
    </w:p>
    <w:p w:rsidR="00D56D55" w:rsidP="00BC3B2D" w:rsidRDefault="00D56D55" w14:paraId="520FF6F3" w14:textId="28569CA5">
      <w:pPr>
        <w:rPr>
          <w:szCs w:val="18"/>
        </w:rPr>
      </w:pPr>
      <w:r w:rsidRPr="00AB221D" w:rsidDel="000A3469">
        <w:rPr>
          <w:szCs w:val="18"/>
        </w:rPr>
        <w:t xml:space="preserve">Voor Nederland is deze conferentie belangrijk om mondiale partnerschappen voor de </w:t>
      </w:r>
      <w:r>
        <w:rPr>
          <w:szCs w:val="18"/>
        </w:rPr>
        <w:t xml:space="preserve">afbouw </w:t>
      </w:r>
      <w:r w:rsidRPr="00AB221D" w:rsidDel="000A3469">
        <w:rPr>
          <w:szCs w:val="18"/>
        </w:rPr>
        <w:t xml:space="preserve">van fossiele brandstoffen </w:t>
      </w:r>
      <w:r w:rsidDel="000A3469">
        <w:rPr>
          <w:szCs w:val="18"/>
        </w:rPr>
        <w:t>op te zetten en te versterken</w:t>
      </w:r>
      <w:r w:rsidRPr="00AB221D" w:rsidDel="000A3469">
        <w:rPr>
          <w:szCs w:val="18"/>
        </w:rPr>
        <w:t xml:space="preserve">. </w:t>
      </w:r>
      <w:r>
        <w:rPr>
          <w:szCs w:val="18"/>
        </w:rPr>
        <w:t>E</w:t>
      </w:r>
      <w:r w:rsidRPr="00AB221D" w:rsidDel="000A3469">
        <w:rPr>
          <w:szCs w:val="18"/>
        </w:rPr>
        <w:t xml:space="preserve">en gelijk speelveld tussen landen is hierbij cruciaal, zodat gezamenlijk ambitieuze stappen kunnen worden gezet zonder </w:t>
      </w:r>
      <w:r w:rsidR="00831A31">
        <w:rPr>
          <w:szCs w:val="18"/>
        </w:rPr>
        <w:t xml:space="preserve">grote </w:t>
      </w:r>
      <w:r w:rsidRPr="00AB221D" w:rsidDel="000A3469">
        <w:rPr>
          <w:szCs w:val="18"/>
        </w:rPr>
        <w:t>concurrentienadelen en met oog voor internationale stabiliteit en samenwerking.</w:t>
      </w:r>
      <w:r w:rsidDel="000A3469">
        <w:rPr>
          <w:szCs w:val="18"/>
        </w:rPr>
        <w:t xml:space="preserve"> Mondiale partnerschappen zijn ook belangrijk om als overheden gezamenlijk te sturen op een verantwoorde afbouw van fossiele brandstoffen. Dergelijke samenwerkingen en plannen vergroten de duidelijkheid over de transitie en dragen bij aan stabiliteit </w:t>
      </w:r>
      <w:r w:rsidR="00831A31">
        <w:rPr>
          <w:szCs w:val="18"/>
        </w:rPr>
        <w:t>(en daardoor minder p</w:t>
      </w:r>
      <w:r w:rsidRPr="43745329" w:rsidR="00831A31">
        <w:rPr>
          <w:szCs w:val="18"/>
        </w:rPr>
        <w:t>rijsvolatiliteit</w:t>
      </w:r>
      <w:r w:rsidR="00831A31">
        <w:rPr>
          <w:szCs w:val="18"/>
        </w:rPr>
        <w:t xml:space="preserve">) </w:t>
      </w:r>
      <w:r w:rsidDel="000A3469">
        <w:rPr>
          <w:szCs w:val="18"/>
        </w:rPr>
        <w:t>in de</w:t>
      </w:r>
      <w:r w:rsidR="00831A31">
        <w:rPr>
          <w:szCs w:val="18"/>
        </w:rPr>
        <w:t xml:space="preserve"> </w:t>
      </w:r>
      <w:r w:rsidDel="000A3469">
        <w:rPr>
          <w:szCs w:val="18"/>
        </w:rPr>
        <w:t xml:space="preserve">mondiale fossiele brandstoffenmarkten. </w:t>
      </w:r>
      <w:r w:rsidRPr="007655A7" w:rsidR="00950FED">
        <w:rPr>
          <w:szCs w:val="18"/>
        </w:rPr>
        <w:t xml:space="preserve">Hier hoort ook bij dat financieringsmogelijkheden worden gekoppeld aan de juiste initiatieven. Daarom </w:t>
      </w:r>
      <w:r w:rsidR="00950FED">
        <w:rPr>
          <w:szCs w:val="18"/>
        </w:rPr>
        <w:t>besteedt</w:t>
      </w:r>
      <w:r w:rsidRPr="007655A7" w:rsidR="00950FED">
        <w:rPr>
          <w:szCs w:val="18"/>
        </w:rPr>
        <w:t xml:space="preserve"> de conferentie </w:t>
      </w:r>
      <w:r w:rsidR="00950FED">
        <w:rPr>
          <w:szCs w:val="18"/>
        </w:rPr>
        <w:t xml:space="preserve">ook </w:t>
      </w:r>
      <w:r w:rsidRPr="007655A7" w:rsidR="00950FED">
        <w:rPr>
          <w:szCs w:val="18"/>
        </w:rPr>
        <w:t xml:space="preserve">aandacht aan financieringsvraagstukken en de </w:t>
      </w:r>
      <w:r w:rsidRPr="00B00DF0" w:rsidR="00950FED">
        <w:rPr>
          <w:szCs w:val="18"/>
        </w:rPr>
        <w:t>hiervoor bestaande of benodigde</w:t>
      </w:r>
      <w:r w:rsidR="00950FED">
        <w:rPr>
          <w:szCs w:val="18"/>
        </w:rPr>
        <w:t xml:space="preserve"> o</w:t>
      </w:r>
      <w:r w:rsidRPr="00B00DF0" w:rsidR="00950FED">
        <w:rPr>
          <w:szCs w:val="18"/>
        </w:rPr>
        <w:t>plossingen, met name vanuit ontwikkelingsbanken.</w:t>
      </w:r>
    </w:p>
    <w:p w:rsidR="00D56D55" w:rsidP="00BC3B2D" w:rsidRDefault="00D56D55" w14:paraId="55FA182B" w14:textId="77777777">
      <w:pPr>
        <w:rPr>
          <w:szCs w:val="18"/>
        </w:rPr>
      </w:pPr>
    </w:p>
    <w:p w:rsidR="00D56D55" w:rsidP="00BC3B2D" w:rsidRDefault="00D56D55" w14:paraId="4981B2D3" w14:textId="15F6B043">
      <w:pPr>
        <w:rPr>
          <w:szCs w:val="18"/>
        </w:rPr>
      </w:pPr>
      <w:r>
        <w:rPr>
          <w:szCs w:val="18"/>
        </w:rPr>
        <w:t>N</w:t>
      </w:r>
      <w:r w:rsidRPr="00DF0273">
        <w:rPr>
          <w:szCs w:val="18"/>
        </w:rPr>
        <w:t>ederland</w:t>
      </w:r>
      <w:r>
        <w:rPr>
          <w:szCs w:val="18"/>
        </w:rPr>
        <w:t xml:space="preserve"> richt zich</w:t>
      </w:r>
      <w:r w:rsidRPr="00DF0273">
        <w:rPr>
          <w:szCs w:val="18"/>
        </w:rPr>
        <w:t xml:space="preserve"> </w:t>
      </w:r>
      <w:r>
        <w:rPr>
          <w:szCs w:val="18"/>
        </w:rPr>
        <w:t xml:space="preserve">daarnaast </w:t>
      </w:r>
      <w:r w:rsidRPr="00DF0273">
        <w:rPr>
          <w:szCs w:val="18"/>
        </w:rPr>
        <w:t>op een belangrijke sleutel voor de transitie</w:t>
      </w:r>
      <w:r>
        <w:rPr>
          <w:szCs w:val="18"/>
        </w:rPr>
        <w:t>;</w:t>
      </w:r>
      <w:r w:rsidRPr="00DF0273">
        <w:rPr>
          <w:szCs w:val="18"/>
        </w:rPr>
        <w:t xml:space="preserve"> het uitfaseren van financiële prikkels voor fossiele brandstoffen. </w:t>
      </w:r>
      <w:r w:rsidRPr="00DF0273">
        <w:rPr>
          <w:rFonts w:eastAsiaTheme="minorEastAsia"/>
          <w:szCs w:val="18"/>
        </w:rPr>
        <w:t>Nederland heeft tijdens COP28 een internationale coalitie gelanceerd voor landen die internationale toezeggingen willen omzetten in concrete actie (de COFFIS</w:t>
      </w:r>
      <w:r>
        <w:rPr>
          <w:rStyle w:val="Voetnootmarkering"/>
          <w:rFonts w:eastAsiaTheme="minorEastAsia"/>
          <w:szCs w:val="18"/>
        </w:rPr>
        <w:footnoteReference w:id="5"/>
      </w:r>
      <w:r w:rsidRPr="00DF0273">
        <w:rPr>
          <w:rFonts w:eastAsiaTheme="minorEastAsia"/>
          <w:szCs w:val="18"/>
        </w:rPr>
        <w:t xml:space="preserve"> coalitie). Landen die aansluiten zeggen toe om een nationale inventaris en een uitfaseringsplan te publiceren. </w:t>
      </w:r>
      <w:r w:rsidRPr="43745329">
        <w:rPr>
          <w:rFonts w:eastAsiaTheme="minorEastAsia"/>
          <w:szCs w:val="18"/>
        </w:rPr>
        <w:t xml:space="preserve">Nederland </w:t>
      </w:r>
      <w:r>
        <w:rPr>
          <w:rFonts w:eastAsiaTheme="minorEastAsia"/>
          <w:szCs w:val="18"/>
        </w:rPr>
        <w:t xml:space="preserve">heeft </w:t>
      </w:r>
      <w:r w:rsidR="00876EAC">
        <w:rPr>
          <w:rFonts w:eastAsiaTheme="minorEastAsia"/>
          <w:szCs w:val="18"/>
        </w:rPr>
        <w:t>deze</w:t>
      </w:r>
      <w:r>
        <w:rPr>
          <w:rFonts w:eastAsiaTheme="minorEastAsia"/>
          <w:szCs w:val="18"/>
        </w:rPr>
        <w:t xml:space="preserve"> </w:t>
      </w:r>
      <w:r w:rsidR="00876EAC">
        <w:rPr>
          <w:rFonts w:eastAsiaTheme="minorEastAsia"/>
          <w:szCs w:val="18"/>
        </w:rPr>
        <w:t>i</w:t>
      </w:r>
      <w:r>
        <w:rPr>
          <w:rFonts w:eastAsiaTheme="minorEastAsia"/>
          <w:szCs w:val="18"/>
        </w:rPr>
        <w:t>nmiddels gepubliceerd.</w:t>
      </w:r>
      <w:r w:rsidR="00950FED">
        <w:rPr>
          <w:rStyle w:val="Voetnootmarkering"/>
          <w:rFonts w:eastAsiaTheme="minorEastAsia"/>
          <w:szCs w:val="18"/>
        </w:rPr>
        <w:footnoteReference w:id="6"/>
      </w:r>
      <w:r>
        <w:rPr>
          <w:rFonts w:eastAsiaTheme="minorEastAsia"/>
          <w:szCs w:val="18"/>
        </w:rPr>
        <w:t xml:space="preserve"> </w:t>
      </w:r>
    </w:p>
    <w:p w:rsidR="00D56D55" w:rsidP="00BC3B2D" w:rsidRDefault="00D56D55" w14:paraId="35D22A39" w14:textId="77777777">
      <w:pPr>
        <w:rPr>
          <w:szCs w:val="18"/>
          <w:highlight w:val="yellow"/>
        </w:rPr>
      </w:pPr>
    </w:p>
    <w:p w:rsidR="00D56D55" w:rsidP="00BC3B2D" w:rsidRDefault="00D56D55" w14:paraId="0FB62DBC" w14:textId="4F4B73DB">
      <w:pPr>
        <w:rPr>
          <w:szCs w:val="18"/>
        </w:rPr>
      </w:pPr>
      <w:r>
        <w:rPr>
          <w:szCs w:val="18"/>
        </w:rPr>
        <w:t>Tot slot wil N</w:t>
      </w:r>
      <w:r w:rsidRPr="00BD482C">
        <w:rPr>
          <w:szCs w:val="18"/>
        </w:rPr>
        <w:t xml:space="preserve">ederland </w:t>
      </w:r>
      <w:r>
        <w:rPr>
          <w:szCs w:val="18"/>
        </w:rPr>
        <w:t xml:space="preserve">op </w:t>
      </w:r>
      <w:r w:rsidRPr="00BD482C">
        <w:rPr>
          <w:szCs w:val="18"/>
        </w:rPr>
        <w:t xml:space="preserve">de conferentie laten zien wat </w:t>
      </w:r>
      <w:r w:rsidR="00FE6692">
        <w:rPr>
          <w:szCs w:val="18"/>
        </w:rPr>
        <w:t xml:space="preserve">nu </w:t>
      </w:r>
      <w:r w:rsidRPr="00BD482C">
        <w:rPr>
          <w:szCs w:val="18"/>
        </w:rPr>
        <w:t>al mogelijk is in de transitie weg van fossiele brandstoffen</w:t>
      </w:r>
      <w:r>
        <w:rPr>
          <w:szCs w:val="18"/>
        </w:rPr>
        <w:t>. Daarom richt Nederland zich op de praktische stappen die al gezet kunnen worden in het kader van het verantwoord afbouwen van fossiel, en de kennis die hierover kan worden uitgewisseld tussen landen. Op verantwoorde afbouw van fossiel in Nederland zal de actualisatie Nationaal Plan Energiesysteem in meer detail ingaan.</w:t>
      </w:r>
    </w:p>
    <w:p w:rsidR="00D56D55" w:rsidP="00BC3B2D" w:rsidRDefault="00D56D55" w14:paraId="057B8D5F" w14:textId="77777777">
      <w:pPr>
        <w:rPr>
          <w:szCs w:val="18"/>
        </w:rPr>
      </w:pPr>
    </w:p>
    <w:p w:rsidRPr="00DA547E" w:rsidR="00D56D55" w:rsidP="00BC3B2D" w:rsidRDefault="00D56D55" w14:paraId="5B053A0C" w14:textId="77777777">
      <w:pPr>
        <w:rPr>
          <w:b/>
          <w:szCs w:val="18"/>
        </w:rPr>
      </w:pPr>
      <w:r w:rsidRPr="00DA547E">
        <w:rPr>
          <w:b/>
          <w:szCs w:val="18"/>
        </w:rPr>
        <w:t>De weg naar de conferentie</w:t>
      </w:r>
    </w:p>
    <w:p w:rsidR="00D56D55" w:rsidP="00BC3B2D" w:rsidRDefault="00D56D55" w14:paraId="374C0729" w14:textId="198D4983">
      <w:pPr>
        <w:rPr>
          <w:szCs w:val="18"/>
        </w:rPr>
      </w:pPr>
      <w:r w:rsidRPr="00DF0273">
        <w:rPr>
          <w:szCs w:val="18"/>
        </w:rPr>
        <w:t xml:space="preserve">De voorbereidingen voor de conferentie zijn in volle gang. Samen met Colombia is er een proces opgezet waarbij veel ruimte wordt geboden aan de inbreng en ideeën vanuit nationale en regionale overheden, wetenschappers, </w:t>
      </w:r>
      <w:r w:rsidR="00975B6E">
        <w:rPr>
          <w:szCs w:val="18"/>
        </w:rPr>
        <w:t xml:space="preserve">parlementariërs, </w:t>
      </w:r>
      <w:r w:rsidRPr="00DF0273">
        <w:rPr>
          <w:szCs w:val="18"/>
        </w:rPr>
        <w:t xml:space="preserve">maatschappelijk middenveld en bedrijfsleven. Dit maakt de conferentie inclusief en oplossingsgericht: er is immers geen transitie zonder samenwerking tussen </w:t>
      </w:r>
      <w:r w:rsidR="00FE6692">
        <w:rPr>
          <w:szCs w:val="18"/>
        </w:rPr>
        <w:t xml:space="preserve">al deze </w:t>
      </w:r>
      <w:r w:rsidRPr="00DF0273">
        <w:rPr>
          <w:szCs w:val="18"/>
        </w:rPr>
        <w:t xml:space="preserve">betrokkenen. In de aanloop naar en tijdens de conferentie wordt </w:t>
      </w:r>
      <w:r w:rsidR="00FE6692">
        <w:rPr>
          <w:szCs w:val="18"/>
        </w:rPr>
        <w:t xml:space="preserve">dan ook </w:t>
      </w:r>
      <w:r w:rsidRPr="00DF0273">
        <w:rPr>
          <w:szCs w:val="18"/>
        </w:rPr>
        <w:t>op verschillende momenten</w:t>
      </w:r>
      <w:r>
        <w:rPr>
          <w:szCs w:val="18"/>
        </w:rPr>
        <w:t xml:space="preserve"> een </w:t>
      </w:r>
      <w:r w:rsidRPr="00DF0273">
        <w:rPr>
          <w:szCs w:val="18"/>
        </w:rPr>
        <w:t xml:space="preserve">podium geboden aan </w:t>
      </w:r>
      <w:r w:rsidR="00FE6692">
        <w:rPr>
          <w:szCs w:val="18"/>
        </w:rPr>
        <w:t xml:space="preserve">ieder van </w:t>
      </w:r>
      <w:r w:rsidRPr="00DF0273">
        <w:rPr>
          <w:szCs w:val="18"/>
        </w:rPr>
        <w:t>deze betrokkenen. Zo is schriftelijke input opgehaald</w:t>
      </w:r>
      <w:r w:rsidR="00020050">
        <w:rPr>
          <w:szCs w:val="18"/>
        </w:rPr>
        <w:t>,</w:t>
      </w:r>
      <w:r w:rsidRPr="00DF0273">
        <w:rPr>
          <w:szCs w:val="18"/>
        </w:rPr>
        <w:t xml:space="preserve"> </w:t>
      </w:r>
      <w:r>
        <w:rPr>
          <w:szCs w:val="18"/>
        </w:rPr>
        <w:t>worden</w:t>
      </w:r>
      <w:r w:rsidRPr="00DF0273">
        <w:rPr>
          <w:szCs w:val="18"/>
        </w:rPr>
        <w:t xml:space="preserve"> er online dialogen gehouden</w:t>
      </w:r>
      <w:r w:rsidR="00020050">
        <w:rPr>
          <w:szCs w:val="18"/>
        </w:rPr>
        <w:t xml:space="preserve"> en volgen er ter plaatse sessies</w:t>
      </w:r>
      <w:r w:rsidRPr="00DF0273">
        <w:rPr>
          <w:szCs w:val="18"/>
        </w:rPr>
        <w:t xml:space="preserve"> waarin aan de deelnemers </w:t>
      </w:r>
      <w:r w:rsidR="00020050">
        <w:rPr>
          <w:szCs w:val="18"/>
        </w:rPr>
        <w:t>wordt</w:t>
      </w:r>
      <w:r w:rsidRPr="00DF0273">
        <w:rPr>
          <w:szCs w:val="18"/>
        </w:rPr>
        <w:t xml:space="preserve"> gevraagd wat volgens hen de knelpunten en </w:t>
      </w:r>
      <w:r w:rsidR="00FE6692">
        <w:rPr>
          <w:szCs w:val="18"/>
        </w:rPr>
        <w:t xml:space="preserve">de </w:t>
      </w:r>
      <w:r w:rsidRPr="00DF0273">
        <w:rPr>
          <w:szCs w:val="18"/>
        </w:rPr>
        <w:t>oplossingen zijn in de</w:t>
      </w:r>
      <w:r w:rsidR="00FE6692">
        <w:rPr>
          <w:szCs w:val="18"/>
        </w:rPr>
        <w:t>ze</w:t>
      </w:r>
      <w:r w:rsidRPr="00DF0273">
        <w:rPr>
          <w:szCs w:val="18"/>
        </w:rPr>
        <w:t xml:space="preserve"> transitie.</w:t>
      </w:r>
      <w:r w:rsidR="00975B6E">
        <w:rPr>
          <w:szCs w:val="18"/>
        </w:rPr>
        <w:t xml:space="preserve"> </w:t>
      </w:r>
      <w:r w:rsidR="00950FED">
        <w:rPr>
          <w:szCs w:val="18"/>
        </w:rPr>
        <w:t xml:space="preserve">Ook parlementariërs uit diverse landen komen bijeen om te spreken over de rol van volksvertegenwoordigers bij deze opgave. De aandacht gaat hierbij onder meer uit naar </w:t>
      </w:r>
      <w:r w:rsidRPr="00A2702C" w:rsidR="00950FED">
        <w:rPr>
          <w:szCs w:val="18"/>
        </w:rPr>
        <w:t>de</w:t>
      </w:r>
      <w:r w:rsidR="00950FED">
        <w:rPr>
          <w:szCs w:val="18"/>
        </w:rPr>
        <w:t xml:space="preserve"> benodigde randvoorwaarden, bijvoorbeeld wet- </w:t>
      </w:r>
      <w:r w:rsidRPr="00975B6E" w:rsidR="00950FED">
        <w:rPr>
          <w:szCs w:val="18"/>
        </w:rPr>
        <w:t>en regelgeving</w:t>
      </w:r>
      <w:r w:rsidR="00950FED">
        <w:rPr>
          <w:szCs w:val="18"/>
        </w:rPr>
        <w:t>,</w:t>
      </w:r>
      <w:r w:rsidRPr="00975B6E" w:rsidR="00950FED">
        <w:rPr>
          <w:szCs w:val="18"/>
        </w:rPr>
        <w:t xml:space="preserve"> voor de uitvoering van concrete oplossingen.</w:t>
      </w:r>
      <w:r w:rsidR="00950FED">
        <w:rPr>
          <w:szCs w:val="18"/>
        </w:rPr>
        <w:t xml:space="preserve"> </w:t>
      </w:r>
      <w:r w:rsidRPr="00DF0273" w:rsidR="00950FED">
        <w:rPr>
          <w:szCs w:val="18"/>
        </w:rPr>
        <w:t xml:space="preserve">Bij de start van de </w:t>
      </w:r>
      <w:r w:rsidR="00950FED">
        <w:rPr>
          <w:szCs w:val="18"/>
        </w:rPr>
        <w:t xml:space="preserve">ministeriële bijeenkomst rapporteren </w:t>
      </w:r>
      <w:r w:rsidRPr="00DF0273" w:rsidR="00950FED">
        <w:rPr>
          <w:szCs w:val="18"/>
        </w:rPr>
        <w:t>vertegenwoordigers van de stakeholdergroepen</w:t>
      </w:r>
      <w:r w:rsidR="00950FED">
        <w:rPr>
          <w:szCs w:val="18"/>
        </w:rPr>
        <w:t xml:space="preserve"> over hun ideeën</w:t>
      </w:r>
      <w:r w:rsidRPr="00DF0273" w:rsidR="00950FED">
        <w:rPr>
          <w:szCs w:val="18"/>
        </w:rPr>
        <w:t xml:space="preserve">. </w:t>
      </w:r>
      <w:r w:rsidR="00950FED">
        <w:rPr>
          <w:szCs w:val="18"/>
        </w:rPr>
        <w:t xml:space="preserve">Ook voor parlementariërs is hier ruimte voor gereserveerd. </w:t>
      </w:r>
      <w:r w:rsidRPr="43745329" w:rsidR="00950FED">
        <w:rPr>
          <w:szCs w:val="18"/>
        </w:rPr>
        <w:t>Zo vormen</w:t>
      </w:r>
      <w:r w:rsidRPr="00DF0273" w:rsidR="00950FED">
        <w:rPr>
          <w:szCs w:val="18"/>
        </w:rPr>
        <w:t xml:space="preserve"> hun advi</w:t>
      </w:r>
      <w:r w:rsidR="00950FED">
        <w:rPr>
          <w:szCs w:val="18"/>
        </w:rPr>
        <w:t>ezen</w:t>
      </w:r>
      <w:r w:rsidRPr="00DF0273" w:rsidR="00950FED">
        <w:rPr>
          <w:szCs w:val="18"/>
        </w:rPr>
        <w:t xml:space="preserve"> en oplossingen de basis voor </w:t>
      </w:r>
      <w:r w:rsidR="00950FED">
        <w:rPr>
          <w:szCs w:val="18"/>
        </w:rPr>
        <w:t>de gesprekken tijdens de ministeriële bijeenkomst.</w:t>
      </w:r>
    </w:p>
    <w:p w:rsidRPr="00DA547E" w:rsidR="00D56D55" w:rsidP="00BC3B2D" w:rsidRDefault="00D56D55" w14:paraId="7CE55B10" w14:textId="77777777">
      <w:pPr>
        <w:rPr>
          <w:b/>
          <w:bCs/>
          <w:szCs w:val="18"/>
        </w:rPr>
      </w:pPr>
      <w:r w:rsidRPr="00DA547E">
        <w:rPr>
          <w:b/>
          <w:bCs/>
          <w:szCs w:val="18"/>
        </w:rPr>
        <w:lastRenderedPageBreak/>
        <w:t>Het vervolg</w:t>
      </w:r>
    </w:p>
    <w:p w:rsidR="00D56D55" w:rsidP="00BC3B2D" w:rsidRDefault="00D56D55" w14:paraId="05E35F5D" w14:textId="39B646F5">
      <w:pPr>
        <w:rPr>
          <w:szCs w:val="18"/>
        </w:rPr>
      </w:pPr>
      <w:r>
        <w:rPr>
          <w:szCs w:val="18"/>
        </w:rPr>
        <w:t xml:space="preserve">De focus in Santa Marta zal liggen op concreet implementeerbare oplossingen en samenwerkingsverbanden om deze uitvoering te versnellen. </w:t>
      </w:r>
      <w:r w:rsidRPr="00A817BA">
        <w:rPr>
          <w:szCs w:val="18"/>
        </w:rPr>
        <w:t>De</w:t>
      </w:r>
      <w:r w:rsidRPr="00DF0273">
        <w:rPr>
          <w:szCs w:val="18"/>
        </w:rPr>
        <w:t xml:space="preserve"> conferentie levert </w:t>
      </w:r>
      <w:r>
        <w:rPr>
          <w:szCs w:val="18"/>
        </w:rPr>
        <w:t xml:space="preserve">daarom </w:t>
      </w:r>
      <w:r w:rsidRPr="00DF0273">
        <w:rPr>
          <w:szCs w:val="18"/>
        </w:rPr>
        <w:t xml:space="preserve">geen </w:t>
      </w:r>
      <w:r>
        <w:rPr>
          <w:szCs w:val="18"/>
        </w:rPr>
        <w:t>onderhandelde eind</w:t>
      </w:r>
      <w:r w:rsidRPr="00DF0273">
        <w:rPr>
          <w:szCs w:val="18"/>
        </w:rPr>
        <w:t>verklaring op</w:t>
      </w:r>
      <w:r>
        <w:rPr>
          <w:szCs w:val="18"/>
        </w:rPr>
        <w:t>.</w:t>
      </w:r>
      <w:r w:rsidRPr="00DF0273">
        <w:rPr>
          <w:szCs w:val="18"/>
        </w:rPr>
        <w:t xml:space="preserve"> </w:t>
      </w:r>
      <w:r>
        <w:rPr>
          <w:szCs w:val="18"/>
        </w:rPr>
        <w:t xml:space="preserve">Als </w:t>
      </w:r>
      <w:r w:rsidRPr="00DF0273">
        <w:rPr>
          <w:szCs w:val="18"/>
        </w:rPr>
        <w:t xml:space="preserve">coalitie </w:t>
      </w:r>
      <w:r>
        <w:rPr>
          <w:szCs w:val="18"/>
        </w:rPr>
        <w:t>van doeners zullen de landen na Santa Marta verder werken aan hun eigen transitie en elkaar daarbij ondersteunen</w:t>
      </w:r>
      <w:r w:rsidRPr="00DF0273">
        <w:rPr>
          <w:szCs w:val="18"/>
        </w:rPr>
        <w:t xml:space="preserve">. Hierin </w:t>
      </w:r>
      <w:r w:rsidRPr="43745329">
        <w:rPr>
          <w:szCs w:val="18"/>
        </w:rPr>
        <w:t>zullen verschillende</w:t>
      </w:r>
      <w:r w:rsidRPr="00DF0273">
        <w:rPr>
          <w:szCs w:val="18"/>
        </w:rPr>
        <w:t xml:space="preserve"> andere initiatieven met hetzelfde doel</w:t>
      </w:r>
      <w:r w:rsidRPr="43745329">
        <w:rPr>
          <w:szCs w:val="18"/>
        </w:rPr>
        <w:t xml:space="preserve"> worden samengebracht</w:t>
      </w:r>
      <w:r w:rsidRPr="00DF0273">
        <w:rPr>
          <w:szCs w:val="18"/>
        </w:rPr>
        <w:t>.</w:t>
      </w:r>
      <w:r>
        <w:rPr>
          <w:szCs w:val="18"/>
        </w:rPr>
        <w:t xml:space="preserve"> Tot slot dient de conferentie om wereldwijd te signaleren dat een grote groep </w:t>
      </w:r>
      <w:r w:rsidR="00FE6692">
        <w:rPr>
          <w:szCs w:val="18"/>
        </w:rPr>
        <w:t xml:space="preserve">landen </w:t>
      </w:r>
      <w:r>
        <w:rPr>
          <w:szCs w:val="18"/>
        </w:rPr>
        <w:t xml:space="preserve">met volle overtuiging doorwerkt aan de afbouw van fossiele brandstoffen. Een signaal dat juist nu van groot belang is, en dat ook helpt om het momentum van COP30 vast te houden. </w:t>
      </w:r>
    </w:p>
    <w:p w:rsidR="00D15779" w:rsidP="00BC3B2D" w:rsidRDefault="00D15779" w14:paraId="7BB9768D" w14:textId="77777777"/>
    <w:p w:rsidR="00876EAC" w:rsidP="00BC3B2D" w:rsidRDefault="00876EAC" w14:paraId="21B0F2D0" w14:textId="77777777">
      <w:pPr>
        <w:rPr>
          <w:szCs w:val="18"/>
        </w:rPr>
      </w:pPr>
    </w:p>
    <w:p w:rsidR="00876EAC" w:rsidP="00BC3B2D" w:rsidRDefault="00876EAC" w14:paraId="1C5FEC42" w14:textId="77777777">
      <w:pPr>
        <w:rPr>
          <w:szCs w:val="18"/>
        </w:rPr>
      </w:pPr>
    </w:p>
    <w:p w:rsidRPr="00F33D6B" w:rsidR="00D15779" w:rsidP="00BC3B2D" w:rsidRDefault="00D15779" w14:paraId="1505F52A" w14:textId="77777777"/>
    <w:p w:rsidRPr="00D56D55" w:rsidR="00D56D55" w:rsidP="00BC3B2D" w:rsidRDefault="00D56D55" w14:paraId="6D8CB81D" w14:textId="77777777">
      <w:pPr>
        <w:rPr>
          <w:szCs w:val="18"/>
        </w:rPr>
      </w:pPr>
      <w:r w:rsidRPr="00D56D55">
        <w:rPr>
          <w:szCs w:val="18"/>
        </w:rPr>
        <w:t>Stientje van Veldhoven-van der Meer</w:t>
      </w:r>
    </w:p>
    <w:p w:rsidR="001A6AF9" w:rsidP="00BC3B2D" w:rsidRDefault="00D56D55" w14:paraId="09973CD0" w14:textId="4A80280C">
      <w:pPr>
        <w:rPr>
          <w:rFonts w:asciiTheme="minorHAnsi" w:hAnsiTheme="minorHAnsi"/>
          <w:sz w:val="22"/>
          <w:szCs w:val="18"/>
        </w:rPr>
      </w:pPr>
      <w:r w:rsidRPr="00D56D55">
        <w:rPr>
          <w:szCs w:val="18"/>
        </w:rPr>
        <w:t>Minister van Klimaat en Groene Groei</w:t>
      </w:r>
    </w:p>
    <w:sectPr w:rsidR="001A6AF9"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D5E3" w14:textId="77777777" w:rsidR="00A71555" w:rsidRDefault="00A71555">
      <w:r>
        <w:separator/>
      </w:r>
    </w:p>
    <w:p w14:paraId="6BB536E9" w14:textId="77777777" w:rsidR="00A71555" w:rsidRDefault="00A71555"/>
  </w:endnote>
  <w:endnote w:type="continuationSeparator" w:id="0">
    <w:p w14:paraId="39438383" w14:textId="77777777" w:rsidR="00A71555" w:rsidRDefault="00A71555">
      <w:r>
        <w:continuationSeparator/>
      </w:r>
    </w:p>
    <w:p w14:paraId="6E191127" w14:textId="77777777" w:rsidR="00A71555" w:rsidRDefault="00A71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AC08" w14:textId="20AF168E"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3B5BD0" w14:paraId="0A038C47" w14:textId="77777777" w:rsidTr="006D1737">
      <w:trPr>
        <w:trHeight w:hRule="exact" w:val="240"/>
      </w:trPr>
      <w:tc>
        <w:tcPr>
          <w:tcW w:w="7601" w:type="dxa"/>
        </w:tcPr>
        <w:p w14:paraId="4C4D97F5" w14:textId="77777777" w:rsidR="006D1737" w:rsidRDefault="006D1737" w:rsidP="006D1737">
          <w:pPr>
            <w:pStyle w:val="Huisstijl-Rubricering"/>
          </w:pPr>
        </w:p>
      </w:tc>
      <w:tc>
        <w:tcPr>
          <w:tcW w:w="2156" w:type="dxa"/>
        </w:tcPr>
        <w:p w14:paraId="57CB5EF4" w14:textId="422306BE" w:rsidR="006D1737" w:rsidRPr="00645414" w:rsidRDefault="00185803"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t>4</w:t>
          </w:r>
          <w:r w:rsidR="00D72F45">
            <w:fldChar w:fldCharType="end"/>
          </w:r>
          <w:r w:rsidRPr="00ED539E">
            <w:t xml:space="preserve"> </w:t>
          </w:r>
        </w:p>
      </w:tc>
      <w:tc>
        <w:tcPr>
          <w:tcW w:w="2156" w:type="dxa"/>
        </w:tcPr>
        <w:p w14:paraId="3006A563" w14:textId="77777777" w:rsidR="006D1737" w:rsidRPr="00645414" w:rsidRDefault="00185803" w:rsidP="006D1737">
          <w:pPr>
            <w:pStyle w:val="Huisstijl-Paginanummering"/>
          </w:pPr>
          <w:r w:rsidRPr="00645414">
            <w:t xml:space="preserve"> </w:t>
          </w:r>
        </w:p>
      </w:tc>
    </w:tr>
  </w:tbl>
  <w:p w14:paraId="452933F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B5BD0" w14:paraId="42F9F8CD" w14:textId="77777777" w:rsidTr="00CA6A25">
      <w:trPr>
        <w:trHeight w:hRule="exact" w:val="240"/>
      </w:trPr>
      <w:tc>
        <w:tcPr>
          <w:tcW w:w="7601" w:type="dxa"/>
        </w:tcPr>
        <w:p w14:paraId="3D787B6D" w14:textId="508BDD21" w:rsidR="00527BD4" w:rsidRDefault="00527BD4" w:rsidP="008C356D">
          <w:pPr>
            <w:pStyle w:val="Huisstijl-Rubricering"/>
          </w:pPr>
        </w:p>
      </w:tc>
      <w:tc>
        <w:tcPr>
          <w:tcW w:w="2170" w:type="dxa"/>
        </w:tcPr>
        <w:p w14:paraId="5223D046" w14:textId="34BDD7D7" w:rsidR="00527BD4" w:rsidRPr="00ED539E" w:rsidRDefault="00185803"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t>4</w:t>
          </w:r>
          <w:r w:rsidR="004B0F05">
            <w:fldChar w:fldCharType="end"/>
          </w:r>
        </w:p>
      </w:tc>
    </w:tr>
  </w:tbl>
  <w:p w14:paraId="0ACAB57B" w14:textId="77777777" w:rsidR="00527BD4" w:rsidRPr="00BC3B53" w:rsidRDefault="00527BD4" w:rsidP="008C356D">
    <w:pPr>
      <w:pStyle w:val="Voettekst"/>
      <w:spacing w:line="240" w:lineRule="auto"/>
      <w:rPr>
        <w:sz w:val="2"/>
        <w:szCs w:val="2"/>
      </w:rPr>
    </w:pPr>
  </w:p>
  <w:p w14:paraId="1DA0DD7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D3545" w14:textId="77777777" w:rsidR="00A71555" w:rsidRDefault="00A71555">
      <w:r>
        <w:separator/>
      </w:r>
    </w:p>
    <w:p w14:paraId="19214AA5" w14:textId="77777777" w:rsidR="00A71555" w:rsidRDefault="00A71555"/>
  </w:footnote>
  <w:footnote w:type="continuationSeparator" w:id="0">
    <w:p w14:paraId="0E268553" w14:textId="77777777" w:rsidR="00A71555" w:rsidRDefault="00A71555">
      <w:r>
        <w:continuationSeparator/>
      </w:r>
    </w:p>
    <w:p w14:paraId="76D58AE1" w14:textId="77777777" w:rsidR="00A71555" w:rsidRDefault="00A71555"/>
  </w:footnote>
  <w:footnote w:id="1">
    <w:p w14:paraId="7ECE31A6" w14:textId="77777777" w:rsidR="00D56D55" w:rsidRPr="00BC3B2D" w:rsidRDefault="00D56D55" w:rsidP="00D56D55">
      <w:pPr>
        <w:pStyle w:val="Voetnoottekst"/>
        <w:rPr>
          <w:szCs w:val="13"/>
          <w:lang w:val="en-US"/>
        </w:rPr>
      </w:pPr>
      <w:r w:rsidRPr="00BC3B2D">
        <w:rPr>
          <w:rStyle w:val="Voetnootmarkering"/>
          <w:szCs w:val="13"/>
        </w:rPr>
        <w:footnoteRef/>
      </w:r>
      <w:r w:rsidRPr="00BC3B2D">
        <w:rPr>
          <w:szCs w:val="13"/>
          <w:lang w:val="en-US"/>
        </w:rPr>
        <w:t xml:space="preserve"> First Conference on Transitioning away from Fossil Fuels </w:t>
      </w:r>
    </w:p>
  </w:footnote>
  <w:footnote w:id="2">
    <w:p w14:paraId="4753965B" w14:textId="31EF4602" w:rsidR="00D56D55" w:rsidRPr="00BC3B2D" w:rsidRDefault="00D56D55" w:rsidP="00D56D55">
      <w:pPr>
        <w:pStyle w:val="Voetnoottekst"/>
        <w:rPr>
          <w:szCs w:val="13"/>
        </w:rPr>
      </w:pPr>
      <w:r w:rsidRPr="00BC3B2D">
        <w:rPr>
          <w:rStyle w:val="Voetnootmarkering"/>
          <w:szCs w:val="13"/>
        </w:rPr>
        <w:footnoteRef/>
      </w:r>
      <w:r w:rsidRPr="00BC3B2D">
        <w:rPr>
          <w:szCs w:val="13"/>
        </w:rPr>
        <w:t xml:space="preserve"> Kamerstuk</w:t>
      </w:r>
      <w:r w:rsidR="00DA547E" w:rsidRPr="00BC3B2D">
        <w:rPr>
          <w:szCs w:val="13"/>
        </w:rPr>
        <w:t>ken II</w:t>
      </w:r>
      <w:r w:rsidRPr="00BC3B2D">
        <w:rPr>
          <w:szCs w:val="13"/>
        </w:rPr>
        <w:t xml:space="preserve"> </w:t>
      </w:r>
      <w:r w:rsidR="00DA547E" w:rsidRPr="00BC3B2D">
        <w:rPr>
          <w:szCs w:val="13"/>
        </w:rPr>
        <w:t xml:space="preserve">2025-2026, </w:t>
      </w:r>
      <w:r w:rsidRPr="00BC3B2D">
        <w:rPr>
          <w:szCs w:val="13"/>
        </w:rPr>
        <w:t>31793</w:t>
      </w:r>
      <w:r w:rsidR="00DA547E" w:rsidRPr="00BC3B2D">
        <w:rPr>
          <w:szCs w:val="13"/>
        </w:rPr>
        <w:t xml:space="preserve">, nr. </w:t>
      </w:r>
      <w:r w:rsidRPr="00BC3B2D">
        <w:rPr>
          <w:szCs w:val="13"/>
        </w:rPr>
        <w:t>287</w:t>
      </w:r>
    </w:p>
  </w:footnote>
  <w:footnote w:id="3">
    <w:p w14:paraId="6CBBEE02" w14:textId="41D67ACF" w:rsidR="00D56D55" w:rsidRPr="00BC3B2D" w:rsidRDefault="00D56D55" w:rsidP="00D56D55">
      <w:pPr>
        <w:pStyle w:val="Voetnoottekst"/>
        <w:rPr>
          <w:szCs w:val="13"/>
        </w:rPr>
      </w:pPr>
      <w:r w:rsidRPr="00BC3B2D">
        <w:rPr>
          <w:rStyle w:val="Voetnootmarkering"/>
          <w:szCs w:val="13"/>
        </w:rPr>
        <w:footnoteRef/>
      </w:r>
      <w:r w:rsidRPr="00BC3B2D">
        <w:rPr>
          <w:szCs w:val="13"/>
        </w:rPr>
        <w:t xml:space="preserve"> Kamerstuk</w:t>
      </w:r>
      <w:r w:rsidR="00DA547E" w:rsidRPr="00BC3B2D">
        <w:rPr>
          <w:szCs w:val="13"/>
        </w:rPr>
        <w:t>ken II 2023-2024,</w:t>
      </w:r>
      <w:r w:rsidRPr="00BC3B2D">
        <w:rPr>
          <w:szCs w:val="13"/>
        </w:rPr>
        <w:t xml:space="preserve"> 31793</w:t>
      </w:r>
      <w:r w:rsidR="00DA547E" w:rsidRPr="00BC3B2D">
        <w:rPr>
          <w:szCs w:val="13"/>
        </w:rPr>
        <w:t xml:space="preserve">, nr. </w:t>
      </w:r>
      <w:r w:rsidRPr="00BC3B2D">
        <w:rPr>
          <w:szCs w:val="13"/>
        </w:rPr>
        <w:t>256</w:t>
      </w:r>
    </w:p>
  </w:footnote>
  <w:footnote w:id="4">
    <w:p w14:paraId="00A6B17A" w14:textId="2A54C083" w:rsidR="00D56D55" w:rsidRPr="00BC3B2D" w:rsidRDefault="00D56D55" w:rsidP="00D56D55">
      <w:pPr>
        <w:pStyle w:val="Voetnoottekst"/>
        <w:rPr>
          <w:szCs w:val="13"/>
          <w:lang w:val="en-US"/>
        </w:rPr>
      </w:pPr>
      <w:r w:rsidRPr="00BC3B2D">
        <w:rPr>
          <w:rStyle w:val="Voetnootmarkering"/>
          <w:szCs w:val="13"/>
        </w:rPr>
        <w:footnoteRef/>
      </w:r>
      <w:r w:rsidRPr="00BC3B2D">
        <w:rPr>
          <w:szCs w:val="13"/>
          <w:lang w:val="en-US"/>
        </w:rPr>
        <w:t xml:space="preserve"> Kamerstuk</w:t>
      </w:r>
      <w:r w:rsidR="00DA547E" w:rsidRPr="00BC3B2D">
        <w:rPr>
          <w:szCs w:val="13"/>
          <w:lang w:val="en-US"/>
        </w:rPr>
        <w:t>ken II 2025-2026,</w:t>
      </w:r>
      <w:r w:rsidRPr="00BC3B2D">
        <w:rPr>
          <w:szCs w:val="13"/>
          <w:lang w:val="en-US"/>
        </w:rPr>
        <w:t xml:space="preserve"> 31793</w:t>
      </w:r>
      <w:r w:rsidR="00DA547E" w:rsidRPr="00BC3B2D">
        <w:rPr>
          <w:szCs w:val="13"/>
          <w:lang w:val="en-US"/>
        </w:rPr>
        <w:t xml:space="preserve">, nr. </w:t>
      </w:r>
      <w:r w:rsidRPr="00BC3B2D">
        <w:rPr>
          <w:szCs w:val="13"/>
          <w:lang w:val="en-US"/>
        </w:rPr>
        <w:t>291</w:t>
      </w:r>
    </w:p>
  </w:footnote>
  <w:footnote w:id="5">
    <w:p w14:paraId="15F3346B" w14:textId="77777777" w:rsidR="00D56D55" w:rsidRPr="00950FED" w:rsidRDefault="00D56D55" w:rsidP="00D56D55">
      <w:pPr>
        <w:pStyle w:val="Voetnoottekst"/>
        <w:rPr>
          <w:i/>
          <w:iCs/>
          <w:szCs w:val="13"/>
          <w:lang w:val="en-US"/>
        </w:rPr>
      </w:pPr>
      <w:r w:rsidRPr="00BC3B2D">
        <w:rPr>
          <w:rStyle w:val="Voetnootmarkering"/>
          <w:szCs w:val="13"/>
        </w:rPr>
        <w:footnoteRef/>
      </w:r>
      <w:r w:rsidRPr="00BC3B2D">
        <w:rPr>
          <w:szCs w:val="13"/>
          <w:lang w:val="en-US"/>
        </w:rPr>
        <w:t xml:space="preserve"> </w:t>
      </w:r>
      <w:r w:rsidRPr="00950FED">
        <w:rPr>
          <w:i/>
          <w:iCs/>
          <w:szCs w:val="13"/>
          <w:lang w:val="en-US"/>
        </w:rPr>
        <w:t>Coalition on Phasing Out Fossil Fuel Incentives Including Subsidies</w:t>
      </w:r>
    </w:p>
  </w:footnote>
  <w:footnote w:id="6">
    <w:p w14:paraId="33D4A8DF" w14:textId="3ADD8558" w:rsidR="00950FED" w:rsidRDefault="00950FED">
      <w:pPr>
        <w:pStyle w:val="Voetnoottekst"/>
      </w:pPr>
      <w:r>
        <w:rPr>
          <w:rStyle w:val="Voetnootmarkering"/>
        </w:rPr>
        <w:footnoteRef/>
      </w:r>
      <w:r>
        <w:t xml:space="preserve"> </w:t>
      </w:r>
      <w:r w:rsidRPr="003235D5">
        <w:t>Bijlage bij Kamerstukken II 2025-2026, 31793, nr. 285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B5BD0" w14:paraId="1588B696" w14:textId="77777777" w:rsidTr="00A50CF6">
      <w:tc>
        <w:tcPr>
          <w:tcW w:w="2156" w:type="dxa"/>
        </w:tcPr>
        <w:p w14:paraId="6E7B9179" w14:textId="77777777" w:rsidR="00527BD4" w:rsidRPr="00624D22" w:rsidRDefault="00185803" w:rsidP="00A50CF6">
          <w:pPr>
            <w:pStyle w:val="Huisstijl-Adres"/>
            <w:rPr>
              <w:b/>
            </w:rPr>
          </w:pPr>
          <w:r>
            <w:rPr>
              <w:b/>
            </w:rPr>
            <w:t>Directoraat-generaal Klimaat en Energie</w:t>
          </w:r>
        </w:p>
      </w:tc>
    </w:tr>
    <w:tr w:rsidR="003B5BD0" w14:paraId="5192ACCC" w14:textId="77777777" w:rsidTr="00A50CF6">
      <w:trPr>
        <w:trHeight w:hRule="exact" w:val="200"/>
      </w:trPr>
      <w:tc>
        <w:tcPr>
          <w:tcW w:w="2156" w:type="dxa"/>
        </w:tcPr>
        <w:p w14:paraId="38D15410" w14:textId="77777777" w:rsidR="00527BD4" w:rsidRPr="005819CE" w:rsidRDefault="00527BD4" w:rsidP="00A50CF6"/>
      </w:tc>
    </w:tr>
    <w:tr w:rsidR="003B5BD0" w14:paraId="509DBA7F" w14:textId="77777777" w:rsidTr="00502512">
      <w:trPr>
        <w:trHeight w:hRule="exact" w:val="774"/>
      </w:trPr>
      <w:tc>
        <w:tcPr>
          <w:tcW w:w="2156" w:type="dxa"/>
        </w:tcPr>
        <w:p w14:paraId="02FBF6CA" w14:textId="77777777" w:rsidR="00527BD4" w:rsidRDefault="00527BD4" w:rsidP="003A5290">
          <w:pPr>
            <w:pStyle w:val="Huisstijl-Kopje"/>
          </w:pPr>
        </w:p>
        <w:p w14:paraId="17374D58" w14:textId="77777777" w:rsidR="00502512" w:rsidRPr="00502512" w:rsidRDefault="00185803" w:rsidP="003A5290">
          <w:pPr>
            <w:pStyle w:val="Huisstijl-Kopje"/>
            <w:rPr>
              <w:b w:val="0"/>
            </w:rPr>
          </w:pPr>
          <w:r>
            <w:rPr>
              <w:b w:val="0"/>
            </w:rPr>
            <w:t>KGG_DGKE</w:t>
          </w:r>
          <w:r w:rsidRPr="00502512">
            <w:rPr>
              <w:b w:val="0"/>
            </w:rPr>
            <w:t xml:space="preserve"> / </w:t>
          </w:r>
          <w:r>
            <w:rPr>
              <w:b w:val="0"/>
            </w:rPr>
            <w:t>105294588</w:t>
          </w:r>
        </w:p>
        <w:p w14:paraId="3F9EF805" w14:textId="77777777" w:rsidR="00527BD4" w:rsidRPr="005819CE" w:rsidRDefault="00527BD4" w:rsidP="00361A56">
          <w:pPr>
            <w:pStyle w:val="Huisstijl-Kopje"/>
          </w:pPr>
        </w:p>
      </w:tc>
    </w:tr>
  </w:tbl>
  <w:p w14:paraId="4E087C71" w14:textId="77777777" w:rsidR="00527BD4" w:rsidRDefault="00527BD4" w:rsidP="008C356D">
    <w:pPr>
      <w:pStyle w:val="Koptekst"/>
      <w:rPr>
        <w:rFonts w:cs="Verdana-Bold"/>
        <w:b/>
        <w:bCs/>
        <w:smallCaps/>
        <w:szCs w:val="18"/>
      </w:rPr>
    </w:pPr>
  </w:p>
  <w:p w14:paraId="369AE0E1" w14:textId="77777777" w:rsidR="00527BD4" w:rsidRDefault="00527BD4" w:rsidP="008C356D"/>
  <w:p w14:paraId="6EB1EBCE" w14:textId="77777777" w:rsidR="00527BD4" w:rsidRPr="00740712" w:rsidRDefault="00527BD4" w:rsidP="008C356D"/>
  <w:p w14:paraId="02C2EB2E" w14:textId="77777777" w:rsidR="00527BD4" w:rsidRPr="00740712" w:rsidRDefault="00527BD4" w:rsidP="004F44C2"/>
  <w:p w14:paraId="0AC4EA6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B5BD0" w14:paraId="695F7F59" w14:textId="77777777" w:rsidTr="00751A6A">
      <w:trPr>
        <w:trHeight w:val="2636"/>
      </w:trPr>
      <w:tc>
        <w:tcPr>
          <w:tcW w:w="737" w:type="dxa"/>
        </w:tcPr>
        <w:p w14:paraId="07FC7812" w14:textId="77777777" w:rsidR="00527BD4" w:rsidRDefault="00527BD4" w:rsidP="00D0609E">
          <w:pPr>
            <w:framePr w:w="6340" w:h="2750" w:hRule="exact" w:hSpace="180" w:wrap="around" w:vAnchor="page" w:hAnchor="text" w:x="3873" w:y="-140"/>
            <w:spacing w:line="240" w:lineRule="auto"/>
          </w:pPr>
        </w:p>
      </w:tc>
      <w:tc>
        <w:tcPr>
          <w:tcW w:w="5156" w:type="dxa"/>
        </w:tcPr>
        <w:p w14:paraId="7B96F5C5" w14:textId="77777777" w:rsidR="00527BD4" w:rsidRDefault="00185803"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4B15209D" wp14:editId="04910094">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0FA5720B" w14:textId="77777777" w:rsidR="00527BD4" w:rsidRDefault="00527BD4" w:rsidP="00D0609E">
    <w:pPr>
      <w:framePr w:w="6340" w:h="2750" w:hRule="exact" w:hSpace="180" w:wrap="around" w:vAnchor="page" w:hAnchor="text" w:x="3873" w:y="-140"/>
    </w:pPr>
  </w:p>
  <w:p w14:paraId="5914DB5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B5BD0" w14:paraId="5F218EEB" w14:textId="77777777" w:rsidTr="00A50CF6">
      <w:tc>
        <w:tcPr>
          <w:tcW w:w="2160" w:type="dxa"/>
        </w:tcPr>
        <w:p w14:paraId="1030C161" w14:textId="77777777" w:rsidR="00527BD4" w:rsidRPr="00781DCA" w:rsidRDefault="00185803" w:rsidP="00A50CF6">
          <w:pPr>
            <w:pStyle w:val="Huisstijl-Adres"/>
            <w:rPr>
              <w:b/>
            </w:rPr>
          </w:pPr>
          <w:r>
            <w:rPr>
              <w:b/>
            </w:rPr>
            <w:t>Directoraat-generaal Klimaat en Energie</w:t>
          </w:r>
          <w:r w:rsidRPr="005819CE">
            <w:rPr>
              <w:b/>
            </w:rPr>
            <w:br/>
          </w:r>
        </w:p>
        <w:p w14:paraId="39774F00" w14:textId="77777777" w:rsidR="00527BD4" w:rsidRPr="00BE5ED9" w:rsidRDefault="00185803" w:rsidP="00A50CF6">
          <w:pPr>
            <w:pStyle w:val="Huisstijl-Adres"/>
          </w:pPr>
          <w:r>
            <w:rPr>
              <w:b/>
            </w:rPr>
            <w:t>Bezoekadres</w:t>
          </w:r>
          <w:r>
            <w:rPr>
              <w:b/>
            </w:rPr>
            <w:br/>
          </w:r>
          <w:r>
            <w:t>Bezuidenhoutseweg 73</w:t>
          </w:r>
          <w:r w:rsidRPr="005819CE">
            <w:br/>
          </w:r>
          <w:r>
            <w:t>2594 AC Den Haag</w:t>
          </w:r>
        </w:p>
        <w:p w14:paraId="311E85A6" w14:textId="77777777" w:rsidR="00EF495B" w:rsidRDefault="00185803" w:rsidP="0098788A">
          <w:pPr>
            <w:pStyle w:val="Huisstijl-Adres"/>
          </w:pPr>
          <w:r>
            <w:rPr>
              <w:b/>
            </w:rPr>
            <w:t>Postadres</w:t>
          </w:r>
          <w:r>
            <w:rPr>
              <w:b/>
            </w:rPr>
            <w:br/>
          </w:r>
          <w:r>
            <w:t>Postbus 20401</w:t>
          </w:r>
          <w:r w:rsidRPr="005819CE">
            <w:br/>
            <w:t>2500 E</w:t>
          </w:r>
          <w:r>
            <w:t>K</w:t>
          </w:r>
          <w:r w:rsidRPr="005819CE">
            <w:t xml:space="preserve"> Den Haag</w:t>
          </w:r>
        </w:p>
        <w:p w14:paraId="7AF9F230" w14:textId="77777777" w:rsidR="00EF495B" w:rsidRPr="005B3814" w:rsidRDefault="00185803" w:rsidP="0098788A">
          <w:pPr>
            <w:pStyle w:val="Huisstijl-Adres"/>
          </w:pPr>
          <w:r>
            <w:rPr>
              <w:b/>
            </w:rPr>
            <w:t>Overheidsidentificatienr</w:t>
          </w:r>
          <w:r>
            <w:rPr>
              <w:b/>
            </w:rPr>
            <w:br/>
          </w:r>
          <w:r w:rsidRPr="005B3814">
            <w:t>00000001003214369000</w:t>
          </w:r>
        </w:p>
        <w:p w14:paraId="3701E7AC" w14:textId="735B89BE" w:rsidR="00527BD4" w:rsidRPr="00BC3B2D" w:rsidRDefault="00185803" w:rsidP="00F748E6">
          <w:pPr>
            <w:pStyle w:val="Huisstijl-Adres"/>
            <w:rPr>
              <w:u w:val="single"/>
            </w:rPr>
          </w:pPr>
          <w:r>
            <w:t>T</w:t>
          </w:r>
          <w:r>
            <w:tab/>
          </w:r>
          <w:r>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3B5BD0" w14:paraId="0A2812CC" w14:textId="77777777" w:rsidTr="00A50CF6">
      <w:trPr>
        <w:trHeight w:hRule="exact" w:val="200"/>
      </w:trPr>
      <w:tc>
        <w:tcPr>
          <w:tcW w:w="2160" w:type="dxa"/>
        </w:tcPr>
        <w:p w14:paraId="2574BA9E" w14:textId="77777777" w:rsidR="00527BD4" w:rsidRPr="00D71182" w:rsidRDefault="00527BD4" w:rsidP="00A50CF6">
          <w:pPr>
            <w:rPr>
              <w:lang w:val="fr-FR"/>
            </w:rPr>
          </w:pPr>
        </w:p>
      </w:tc>
    </w:tr>
    <w:tr w:rsidR="003B5BD0" w14:paraId="3B3FFB06" w14:textId="77777777" w:rsidTr="00A50CF6">
      <w:tc>
        <w:tcPr>
          <w:tcW w:w="2160" w:type="dxa"/>
        </w:tcPr>
        <w:p w14:paraId="3E65D5F4" w14:textId="77777777" w:rsidR="000C0163" w:rsidRPr="005819CE" w:rsidRDefault="00185803" w:rsidP="000C0163">
          <w:pPr>
            <w:pStyle w:val="Huisstijl-Kopje"/>
          </w:pPr>
          <w:r>
            <w:t>Ons kenmerk</w:t>
          </w:r>
        </w:p>
        <w:p w14:paraId="63CDD42B" w14:textId="77777777" w:rsidR="000C0163" w:rsidRPr="005819CE" w:rsidRDefault="00185803" w:rsidP="000C0163">
          <w:pPr>
            <w:pStyle w:val="Huisstijl-Gegeven"/>
          </w:pPr>
          <w:r>
            <w:t>KGG_DGKE</w:t>
          </w:r>
          <w:r w:rsidR="00926AE2">
            <w:t xml:space="preserve"> / </w:t>
          </w:r>
          <w:r>
            <w:t>105294588</w:t>
          </w:r>
        </w:p>
        <w:p w14:paraId="1DF781EC" w14:textId="77777777" w:rsidR="00527BD4" w:rsidRPr="005819CE" w:rsidRDefault="00527BD4" w:rsidP="00BC3B2D">
          <w:pPr>
            <w:pStyle w:val="Huisstijl-Kopje"/>
          </w:pPr>
        </w:p>
      </w:tc>
    </w:tr>
  </w:tbl>
  <w:p w14:paraId="208DE92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3B5BD0" w14:paraId="0302A555" w14:textId="77777777" w:rsidTr="00C37826">
      <w:trPr>
        <w:trHeight w:val="400"/>
      </w:trPr>
      <w:tc>
        <w:tcPr>
          <w:tcW w:w="7371" w:type="dxa"/>
          <w:gridSpan w:val="2"/>
        </w:tcPr>
        <w:p w14:paraId="7F372E92" w14:textId="77777777" w:rsidR="00527BD4" w:rsidRPr="00BC3B53" w:rsidRDefault="00185803"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3B5BD0" w14:paraId="2580B5E0" w14:textId="77777777" w:rsidTr="00C37826">
      <w:tc>
        <w:tcPr>
          <w:tcW w:w="7371" w:type="dxa"/>
          <w:gridSpan w:val="2"/>
        </w:tcPr>
        <w:p w14:paraId="178D5EF6" w14:textId="77777777" w:rsidR="00527BD4" w:rsidRPr="00983E8F" w:rsidRDefault="00527BD4" w:rsidP="00A50CF6">
          <w:pPr>
            <w:pStyle w:val="Huisstijl-Rubricering"/>
          </w:pPr>
        </w:p>
      </w:tc>
    </w:tr>
    <w:tr w:rsidR="003B5BD0" w14:paraId="004CBB7A" w14:textId="77777777" w:rsidTr="00C37826">
      <w:trPr>
        <w:trHeight w:hRule="exact" w:val="2440"/>
      </w:trPr>
      <w:tc>
        <w:tcPr>
          <w:tcW w:w="7371" w:type="dxa"/>
          <w:gridSpan w:val="2"/>
        </w:tcPr>
        <w:p w14:paraId="55CE06D3" w14:textId="77777777" w:rsidR="00527BD4" w:rsidRDefault="00185803" w:rsidP="00A50CF6">
          <w:pPr>
            <w:pStyle w:val="Huisstijl-NAW"/>
          </w:pPr>
          <w:r>
            <w:t xml:space="preserve">De Voorzitter van de Tweede Kamer </w:t>
          </w:r>
        </w:p>
        <w:p w14:paraId="5BE8AC2F" w14:textId="77777777" w:rsidR="00D87195" w:rsidRDefault="00185803" w:rsidP="00D87195">
          <w:pPr>
            <w:pStyle w:val="Huisstijl-NAW"/>
          </w:pPr>
          <w:r>
            <w:t>der Staten-Generaal</w:t>
          </w:r>
        </w:p>
        <w:p w14:paraId="0822779F" w14:textId="77777777" w:rsidR="00EA0F13" w:rsidRDefault="00185803" w:rsidP="00EA0F13">
          <w:pPr>
            <w:rPr>
              <w:szCs w:val="18"/>
            </w:rPr>
          </w:pPr>
          <w:r>
            <w:rPr>
              <w:szCs w:val="18"/>
            </w:rPr>
            <w:t>Prinses Irenestraat 6</w:t>
          </w:r>
        </w:p>
        <w:p w14:paraId="2D53BB7F" w14:textId="77777777" w:rsidR="00985E56" w:rsidRDefault="00185803" w:rsidP="00EA0F13">
          <w:r>
            <w:rPr>
              <w:szCs w:val="18"/>
            </w:rPr>
            <w:t>2595 BD  DEN HAAG</w:t>
          </w:r>
        </w:p>
      </w:tc>
    </w:tr>
    <w:tr w:rsidR="003B5BD0" w14:paraId="74027C8B" w14:textId="77777777" w:rsidTr="00C37826">
      <w:trPr>
        <w:trHeight w:hRule="exact" w:val="400"/>
      </w:trPr>
      <w:tc>
        <w:tcPr>
          <w:tcW w:w="7371" w:type="dxa"/>
          <w:gridSpan w:val="2"/>
        </w:tcPr>
        <w:p w14:paraId="1AC0DD9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B5BD0" w14:paraId="1C0A4D2F" w14:textId="77777777" w:rsidTr="00C37826">
      <w:trPr>
        <w:trHeight w:val="240"/>
      </w:trPr>
      <w:tc>
        <w:tcPr>
          <w:tcW w:w="709" w:type="dxa"/>
        </w:tcPr>
        <w:p w14:paraId="1E70C4AD" w14:textId="77777777" w:rsidR="00527BD4" w:rsidRPr="00C37826" w:rsidRDefault="00185803" w:rsidP="00A50CF6">
          <w:pPr>
            <w:rPr>
              <w:szCs w:val="18"/>
            </w:rPr>
          </w:pPr>
          <w:r>
            <w:rPr>
              <w:szCs w:val="18"/>
            </w:rPr>
            <w:t>Datum</w:t>
          </w:r>
        </w:p>
      </w:tc>
      <w:tc>
        <w:tcPr>
          <w:tcW w:w="6662" w:type="dxa"/>
        </w:tcPr>
        <w:p w14:paraId="6735F524" w14:textId="75088C40" w:rsidR="00527BD4" w:rsidRPr="007709EF" w:rsidRDefault="00E17960" w:rsidP="00A50CF6">
          <w:r>
            <w:t>1 april 2026</w:t>
          </w:r>
        </w:p>
      </w:tc>
    </w:tr>
    <w:tr w:rsidR="003B5BD0" w14:paraId="5EC48714" w14:textId="77777777" w:rsidTr="00C37826">
      <w:trPr>
        <w:trHeight w:val="240"/>
      </w:trPr>
      <w:tc>
        <w:tcPr>
          <w:tcW w:w="709" w:type="dxa"/>
        </w:tcPr>
        <w:p w14:paraId="523FB527" w14:textId="77777777" w:rsidR="00527BD4" w:rsidRPr="00C37826" w:rsidRDefault="00185803" w:rsidP="00A50CF6">
          <w:pPr>
            <w:rPr>
              <w:szCs w:val="18"/>
            </w:rPr>
          </w:pPr>
          <w:r>
            <w:rPr>
              <w:szCs w:val="18"/>
            </w:rPr>
            <w:t>Betreft</w:t>
          </w:r>
        </w:p>
      </w:tc>
      <w:tc>
        <w:tcPr>
          <w:tcW w:w="6662" w:type="dxa"/>
        </w:tcPr>
        <w:p w14:paraId="71157208" w14:textId="3A6751DF" w:rsidR="00527BD4" w:rsidRPr="007709EF" w:rsidRDefault="00185803" w:rsidP="00A50CF6">
          <w:r>
            <w:t xml:space="preserve">Kamerbrief </w:t>
          </w:r>
          <w:r w:rsidR="00D56D55">
            <w:t>conferentie Colombia</w:t>
          </w:r>
          <w:r w:rsidR="00F2015A">
            <w:t xml:space="preserve"> </w:t>
          </w:r>
          <w:r w:rsidR="00907BF6">
            <w:t xml:space="preserve">over de </w:t>
          </w:r>
          <w:r w:rsidR="00F2015A">
            <w:t>transitie</w:t>
          </w:r>
          <w:r w:rsidR="00641558">
            <w:t xml:space="preserve"> </w:t>
          </w:r>
          <w:r w:rsidR="00F2015A">
            <w:t>weg van</w:t>
          </w:r>
          <w:r w:rsidR="00D56D55">
            <w:t xml:space="preserve"> fossiele brandstoffen</w:t>
          </w:r>
        </w:p>
      </w:tc>
    </w:tr>
  </w:tbl>
  <w:p w14:paraId="347EF2F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1821A5A">
      <w:start w:val="1"/>
      <w:numFmt w:val="bullet"/>
      <w:pStyle w:val="Lijstopsomteken"/>
      <w:lvlText w:val="•"/>
      <w:lvlJc w:val="left"/>
      <w:pPr>
        <w:tabs>
          <w:tab w:val="num" w:pos="227"/>
        </w:tabs>
        <w:ind w:left="227" w:hanging="227"/>
      </w:pPr>
      <w:rPr>
        <w:rFonts w:ascii="Verdana" w:hAnsi="Verdana" w:hint="default"/>
        <w:sz w:val="18"/>
        <w:szCs w:val="18"/>
      </w:rPr>
    </w:lvl>
    <w:lvl w:ilvl="1" w:tplc="6BE80B9A" w:tentative="1">
      <w:start w:val="1"/>
      <w:numFmt w:val="bullet"/>
      <w:lvlText w:val="o"/>
      <w:lvlJc w:val="left"/>
      <w:pPr>
        <w:tabs>
          <w:tab w:val="num" w:pos="1440"/>
        </w:tabs>
        <w:ind w:left="1440" w:hanging="360"/>
      </w:pPr>
      <w:rPr>
        <w:rFonts w:ascii="Courier New" w:hAnsi="Courier New" w:cs="Courier New" w:hint="default"/>
      </w:rPr>
    </w:lvl>
    <w:lvl w:ilvl="2" w:tplc="5A36450E" w:tentative="1">
      <w:start w:val="1"/>
      <w:numFmt w:val="bullet"/>
      <w:lvlText w:val=""/>
      <w:lvlJc w:val="left"/>
      <w:pPr>
        <w:tabs>
          <w:tab w:val="num" w:pos="2160"/>
        </w:tabs>
        <w:ind w:left="2160" w:hanging="360"/>
      </w:pPr>
      <w:rPr>
        <w:rFonts w:ascii="Wingdings" w:hAnsi="Wingdings" w:hint="default"/>
      </w:rPr>
    </w:lvl>
    <w:lvl w:ilvl="3" w:tplc="89B8BB98" w:tentative="1">
      <w:start w:val="1"/>
      <w:numFmt w:val="bullet"/>
      <w:lvlText w:val=""/>
      <w:lvlJc w:val="left"/>
      <w:pPr>
        <w:tabs>
          <w:tab w:val="num" w:pos="2880"/>
        </w:tabs>
        <w:ind w:left="2880" w:hanging="360"/>
      </w:pPr>
      <w:rPr>
        <w:rFonts w:ascii="Symbol" w:hAnsi="Symbol" w:hint="default"/>
      </w:rPr>
    </w:lvl>
    <w:lvl w:ilvl="4" w:tplc="5B2890A4" w:tentative="1">
      <w:start w:val="1"/>
      <w:numFmt w:val="bullet"/>
      <w:lvlText w:val="o"/>
      <w:lvlJc w:val="left"/>
      <w:pPr>
        <w:tabs>
          <w:tab w:val="num" w:pos="3600"/>
        </w:tabs>
        <w:ind w:left="3600" w:hanging="360"/>
      </w:pPr>
      <w:rPr>
        <w:rFonts w:ascii="Courier New" w:hAnsi="Courier New" w:cs="Courier New" w:hint="default"/>
      </w:rPr>
    </w:lvl>
    <w:lvl w:ilvl="5" w:tplc="7494D8F6" w:tentative="1">
      <w:start w:val="1"/>
      <w:numFmt w:val="bullet"/>
      <w:lvlText w:val=""/>
      <w:lvlJc w:val="left"/>
      <w:pPr>
        <w:tabs>
          <w:tab w:val="num" w:pos="4320"/>
        </w:tabs>
        <w:ind w:left="4320" w:hanging="360"/>
      </w:pPr>
      <w:rPr>
        <w:rFonts w:ascii="Wingdings" w:hAnsi="Wingdings" w:hint="default"/>
      </w:rPr>
    </w:lvl>
    <w:lvl w:ilvl="6" w:tplc="04EADBAA" w:tentative="1">
      <w:start w:val="1"/>
      <w:numFmt w:val="bullet"/>
      <w:lvlText w:val=""/>
      <w:lvlJc w:val="left"/>
      <w:pPr>
        <w:tabs>
          <w:tab w:val="num" w:pos="5040"/>
        </w:tabs>
        <w:ind w:left="5040" w:hanging="360"/>
      </w:pPr>
      <w:rPr>
        <w:rFonts w:ascii="Symbol" w:hAnsi="Symbol" w:hint="default"/>
      </w:rPr>
    </w:lvl>
    <w:lvl w:ilvl="7" w:tplc="C7AEF8FE" w:tentative="1">
      <w:start w:val="1"/>
      <w:numFmt w:val="bullet"/>
      <w:lvlText w:val="o"/>
      <w:lvlJc w:val="left"/>
      <w:pPr>
        <w:tabs>
          <w:tab w:val="num" w:pos="5760"/>
        </w:tabs>
        <w:ind w:left="5760" w:hanging="360"/>
      </w:pPr>
      <w:rPr>
        <w:rFonts w:ascii="Courier New" w:hAnsi="Courier New" w:cs="Courier New" w:hint="default"/>
      </w:rPr>
    </w:lvl>
    <w:lvl w:ilvl="8" w:tplc="E156243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8DACF76">
      <w:start w:val="1"/>
      <w:numFmt w:val="bullet"/>
      <w:pStyle w:val="Lijstopsomteken2"/>
      <w:lvlText w:val="–"/>
      <w:lvlJc w:val="left"/>
      <w:pPr>
        <w:tabs>
          <w:tab w:val="num" w:pos="227"/>
        </w:tabs>
        <w:ind w:left="227" w:firstLine="0"/>
      </w:pPr>
      <w:rPr>
        <w:rFonts w:ascii="Verdana" w:hAnsi="Verdana" w:hint="default"/>
      </w:rPr>
    </w:lvl>
    <w:lvl w:ilvl="1" w:tplc="69F0ADD6" w:tentative="1">
      <w:start w:val="1"/>
      <w:numFmt w:val="bullet"/>
      <w:lvlText w:val="o"/>
      <w:lvlJc w:val="left"/>
      <w:pPr>
        <w:tabs>
          <w:tab w:val="num" w:pos="1440"/>
        </w:tabs>
        <w:ind w:left="1440" w:hanging="360"/>
      </w:pPr>
      <w:rPr>
        <w:rFonts w:ascii="Courier New" w:hAnsi="Courier New" w:cs="Courier New" w:hint="default"/>
      </w:rPr>
    </w:lvl>
    <w:lvl w:ilvl="2" w:tplc="5D1C5B02" w:tentative="1">
      <w:start w:val="1"/>
      <w:numFmt w:val="bullet"/>
      <w:lvlText w:val=""/>
      <w:lvlJc w:val="left"/>
      <w:pPr>
        <w:tabs>
          <w:tab w:val="num" w:pos="2160"/>
        </w:tabs>
        <w:ind w:left="2160" w:hanging="360"/>
      </w:pPr>
      <w:rPr>
        <w:rFonts w:ascii="Wingdings" w:hAnsi="Wingdings" w:hint="default"/>
      </w:rPr>
    </w:lvl>
    <w:lvl w:ilvl="3" w:tplc="B5F85D40" w:tentative="1">
      <w:start w:val="1"/>
      <w:numFmt w:val="bullet"/>
      <w:lvlText w:val=""/>
      <w:lvlJc w:val="left"/>
      <w:pPr>
        <w:tabs>
          <w:tab w:val="num" w:pos="2880"/>
        </w:tabs>
        <w:ind w:left="2880" w:hanging="360"/>
      </w:pPr>
      <w:rPr>
        <w:rFonts w:ascii="Symbol" w:hAnsi="Symbol" w:hint="default"/>
      </w:rPr>
    </w:lvl>
    <w:lvl w:ilvl="4" w:tplc="CAB4149C" w:tentative="1">
      <w:start w:val="1"/>
      <w:numFmt w:val="bullet"/>
      <w:lvlText w:val="o"/>
      <w:lvlJc w:val="left"/>
      <w:pPr>
        <w:tabs>
          <w:tab w:val="num" w:pos="3600"/>
        </w:tabs>
        <w:ind w:left="3600" w:hanging="360"/>
      </w:pPr>
      <w:rPr>
        <w:rFonts w:ascii="Courier New" w:hAnsi="Courier New" w:cs="Courier New" w:hint="default"/>
      </w:rPr>
    </w:lvl>
    <w:lvl w:ilvl="5" w:tplc="F8F8DC3C" w:tentative="1">
      <w:start w:val="1"/>
      <w:numFmt w:val="bullet"/>
      <w:lvlText w:val=""/>
      <w:lvlJc w:val="left"/>
      <w:pPr>
        <w:tabs>
          <w:tab w:val="num" w:pos="4320"/>
        </w:tabs>
        <w:ind w:left="4320" w:hanging="360"/>
      </w:pPr>
      <w:rPr>
        <w:rFonts w:ascii="Wingdings" w:hAnsi="Wingdings" w:hint="default"/>
      </w:rPr>
    </w:lvl>
    <w:lvl w:ilvl="6" w:tplc="A756F9C2" w:tentative="1">
      <w:start w:val="1"/>
      <w:numFmt w:val="bullet"/>
      <w:lvlText w:val=""/>
      <w:lvlJc w:val="left"/>
      <w:pPr>
        <w:tabs>
          <w:tab w:val="num" w:pos="5040"/>
        </w:tabs>
        <w:ind w:left="5040" w:hanging="360"/>
      </w:pPr>
      <w:rPr>
        <w:rFonts w:ascii="Symbol" w:hAnsi="Symbol" w:hint="default"/>
      </w:rPr>
    </w:lvl>
    <w:lvl w:ilvl="7" w:tplc="3500B432" w:tentative="1">
      <w:start w:val="1"/>
      <w:numFmt w:val="bullet"/>
      <w:lvlText w:val="o"/>
      <w:lvlJc w:val="left"/>
      <w:pPr>
        <w:tabs>
          <w:tab w:val="num" w:pos="5760"/>
        </w:tabs>
        <w:ind w:left="5760" w:hanging="360"/>
      </w:pPr>
      <w:rPr>
        <w:rFonts w:ascii="Courier New" w:hAnsi="Courier New" w:cs="Courier New" w:hint="default"/>
      </w:rPr>
    </w:lvl>
    <w:lvl w:ilvl="8" w:tplc="559CC0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9E6C33D2">
      <w:numFmt w:val="bullet"/>
      <w:lvlText w:val="-"/>
      <w:lvlJc w:val="left"/>
      <w:pPr>
        <w:ind w:left="720" w:hanging="360"/>
      </w:pPr>
      <w:rPr>
        <w:rFonts w:ascii="Calibri" w:eastAsia="Times New Roman" w:hAnsi="Calibri" w:cs="Calibri" w:hint="default"/>
      </w:rPr>
    </w:lvl>
    <w:lvl w:ilvl="1" w:tplc="4B56B128">
      <w:start w:val="1"/>
      <w:numFmt w:val="bullet"/>
      <w:lvlText w:val="o"/>
      <w:lvlJc w:val="left"/>
      <w:pPr>
        <w:ind w:left="1440" w:hanging="360"/>
      </w:pPr>
      <w:rPr>
        <w:rFonts w:ascii="Courier New" w:hAnsi="Courier New" w:cs="Courier New" w:hint="default"/>
      </w:rPr>
    </w:lvl>
    <w:lvl w:ilvl="2" w:tplc="EE7EF18A">
      <w:start w:val="1"/>
      <w:numFmt w:val="bullet"/>
      <w:lvlText w:val=""/>
      <w:lvlJc w:val="left"/>
      <w:pPr>
        <w:ind w:left="2160" w:hanging="360"/>
      </w:pPr>
      <w:rPr>
        <w:rFonts w:ascii="Wingdings" w:hAnsi="Wingdings" w:hint="default"/>
      </w:rPr>
    </w:lvl>
    <w:lvl w:ilvl="3" w:tplc="CF5EC9EA">
      <w:start w:val="1"/>
      <w:numFmt w:val="bullet"/>
      <w:lvlText w:val=""/>
      <w:lvlJc w:val="left"/>
      <w:pPr>
        <w:ind w:left="2880" w:hanging="360"/>
      </w:pPr>
      <w:rPr>
        <w:rFonts w:ascii="Symbol" w:hAnsi="Symbol" w:hint="default"/>
      </w:rPr>
    </w:lvl>
    <w:lvl w:ilvl="4" w:tplc="9260D848">
      <w:start w:val="1"/>
      <w:numFmt w:val="bullet"/>
      <w:lvlText w:val="o"/>
      <w:lvlJc w:val="left"/>
      <w:pPr>
        <w:ind w:left="3600" w:hanging="360"/>
      </w:pPr>
      <w:rPr>
        <w:rFonts w:ascii="Courier New" w:hAnsi="Courier New" w:cs="Courier New" w:hint="default"/>
      </w:rPr>
    </w:lvl>
    <w:lvl w:ilvl="5" w:tplc="E67A7926">
      <w:start w:val="1"/>
      <w:numFmt w:val="bullet"/>
      <w:lvlText w:val=""/>
      <w:lvlJc w:val="left"/>
      <w:pPr>
        <w:ind w:left="4320" w:hanging="360"/>
      </w:pPr>
      <w:rPr>
        <w:rFonts w:ascii="Wingdings" w:hAnsi="Wingdings" w:hint="default"/>
      </w:rPr>
    </w:lvl>
    <w:lvl w:ilvl="6" w:tplc="38F8D438">
      <w:start w:val="1"/>
      <w:numFmt w:val="bullet"/>
      <w:lvlText w:val=""/>
      <w:lvlJc w:val="left"/>
      <w:pPr>
        <w:ind w:left="5040" w:hanging="360"/>
      </w:pPr>
      <w:rPr>
        <w:rFonts w:ascii="Symbol" w:hAnsi="Symbol" w:hint="default"/>
      </w:rPr>
    </w:lvl>
    <w:lvl w:ilvl="7" w:tplc="DFEC1316">
      <w:start w:val="1"/>
      <w:numFmt w:val="bullet"/>
      <w:lvlText w:val="o"/>
      <w:lvlJc w:val="left"/>
      <w:pPr>
        <w:ind w:left="5760" w:hanging="360"/>
      </w:pPr>
      <w:rPr>
        <w:rFonts w:ascii="Courier New" w:hAnsi="Courier New" w:cs="Courier New" w:hint="default"/>
      </w:rPr>
    </w:lvl>
    <w:lvl w:ilvl="8" w:tplc="B5E2244A">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29286D"/>
    <w:multiLevelType w:val="hybridMultilevel"/>
    <w:tmpl w:val="FFFFFFFF"/>
    <w:lvl w:ilvl="0" w:tplc="D3CCEBF6">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num w:numId="1" w16cid:durableId="745614444">
    <w:abstractNumId w:val="10"/>
  </w:num>
  <w:num w:numId="2" w16cid:durableId="834880449">
    <w:abstractNumId w:val="7"/>
  </w:num>
  <w:num w:numId="3" w16cid:durableId="373039689">
    <w:abstractNumId w:val="6"/>
  </w:num>
  <w:num w:numId="4" w16cid:durableId="1637294013">
    <w:abstractNumId w:val="5"/>
  </w:num>
  <w:num w:numId="5" w16cid:durableId="2094737919">
    <w:abstractNumId w:val="4"/>
  </w:num>
  <w:num w:numId="6" w16cid:durableId="679283926">
    <w:abstractNumId w:val="8"/>
  </w:num>
  <w:num w:numId="7" w16cid:durableId="281574823">
    <w:abstractNumId w:val="3"/>
  </w:num>
  <w:num w:numId="8" w16cid:durableId="493030022">
    <w:abstractNumId w:val="2"/>
  </w:num>
  <w:num w:numId="9" w16cid:durableId="1068309597">
    <w:abstractNumId w:val="1"/>
  </w:num>
  <w:num w:numId="10" w16cid:durableId="1007564661">
    <w:abstractNumId w:val="0"/>
  </w:num>
  <w:num w:numId="11" w16cid:durableId="1362852550">
    <w:abstractNumId w:val="9"/>
  </w:num>
  <w:num w:numId="12" w16cid:durableId="1630820454">
    <w:abstractNumId w:val="11"/>
  </w:num>
  <w:num w:numId="13" w16cid:durableId="1552617562">
    <w:abstractNumId w:val="14"/>
  </w:num>
  <w:num w:numId="14" w16cid:durableId="329062951">
    <w:abstractNumId w:val="12"/>
  </w:num>
  <w:num w:numId="15" w16cid:durableId="807208553">
    <w:abstractNumId w:val="13"/>
  </w:num>
  <w:num w:numId="16" w16cid:durableId="176371699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050"/>
    <w:rsid w:val="00020189"/>
    <w:rsid w:val="00020EE4"/>
    <w:rsid w:val="00023E9A"/>
    <w:rsid w:val="00033CDD"/>
    <w:rsid w:val="00034A84"/>
    <w:rsid w:val="00035E67"/>
    <w:rsid w:val="000366F3"/>
    <w:rsid w:val="0006024D"/>
    <w:rsid w:val="00071F28"/>
    <w:rsid w:val="00074079"/>
    <w:rsid w:val="0007591F"/>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411C"/>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803"/>
    <w:rsid w:val="00185951"/>
    <w:rsid w:val="00196B8B"/>
    <w:rsid w:val="001A2BEA"/>
    <w:rsid w:val="001A6AF9"/>
    <w:rsid w:val="001A6D93"/>
    <w:rsid w:val="001B21DC"/>
    <w:rsid w:val="001C32EC"/>
    <w:rsid w:val="001C38BD"/>
    <w:rsid w:val="001C4D5A"/>
    <w:rsid w:val="001E34C6"/>
    <w:rsid w:val="001E5581"/>
    <w:rsid w:val="001F3C70"/>
    <w:rsid w:val="00200D88"/>
    <w:rsid w:val="00201F68"/>
    <w:rsid w:val="00212F2A"/>
    <w:rsid w:val="00214F2B"/>
    <w:rsid w:val="00217880"/>
    <w:rsid w:val="00222D66"/>
    <w:rsid w:val="00223888"/>
    <w:rsid w:val="00224A8A"/>
    <w:rsid w:val="00230238"/>
    <w:rsid w:val="002309A8"/>
    <w:rsid w:val="00236CFE"/>
    <w:rsid w:val="002428E3"/>
    <w:rsid w:val="00243031"/>
    <w:rsid w:val="00243237"/>
    <w:rsid w:val="002570B4"/>
    <w:rsid w:val="00260BAF"/>
    <w:rsid w:val="00264988"/>
    <w:rsid w:val="002650F7"/>
    <w:rsid w:val="00273F3B"/>
    <w:rsid w:val="00274DB7"/>
    <w:rsid w:val="00275984"/>
    <w:rsid w:val="00280F74"/>
    <w:rsid w:val="002822CA"/>
    <w:rsid w:val="00286998"/>
    <w:rsid w:val="00291AB7"/>
    <w:rsid w:val="00292EB2"/>
    <w:rsid w:val="0029422B"/>
    <w:rsid w:val="002A0938"/>
    <w:rsid w:val="002A7788"/>
    <w:rsid w:val="002B153C"/>
    <w:rsid w:val="002B52FC"/>
    <w:rsid w:val="002C2830"/>
    <w:rsid w:val="002D001A"/>
    <w:rsid w:val="002D28E2"/>
    <w:rsid w:val="002D317B"/>
    <w:rsid w:val="002D3587"/>
    <w:rsid w:val="002D502D"/>
    <w:rsid w:val="002E0F69"/>
    <w:rsid w:val="002F5147"/>
    <w:rsid w:val="002F7ABD"/>
    <w:rsid w:val="0030029B"/>
    <w:rsid w:val="00312597"/>
    <w:rsid w:val="00327BA5"/>
    <w:rsid w:val="00334154"/>
    <w:rsid w:val="00335F62"/>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5BD0"/>
    <w:rsid w:val="003B7EE7"/>
    <w:rsid w:val="003C2CCB"/>
    <w:rsid w:val="003D39EC"/>
    <w:rsid w:val="003D5DED"/>
    <w:rsid w:val="003E3DD5"/>
    <w:rsid w:val="003E4281"/>
    <w:rsid w:val="003F07C6"/>
    <w:rsid w:val="003F1F6B"/>
    <w:rsid w:val="003F3757"/>
    <w:rsid w:val="003F38BD"/>
    <w:rsid w:val="003F44B7"/>
    <w:rsid w:val="004008E9"/>
    <w:rsid w:val="00413D48"/>
    <w:rsid w:val="00430405"/>
    <w:rsid w:val="00441AC2"/>
    <w:rsid w:val="0044249B"/>
    <w:rsid w:val="0045023C"/>
    <w:rsid w:val="00451A5B"/>
    <w:rsid w:val="00452BCD"/>
    <w:rsid w:val="00452CEA"/>
    <w:rsid w:val="004559A4"/>
    <w:rsid w:val="00465B52"/>
    <w:rsid w:val="0046708E"/>
    <w:rsid w:val="00472A65"/>
    <w:rsid w:val="00474463"/>
    <w:rsid w:val="00474B75"/>
    <w:rsid w:val="00477669"/>
    <w:rsid w:val="00483F0B"/>
    <w:rsid w:val="00496319"/>
    <w:rsid w:val="00497279"/>
    <w:rsid w:val="004A163B"/>
    <w:rsid w:val="004A670A"/>
    <w:rsid w:val="004B0F05"/>
    <w:rsid w:val="004B4DD3"/>
    <w:rsid w:val="004B5465"/>
    <w:rsid w:val="004B70F0"/>
    <w:rsid w:val="004D505E"/>
    <w:rsid w:val="004D72CA"/>
    <w:rsid w:val="004E2242"/>
    <w:rsid w:val="004E4776"/>
    <w:rsid w:val="004F42FF"/>
    <w:rsid w:val="004F44C2"/>
    <w:rsid w:val="00502512"/>
    <w:rsid w:val="00503FD2"/>
    <w:rsid w:val="00505262"/>
    <w:rsid w:val="00516022"/>
    <w:rsid w:val="00521CEE"/>
    <w:rsid w:val="00527BD4"/>
    <w:rsid w:val="00534251"/>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36929"/>
    <w:rsid w:val="00641558"/>
    <w:rsid w:val="006448E4"/>
    <w:rsid w:val="00645414"/>
    <w:rsid w:val="00650F19"/>
    <w:rsid w:val="00651CEE"/>
    <w:rsid w:val="00653606"/>
    <w:rsid w:val="006610E9"/>
    <w:rsid w:val="00661591"/>
    <w:rsid w:val="00664678"/>
    <w:rsid w:val="0066632F"/>
    <w:rsid w:val="00674A89"/>
    <w:rsid w:val="00674F3D"/>
    <w:rsid w:val="00684E81"/>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61F7A"/>
    <w:rsid w:val="007709EF"/>
    <w:rsid w:val="00781DCA"/>
    <w:rsid w:val="00782701"/>
    <w:rsid w:val="00783559"/>
    <w:rsid w:val="007844C2"/>
    <w:rsid w:val="0079551B"/>
    <w:rsid w:val="00797AA5"/>
    <w:rsid w:val="007A26BD"/>
    <w:rsid w:val="007A4105"/>
    <w:rsid w:val="007B4503"/>
    <w:rsid w:val="007B5193"/>
    <w:rsid w:val="007B7905"/>
    <w:rsid w:val="007C406E"/>
    <w:rsid w:val="007C5183"/>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A31"/>
    <w:rsid w:val="00831EE4"/>
    <w:rsid w:val="00833695"/>
    <w:rsid w:val="008336B7"/>
    <w:rsid w:val="00833A8E"/>
    <w:rsid w:val="00836ACA"/>
    <w:rsid w:val="00842CD8"/>
    <w:rsid w:val="008431FA"/>
    <w:rsid w:val="00847444"/>
    <w:rsid w:val="008517C6"/>
    <w:rsid w:val="00852329"/>
    <w:rsid w:val="00852BE3"/>
    <w:rsid w:val="008547BA"/>
    <w:rsid w:val="008553C7"/>
    <w:rsid w:val="00857FEB"/>
    <w:rsid w:val="008601AF"/>
    <w:rsid w:val="00872271"/>
    <w:rsid w:val="00876EAC"/>
    <w:rsid w:val="00883137"/>
    <w:rsid w:val="00894A3B"/>
    <w:rsid w:val="008A1647"/>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07BF6"/>
    <w:rsid w:val="00910642"/>
    <w:rsid w:val="00910DDF"/>
    <w:rsid w:val="00926AE2"/>
    <w:rsid w:val="00930B13"/>
    <w:rsid w:val="009311C8"/>
    <w:rsid w:val="00933376"/>
    <w:rsid w:val="00933A2F"/>
    <w:rsid w:val="00950FED"/>
    <w:rsid w:val="0096153B"/>
    <w:rsid w:val="00967600"/>
    <w:rsid w:val="009716D8"/>
    <w:rsid w:val="009718F9"/>
    <w:rsid w:val="00971F42"/>
    <w:rsid w:val="00972FB9"/>
    <w:rsid w:val="00975112"/>
    <w:rsid w:val="00975B6E"/>
    <w:rsid w:val="00981768"/>
    <w:rsid w:val="00983E8F"/>
    <w:rsid w:val="00985E56"/>
    <w:rsid w:val="0098788A"/>
    <w:rsid w:val="00994FDA"/>
    <w:rsid w:val="009969F2"/>
    <w:rsid w:val="009A0322"/>
    <w:rsid w:val="009A31BF"/>
    <w:rsid w:val="009A3B71"/>
    <w:rsid w:val="009A61BC"/>
    <w:rsid w:val="009A6A94"/>
    <w:rsid w:val="009B0138"/>
    <w:rsid w:val="009B0FE9"/>
    <w:rsid w:val="009B173A"/>
    <w:rsid w:val="009C3F20"/>
    <w:rsid w:val="009C7CA1"/>
    <w:rsid w:val="009D043D"/>
    <w:rsid w:val="009D0B5A"/>
    <w:rsid w:val="009E107A"/>
    <w:rsid w:val="009F3259"/>
    <w:rsid w:val="00A056DE"/>
    <w:rsid w:val="00A1239D"/>
    <w:rsid w:val="00A128AD"/>
    <w:rsid w:val="00A21E76"/>
    <w:rsid w:val="00A23BC8"/>
    <w:rsid w:val="00A245F8"/>
    <w:rsid w:val="00A30E68"/>
    <w:rsid w:val="00A31933"/>
    <w:rsid w:val="00A329D2"/>
    <w:rsid w:val="00A34AA0"/>
    <w:rsid w:val="00A3715C"/>
    <w:rsid w:val="00A41FE2"/>
    <w:rsid w:val="00A46FEF"/>
    <w:rsid w:val="00A47948"/>
    <w:rsid w:val="00A50CF6"/>
    <w:rsid w:val="00A54C43"/>
    <w:rsid w:val="00A56946"/>
    <w:rsid w:val="00A6170E"/>
    <w:rsid w:val="00A63B8C"/>
    <w:rsid w:val="00A71555"/>
    <w:rsid w:val="00A715F8"/>
    <w:rsid w:val="00A77F6F"/>
    <w:rsid w:val="00A831FD"/>
    <w:rsid w:val="00A83352"/>
    <w:rsid w:val="00A850A2"/>
    <w:rsid w:val="00A91FA3"/>
    <w:rsid w:val="00A927D3"/>
    <w:rsid w:val="00AA1964"/>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2D"/>
    <w:rsid w:val="00BC3B53"/>
    <w:rsid w:val="00BC3B96"/>
    <w:rsid w:val="00BC4AE3"/>
    <w:rsid w:val="00BC5B28"/>
    <w:rsid w:val="00BD2370"/>
    <w:rsid w:val="00BE3F88"/>
    <w:rsid w:val="00BE4756"/>
    <w:rsid w:val="00BE5ED9"/>
    <w:rsid w:val="00BE7B41"/>
    <w:rsid w:val="00C15A91"/>
    <w:rsid w:val="00C206F1"/>
    <w:rsid w:val="00C217E1"/>
    <w:rsid w:val="00C219B1"/>
    <w:rsid w:val="00C225DD"/>
    <w:rsid w:val="00C37826"/>
    <w:rsid w:val="00C4015B"/>
    <w:rsid w:val="00C40268"/>
    <w:rsid w:val="00C40C60"/>
    <w:rsid w:val="00C5258E"/>
    <w:rsid w:val="00C530C9"/>
    <w:rsid w:val="00C619A7"/>
    <w:rsid w:val="00C73D5F"/>
    <w:rsid w:val="00C82AFE"/>
    <w:rsid w:val="00C83DBC"/>
    <w:rsid w:val="00C83EAD"/>
    <w:rsid w:val="00C97C80"/>
    <w:rsid w:val="00CA47D3"/>
    <w:rsid w:val="00CA6533"/>
    <w:rsid w:val="00CA6A25"/>
    <w:rsid w:val="00CA6A3F"/>
    <w:rsid w:val="00CA7C99"/>
    <w:rsid w:val="00CC6290"/>
    <w:rsid w:val="00CD233D"/>
    <w:rsid w:val="00CD3499"/>
    <w:rsid w:val="00CD362D"/>
    <w:rsid w:val="00CE0A40"/>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474AC"/>
    <w:rsid w:val="00D516BE"/>
    <w:rsid w:val="00D5423B"/>
    <w:rsid w:val="00D54E6A"/>
    <w:rsid w:val="00D54F4E"/>
    <w:rsid w:val="00D56D55"/>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241E"/>
    <w:rsid w:val="00DA547E"/>
    <w:rsid w:val="00DB36FE"/>
    <w:rsid w:val="00DB533A"/>
    <w:rsid w:val="00DB60AE"/>
    <w:rsid w:val="00DB6307"/>
    <w:rsid w:val="00DD0EDF"/>
    <w:rsid w:val="00DD1DCD"/>
    <w:rsid w:val="00DD338F"/>
    <w:rsid w:val="00DD66F2"/>
    <w:rsid w:val="00DE3FE0"/>
    <w:rsid w:val="00DE578A"/>
    <w:rsid w:val="00DF2583"/>
    <w:rsid w:val="00DF54D9"/>
    <w:rsid w:val="00DF7283"/>
    <w:rsid w:val="00E01A59"/>
    <w:rsid w:val="00E10DC6"/>
    <w:rsid w:val="00E11F8E"/>
    <w:rsid w:val="00E15881"/>
    <w:rsid w:val="00E16A8F"/>
    <w:rsid w:val="00E17960"/>
    <w:rsid w:val="00E21DE3"/>
    <w:rsid w:val="00E252EF"/>
    <w:rsid w:val="00E273C5"/>
    <w:rsid w:val="00E307D1"/>
    <w:rsid w:val="00E34A4B"/>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015A"/>
    <w:rsid w:val="00F21BEF"/>
    <w:rsid w:val="00F2315B"/>
    <w:rsid w:val="00F33D6B"/>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6A59"/>
    <w:rsid w:val="00FC7F66"/>
    <w:rsid w:val="00FD5776"/>
    <w:rsid w:val="00FE1CB6"/>
    <w:rsid w:val="00FE486B"/>
    <w:rsid w:val="00FE4F08"/>
    <w:rsid w:val="00FE6692"/>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9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D56D55"/>
    <w:rPr>
      <w:vertAlign w:val="superscript"/>
    </w:rPr>
  </w:style>
  <w:style w:type="paragraph" w:styleId="Onderwerpvanopmerking">
    <w:name w:val="annotation subject"/>
    <w:basedOn w:val="Tekstopmerking"/>
    <w:next w:val="Tekstopmerking"/>
    <w:link w:val="OnderwerpvanopmerkingChar"/>
    <w:semiHidden/>
    <w:unhideWhenUsed/>
    <w:rsid w:val="009A6A94"/>
    <w:rPr>
      <w:b/>
      <w:bCs/>
    </w:rPr>
  </w:style>
  <w:style w:type="character" w:customStyle="1" w:styleId="OnderwerpvanopmerkingChar">
    <w:name w:val="Onderwerp van opmerking Char"/>
    <w:basedOn w:val="TekstopmerkingChar"/>
    <w:link w:val="Onderwerpvanopmerking"/>
    <w:semiHidden/>
    <w:rsid w:val="009A6A94"/>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1350</ap:Words>
  <ap:Characters>7428</ap:Characters>
  <ap:DocSecurity>0</ap:DocSecurity>
  <ap:Lines>61</ap:Lines>
  <ap:Paragraphs>17</ap:Paragraphs>
  <ap:ScaleCrop>false</ap:ScaleCrop>
  <ap:LinksUpToDate>false</ap:LinksUpToDate>
  <ap:CharactersWithSpaces>8761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2026-04-01T12:30:00.0000000Z</dcterms:created>
  <dcterms:modified xsi:type="dcterms:W3CDTF">2026-04-01T12:30:00.0000000Z</dcterms:modified>
  <dc:description>------------------------</dc:description>
  <dc:subject/>
  <keywords/>
  <version/>
  <category/>
</coreProperties>
</file>