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2026Z06768</w:t>
        <w:br/>
      </w:r>
      <w:proofErr w:type="spellEnd"/>
    </w:p>
    <w:p>
      <w:pPr>
        <w:pStyle w:val="Normal"/>
        <w:rPr>
          <w:b w:val="1"/>
          <w:bCs w:val="1"/>
        </w:rPr>
      </w:pPr>
      <w:r w:rsidR="250AE766">
        <w:rPr>
          <w:b w:val="0"/>
          <w:bCs w:val="0"/>
        </w:rPr>
        <w:t>(ingezonden 1 april 2026)</w:t>
        <w:br/>
      </w:r>
    </w:p>
    <w:p>
      <w:r>
        <w:t xml:space="preserve">Vragen van het lid Patijn (GroenLinks-PvdA) aan de minister van Sociale Zaken en Werkgelegenheid over TBA bij internationale organisaties en rechten van werknemers</w:t>
      </w:r>
      <w:r>
        <w:br/>
      </w:r>
    </w:p>
    <w:p>
      <w:pPr>
        <w:pStyle w:val="ListParagraph"/>
        <w:numPr>
          <w:ilvl w:val="0"/>
          <w:numId w:val="100502590"/>
        </w:numPr>
        <w:ind w:left="360"/>
      </w:pPr>
      <w:r>
        <w:t xml:space="preserve">Bent u bekend met de uitspraak van de Rechtbank Den Haag van 18 februari 2026 1), waarin is geoordeeld dat de European Space Agency (ESA) geen onderneming is in de zin van de Wet op de ondernemingsraden (WOR) en dat daarom de artikelen 8 en 8a van de Wet allocatie arbeidskrachten door intermediairs (Waadi) niet van toepassing zijn?</w:t>
      </w:r>
      <w:r>
        <w:br/>
      </w:r>
    </w:p>
    <w:p>
      <w:pPr>
        <w:pStyle w:val="ListParagraph"/>
        <w:numPr>
          <w:ilvl w:val="0"/>
          <w:numId w:val="100502590"/>
        </w:numPr>
        <w:ind w:left="360"/>
      </w:pPr>
      <w:r>
        <w:t xml:space="preserve">Deelt u de opvatting dat deze uitspraak ertoe leidt dat werknemers die via een werkgever ter beschikking worden gesteld aan internationale organisaties zoals ESA, geen aanspraak kunnen maken op gelijke arbeidsvoorwaarden zoals bedoeld in de Waadi en de Europese Uitzendrichtlijn? Zo nee, waarom niet en zo ja, wat gaat u dan nu doen?</w:t>
      </w:r>
      <w:r>
        <w:br/>
      </w:r>
    </w:p>
    <w:p>
      <w:pPr>
        <w:pStyle w:val="ListParagraph"/>
        <w:numPr>
          <w:ilvl w:val="0"/>
          <w:numId w:val="100502590"/>
        </w:numPr>
        <w:ind w:left="360"/>
      </w:pPr>
      <w:r>
        <w:t xml:space="preserve">Hoe beoordeelt u, in het licht van artikel 5, eerste lid, van de Uitzendrichtlijn, dat een groep ter beschikking gestelde werknemers die feitelijk arbeid verricht bij een in Nederland gevestigde organisatie volledig buiten het beginsel van gelijke behandeling valt enkel vanwege de kwalificatie van de inlener? Acht u dat richtlijnconform?</w:t>
      </w:r>
      <w:r>
        <w:br/>
      </w:r>
    </w:p>
    <w:p>
      <w:pPr>
        <w:pStyle w:val="ListParagraph"/>
        <w:numPr>
          <w:ilvl w:val="0"/>
          <w:numId w:val="100502590"/>
        </w:numPr>
        <w:ind w:left="360"/>
      </w:pPr>
      <w:r>
        <w:t xml:space="preserve">Was het bij de implementatie van de Uitzendrichtlijn beoogd dat ter beschikking gestelde werknemers die werken bij internationale organisaties in Nederland buiten het beginsel van gelijke behandeling zouden vallen? Zo ja, waar blijkt dat uit? Zo nee, erkent u dan dat hier sprake is van een lacune in de wetgeving?</w:t>
      </w:r>
      <w:r>
        <w:br/>
      </w:r>
    </w:p>
    <w:p>
      <w:pPr>
        <w:pStyle w:val="ListParagraph"/>
        <w:numPr>
          <w:ilvl w:val="0"/>
          <w:numId w:val="100502590"/>
        </w:numPr>
        <w:ind w:left="360"/>
      </w:pPr>
      <w:r>
        <w:t xml:space="preserve">Deelt u de opvatting dat artikel 8 van het Verdrag tussen Nederland en ESA inzake ESTEC, waarin is bepaald dat Nederlands recht van toepassing is op de activiteiten van ESA in Nederland, meebrengt dat het onwenselijk is dat ter beschikking gestelde werknemers daar feitelijk buiten de bescherming van de Waadi vallen? Zo nee, waarom niet?</w:t>
      </w:r>
      <w:r>
        <w:br/>
      </w:r>
    </w:p>
    <w:p>
      <w:pPr>
        <w:pStyle w:val="ListParagraph"/>
        <w:numPr>
          <w:ilvl w:val="0"/>
          <w:numId w:val="100502590"/>
        </w:numPr>
        <w:ind w:left="360"/>
      </w:pPr>
      <w:r>
        <w:t xml:space="preserve">Kunt u aangeven hoe groot de groep werknemers in Nederland is die via vergelijkbare constructies werken bij internationale organisaties en mogelijk buiten de werking van de Waadi vallen? Zo nee, bent u bereid dit in kaart te laten brengen?</w:t>
      </w:r>
      <w:r>
        <w:br/>
      </w:r>
    </w:p>
    <w:p>
      <w:pPr>
        <w:pStyle w:val="ListParagraph"/>
        <w:numPr>
          <w:ilvl w:val="0"/>
          <w:numId w:val="100502590"/>
        </w:numPr>
        <w:ind w:left="360"/>
      </w:pPr>
      <w:r>
        <w:t xml:space="preserve">Welke mogelijkheden ziet u om in de herziening van de Waadi, die momenteel in de Tweede Kamer wordt behandeld, te waarborgen dat werknemers die feitelijk structureel arbeid verrichten binnen organisaties als ESA, niet structureel slechtere arbeidsvoorwaarden hebben dan direct aangestelde collega’s?</w:t>
      </w:r>
      <w:r>
        <w:br/>
      </w:r>
    </w:p>
    <w:p>
      <w:pPr>
        <w:pStyle w:val="ListParagraph"/>
        <w:numPr>
          <w:ilvl w:val="0"/>
          <w:numId w:val="100502590"/>
        </w:numPr>
        <w:ind w:left="360"/>
      </w:pPr>
      <w:r>
        <w:t xml:space="preserve">Bent u bereid om in het kader van deze wetswijziging te bezien of het begrip “inlenende onderneming” in de Waadi moet worden aangepast, zodat ook internationale organisaties hieronder kunnen vallen? Zo nee, waarom niet?</w:t>
      </w:r>
      <w:r>
        <w:br/>
      </w:r>
    </w:p>
    <w:p>
      <w:pPr>
        <w:pStyle w:val="ListParagraph"/>
        <w:numPr>
          <w:ilvl w:val="0"/>
          <w:numId w:val="100502590"/>
        </w:numPr>
        <w:ind w:left="360"/>
      </w:pPr>
      <w:r>
        <w:t xml:space="preserve">Bent u bereid om hierover in overleg te treden met sociale partner en een nadere analyse naar de Kamer te sturen? Zo nee, waarom niet?</w:t>
      </w:r>
      <w:r>
        <w:br/>
      </w:r>
    </w:p>
    <w:p>
      <w:r>
        <w:t xml:space="preserve"> </w:t>
      </w:r>
      <w:r>
        <w:br/>
      </w:r>
    </w:p>
    <w:p>
      <w:r>
        <w:t xml:space="preserve">1) Rechtbank Den Haag, 18 februari 2026, ECLI:NL:RBDHA:2026:3221.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