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CD4" w:rsidRDefault="00B90642" w14:paraId="0F6565EA" w14:textId="000A8E0A">
      <w:bookmarkStart w:name="_GoBack" w:id="0"/>
      <w:bookmarkEnd w:id="0"/>
      <w:r>
        <w:t>Geachte voorzitter,</w:t>
      </w:r>
    </w:p>
    <w:p w:rsidR="00B90642" w:rsidRDefault="00B90642" w14:paraId="502A4600" w14:textId="77777777"/>
    <w:p w:rsidR="00B90642" w:rsidRDefault="00B90642" w14:paraId="37D01612" w14:textId="16F8BA60">
      <w:r>
        <w:t xml:space="preserve">Op 19 maart 2026 zijn er Kamervragen gesteld door de leden Kröger (GroenLinks-PvdA) en Kostiç (PvdD), inzake </w:t>
      </w:r>
      <w:r w:rsidR="006C7FD5">
        <w:t>de uitspraak</w:t>
      </w:r>
      <w:r>
        <w:t xml:space="preserve"> van de </w:t>
      </w:r>
      <w:r w:rsidR="006C7FD5">
        <w:t xml:space="preserve">Afdeling Bestuursrechtspraak van de </w:t>
      </w:r>
      <w:r>
        <w:t xml:space="preserve">Raad van State </w:t>
      </w:r>
      <w:r w:rsidR="006C7FD5">
        <w:t xml:space="preserve">over </w:t>
      </w:r>
      <w:r>
        <w:t xml:space="preserve">het tussen-LVB Schiphol. Hierbij ontvangt de Kamer de beantwoording. </w:t>
      </w:r>
    </w:p>
    <w:p w:rsidR="006D4CD4" w:rsidRDefault="0060377E" w14:paraId="400378C8" w14:textId="77777777">
      <w:pPr>
        <w:pStyle w:val="WitregelW1bodytekst"/>
      </w:pPr>
      <w:r>
        <w:t xml:space="preserve">  </w:t>
      </w:r>
    </w:p>
    <w:p w:rsidR="006D4CD4" w:rsidRDefault="0060377E" w14:paraId="603D6207" w14:textId="77777777">
      <w:pPr>
        <w:pStyle w:val="Slotzin"/>
      </w:pPr>
      <w:r>
        <w:t>Hoogachtend,</w:t>
      </w:r>
    </w:p>
    <w:p w:rsidR="006D4CD4" w:rsidRDefault="0060377E" w14:paraId="2DE68A6C" w14:textId="77777777">
      <w:pPr>
        <w:pStyle w:val="OndertekeningArea1"/>
      </w:pPr>
      <w:r>
        <w:t>DE MINISTER VAN INFRASTRUCTUUR EN WATERSTAAT,</w:t>
      </w:r>
    </w:p>
    <w:p w:rsidR="006D4CD4" w:rsidRDefault="006D4CD4" w14:paraId="00592FF3" w14:textId="77777777"/>
    <w:p w:rsidR="006D4CD4" w:rsidRDefault="006D4CD4" w14:paraId="7891212A" w14:textId="77777777"/>
    <w:p w:rsidR="00140F12" w:rsidRDefault="00140F12" w14:paraId="49F889B0" w14:textId="77777777"/>
    <w:p w:rsidR="006D4CD4" w:rsidRDefault="006D4CD4" w14:paraId="72B248AF" w14:textId="77777777"/>
    <w:p w:rsidR="006D4CD4" w:rsidRDefault="006D4CD4" w14:paraId="3C9B568A" w14:textId="77777777"/>
    <w:p w:rsidR="00B90642" w:rsidRDefault="0060377E" w14:paraId="2E53B471" w14:textId="41A292E6">
      <w:r>
        <w:t>Vincent Karremans</w:t>
      </w:r>
    </w:p>
    <w:p w:rsidR="00B90642" w:rsidRDefault="00B90642" w14:paraId="14EA5900" w14:textId="77777777">
      <w:pPr>
        <w:spacing w:line="240" w:lineRule="auto"/>
      </w:pPr>
      <w:r>
        <w:br w:type="page"/>
      </w:r>
    </w:p>
    <w:p w:rsidRPr="00E40F51" w:rsidR="00B90642" w:rsidP="00B90642" w:rsidRDefault="00B90642" w14:paraId="688A987C" w14:textId="77777777">
      <w:r w:rsidRPr="00E40F51">
        <w:rPr>
          <w:b/>
          <w:bCs/>
        </w:rPr>
        <w:lastRenderedPageBreak/>
        <w:t>2026Z05441</w:t>
      </w:r>
      <w:r>
        <w:rPr>
          <w:b/>
          <w:bCs/>
        </w:rPr>
        <w:t xml:space="preserve"> </w:t>
      </w:r>
      <w:r w:rsidRPr="00E40F51">
        <w:t>(ingezonden 19 maart 2026)</w:t>
      </w:r>
      <w:r w:rsidRPr="00E40F51">
        <w:br/>
      </w:r>
    </w:p>
    <w:p w:rsidRPr="00F950F9" w:rsidR="00B90642" w:rsidP="00B90642" w:rsidRDefault="00B90642" w14:paraId="2808BD4B" w14:textId="0C4C184C">
      <w:pPr>
        <w:rPr>
          <w:b/>
          <w:bCs/>
        </w:rPr>
      </w:pPr>
      <w:r w:rsidRPr="00E40F51">
        <w:t>Vragen van de leden Kröger (GroenLinks-PvdA) en Kostic (PvdD) aan de minister van Infrastructuur en Waterstaat over het vonnis van de Raad van State op het tussen-LVB Schiphol</w:t>
      </w:r>
      <w:r w:rsidRPr="00E40F51">
        <w:br/>
      </w:r>
      <w:r w:rsidRPr="00E40F51">
        <w:br/>
      </w:r>
      <w:r w:rsidRPr="00F950F9">
        <w:rPr>
          <w:b/>
          <w:bCs/>
        </w:rPr>
        <w:t xml:space="preserve">Vraag 1 </w:t>
      </w:r>
    </w:p>
    <w:p w:rsidR="00B90642" w:rsidP="00B90642" w:rsidRDefault="00B90642" w14:paraId="72529D77" w14:textId="195C9342">
      <w:pPr>
        <w:autoSpaceDN/>
        <w:spacing w:after="160" w:line="259" w:lineRule="auto"/>
        <w:textAlignment w:val="auto"/>
      </w:pPr>
      <w:r w:rsidRPr="00E40F51">
        <w:t>Kunt u toelichten wat u precies bedoelde met de uitspraak “We moeten door.” in reactie op het vonnis van de Raad van State (RvS) op het tussen-LVB Schiphol? 1)</w:t>
      </w:r>
      <w:r>
        <w:t xml:space="preserve"> </w:t>
      </w:r>
    </w:p>
    <w:p w:rsidRPr="00BD5F8A" w:rsidR="00BD5F8A" w:rsidP="00BD5F8A" w:rsidRDefault="0090577D" w14:paraId="7CBBC5CE" w14:textId="2C9AED04">
      <w:r w:rsidRPr="00F950F9">
        <w:rPr>
          <w:b/>
          <w:bCs/>
        </w:rPr>
        <w:t xml:space="preserve">Antwoord 1 </w:t>
      </w:r>
      <w:r w:rsidR="00BD5F8A">
        <w:rPr>
          <w:b/>
          <w:bCs/>
        </w:rPr>
        <w:br/>
      </w:r>
      <w:r w:rsidRPr="00BD5F8A" w:rsidR="00BD5F8A">
        <w:t>De uitspraak</w:t>
      </w:r>
      <w:r w:rsidR="00BD5F8A">
        <w:t xml:space="preserve"> “We moeten door”</w:t>
      </w:r>
      <w:r w:rsidRPr="00BD5F8A" w:rsidR="00BD5F8A">
        <w:t xml:space="preserve"> onderstreept het belang van de ontwerpwijziging van het Luchthavenverkeerbesluit Schipho</w:t>
      </w:r>
      <w:r w:rsidR="006C7FD5">
        <w:t>l (</w:t>
      </w:r>
      <w:r w:rsidR="004F4AED">
        <w:t xml:space="preserve">hierna: </w:t>
      </w:r>
      <w:r w:rsidR="006C7FD5">
        <w:t>LVB)</w:t>
      </w:r>
      <w:r w:rsidRPr="00BD5F8A" w:rsidR="00BD5F8A">
        <w:t>, d</w:t>
      </w:r>
      <w:r w:rsidR="00782043">
        <w:t>ie</w:t>
      </w:r>
      <w:r w:rsidRPr="00BD5F8A" w:rsidR="00BD5F8A">
        <w:t xml:space="preserve"> momenteel in het kader van de voorhangprocedure bij </w:t>
      </w:r>
      <w:r w:rsidR="006C7FD5">
        <w:t>zowel de Eerste als de Twee</w:t>
      </w:r>
      <w:r w:rsidRPr="00BD5F8A" w:rsidR="00BD5F8A">
        <w:t>de Kamer ligt. Het is van groot belang om de juridische basis van Schiphol op orde te brengen.</w:t>
      </w:r>
    </w:p>
    <w:p w:rsidR="00BD5F8A" w:rsidP="00BD5F8A" w:rsidRDefault="00BD5F8A" w14:paraId="24B7A925" w14:textId="77777777">
      <w:pPr>
        <w:rPr>
          <w:b/>
          <w:bCs/>
        </w:rPr>
      </w:pPr>
    </w:p>
    <w:p w:rsidRPr="00BD5F8A" w:rsidR="00BD5F8A" w:rsidP="00BD5F8A" w:rsidRDefault="00B90642" w14:paraId="369C5148" w14:textId="516F9587">
      <w:r w:rsidRPr="00F950F9">
        <w:rPr>
          <w:b/>
          <w:bCs/>
        </w:rPr>
        <w:t>Vraag 2</w:t>
      </w:r>
      <w:r w:rsidRPr="00F950F9">
        <w:rPr>
          <w:b/>
          <w:bCs/>
        </w:rPr>
        <w:br/>
      </w:r>
      <w:r w:rsidRPr="00E40F51">
        <w:t>Klopt het dat het nu voorliggende LVB, inhoudelijk en in de aannames, grotendeels een voortzetting is van het vernietigde tussen-LVB? Zo nee, waar baseert u dat precies op? </w:t>
      </w:r>
      <w:r w:rsidDel="004F4AED" w:rsidR="004F4AED">
        <w:t xml:space="preserve"> </w:t>
      </w:r>
      <w:r w:rsidRPr="00E40F51">
        <w:br/>
      </w:r>
      <w:r w:rsidR="00BD5F8A">
        <w:rPr>
          <w:b/>
          <w:bCs/>
        </w:rPr>
        <w:br/>
      </w:r>
      <w:r w:rsidRPr="00F950F9" w:rsidR="0090577D">
        <w:rPr>
          <w:b/>
          <w:bCs/>
        </w:rPr>
        <w:t xml:space="preserve">Antwoord 2 </w:t>
      </w:r>
      <w:r w:rsidR="00BD5F8A">
        <w:rPr>
          <w:b/>
          <w:bCs/>
        </w:rPr>
        <w:br/>
      </w:r>
      <w:r w:rsidR="00F839D7">
        <w:t>De</w:t>
      </w:r>
      <w:r w:rsidRPr="00BD5F8A" w:rsidR="00BD5F8A">
        <w:t xml:space="preserve"> in voorhang voorliggende LVB</w:t>
      </w:r>
      <w:r w:rsidR="00F839D7">
        <w:t>-wijziging</w:t>
      </w:r>
      <w:r w:rsidRPr="00BD5F8A" w:rsidR="00BD5F8A">
        <w:t xml:space="preserve"> is een </w:t>
      </w:r>
      <w:r w:rsidR="0085044A">
        <w:t>integrale</w:t>
      </w:r>
      <w:r w:rsidRPr="00BD5F8A" w:rsidR="0085044A">
        <w:t xml:space="preserve"> </w:t>
      </w:r>
      <w:r w:rsidRPr="00BD5F8A" w:rsidR="00BD5F8A">
        <w:t>wijziging van het LVB</w:t>
      </w:r>
      <w:r w:rsidR="00AA4BB2">
        <w:t>,</w:t>
      </w:r>
      <w:r w:rsidRPr="00BD5F8A" w:rsidR="00BD5F8A">
        <w:t xml:space="preserve"> inclusief onderzoek naar de milieu- en natuureffecten van het besluit. Daarbij is ook getoetst op de gelijkwaardigheidscriteria en hebben zowel </w:t>
      </w:r>
      <w:r w:rsidR="00BD5F8A">
        <w:t>Luchtverkeersleiding Nederland (</w:t>
      </w:r>
      <w:r w:rsidRPr="00BD5F8A" w:rsidR="00BD5F8A">
        <w:t>LVNL</w:t>
      </w:r>
      <w:r w:rsidR="00BD5F8A">
        <w:t>)</w:t>
      </w:r>
      <w:r w:rsidRPr="00BD5F8A" w:rsidR="00BD5F8A">
        <w:t xml:space="preserve"> als</w:t>
      </w:r>
      <w:r w:rsidR="00BD5F8A">
        <w:t xml:space="preserve"> de Inspectie Leefomgeving en Transport (</w:t>
      </w:r>
      <w:r w:rsidRPr="00BD5F8A" w:rsidR="00BD5F8A">
        <w:t>ILT</w:t>
      </w:r>
      <w:r w:rsidR="00BD5F8A">
        <w:t>)</w:t>
      </w:r>
      <w:r w:rsidRPr="00BD5F8A" w:rsidR="00BD5F8A">
        <w:t xml:space="preserve"> toetsen uitgevoerd op respectievelijk de uitvoering vanuit LVNL en de handhaving, uitvoerbaarheid en fraudebestendigheid vanuit ILT. </w:t>
      </w:r>
      <w:r w:rsidR="00B50381">
        <w:t>Met de ontwerp</w:t>
      </w:r>
      <w:r w:rsidRPr="00BD5F8A" w:rsidR="00BD5F8A">
        <w:t xml:space="preserve"> LVB</w:t>
      </w:r>
      <w:r w:rsidR="00B50381">
        <w:t>-wijziging</w:t>
      </w:r>
      <w:r w:rsidRPr="00BD5F8A" w:rsidR="00BD5F8A">
        <w:t xml:space="preserve"> wordt het stelsel met de baangebruiksregels en de uitbreiding van het stelsel met de handhavingspunten </w:t>
      </w:r>
      <w:r w:rsidR="005E7084">
        <w:t xml:space="preserve">in het LVB </w:t>
      </w:r>
      <w:r w:rsidRPr="00BD5F8A" w:rsidR="00BD5F8A">
        <w:t xml:space="preserve">opgenomen. Het gaat hier dus om de </w:t>
      </w:r>
      <w:r w:rsidR="0085044A">
        <w:t>integrale</w:t>
      </w:r>
      <w:r w:rsidRPr="00BD5F8A" w:rsidR="0085044A">
        <w:t xml:space="preserve"> </w:t>
      </w:r>
      <w:r w:rsidRPr="00BD5F8A" w:rsidR="00BD5F8A">
        <w:t xml:space="preserve">wijziging van het LVB waarmee het anticiperend handhaven kan worden beëindigd. De milieu- en natuurimpact van </w:t>
      </w:r>
      <w:r w:rsidR="00074B81">
        <w:t>de ontwerpwijziging van het</w:t>
      </w:r>
      <w:r w:rsidRPr="00BD5F8A" w:rsidR="00BD5F8A">
        <w:t xml:space="preserve"> LVB wordt daarbij afgezet tegen de situatie van het LVB 2008</w:t>
      </w:r>
      <w:r w:rsidR="00FE0E02">
        <w:t xml:space="preserve"> en het maximale gebruik onder het NNHS</w:t>
      </w:r>
      <w:r w:rsidR="00BD5F8A">
        <w:t xml:space="preserve">. </w:t>
      </w:r>
      <w:r w:rsidRPr="00BD5F8A" w:rsidR="00BD5F8A">
        <w:t>Dit is</w:t>
      </w:r>
      <w:r w:rsidR="00FE0E02">
        <w:t xml:space="preserve"> enerzijds</w:t>
      </w:r>
      <w:r w:rsidRPr="00BD5F8A" w:rsidR="00BD5F8A">
        <w:t xml:space="preserve"> de (theoretische) situatie waarin het huidige gebruik van de luchthaven passend is binnen de grenzen van het LVB </w:t>
      </w:r>
      <w:r w:rsidR="004F4AED">
        <w:t>2008</w:t>
      </w:r>
      <w:r w:rsidR="00FE0E02">
        <w:t>.</w:t>
      </w:r>
      <w:r w:rsidR="00D62987">
        <w:t xml:space="preserve"> </w:t>
      </w:r>
      <w:r w:rsidR="00FE0E02">
        <w:t>Anderzijds wordt de ontwerpwijziging van het LVB</w:t>
      </w:r>
      <w:r w:rsidR="00042A3D">
        <w:t xml:space="preserve"> </w:t>
      </w:r>
      <w:r w:rsidR="00FE0E02">
        <w:t>afgezet tegen het continueren</w:t>
      </w:r>
      <w:r w:rsidRPr="00BD5F8A" w:rsidR="00FE0E02">
        <w:t xml:space="preserve"> </w:t>
      </w:r>
      <w:r w:rsidR="00FE0E02">
        <w:t xml:space="preserve">van </w:t>
      </w:r>
      <w:r w:rsidRPr="00BD5F8A" w:rsidR="00BD5F8A">
        <w:t>het anticiperend</w:t>
      </w:r>
      <w:r w:rsidR="00AA4BB2">
        <w:t xml:space="preserve"> handhaven</w:t>
      </w:r>
      <w:r w:rsidRPr="00BD5F8A" w:rsidR="00BD5F8A">
        <w:t xml:space="preserve">. Deze situatie is identiek aan de bovengrens van de voorgenomen activiteit. </w:t>
      </w:r>
    </w:p>
    <w:p w:rsidR="00BD5F8A" w:rsidP="00BD5F8A" w:rsidRDefault="00BD5F8A" w14:paraId="2D5E4D9B" w14:textId="77777777"/>
    <w:p w:rsidRPr="00BD5F8A" w:rsidR="00BD5F8A" w:rsidP="00BD5F8A" w:rsidRDefault="00BD5F8A" w14:paraId="25E70469" w14:textId="7788A3F5">
      <w:r w:rsidRPr="00BD5F8A">
        <w:t>In de referentiesituatie 2008</w:t>
      </w:r>
      <w:r w:rsidR="002911FB">
        <w:t xml:space="preserve">, zoals opgenomen in de </w:t>
      </w:r>
      <w:r w:rsidR="0085044A">
        <w:t xml:space="preserve">milieueffectrapportage </w:t>
      </w:r>
      <w:r w:rsidR="002911FB">
        <w:t>(</w:t>
      </w:r>
      <w:r w:rsidRPr="00BD5F8A">
        <w:t>MER)</w:t>
      </w:r>
      <w:r w:rsidR="002911FB">
        <w:t>,</w:t>
      </w:r>
      <w:r w:rsidRPr="00BD5F8A">
        <w:t xml:space="preserve"> zijn de huidige grenswaarden voor geluid</w:t>
      </w:r>
      <w:r w:rsidR="007C73FE">
        <w:t xml:space="preserve"> zoals vastgelegd in het geldende LVB</w:t>
      </w:r>
      <w:r w:rsidRPr="00BD5F8A">
        <w:t xml:space="preserve"> voor het etmaal (de Lden) in handhavingspunten maatgevend voor het aantal vliegtuigbewegingen dat op basis van het huidige (zichtjaar 2024) en het toekomstige (zichtjaar 2030) verkeersbeeld mogelijk is. Het inpasbaar jaarvolume is met de gestelde uitgangspunten voor zichtjaar 2024 vastgesteld op circa 294.000 vliegtuigbewegingen en voor zichtjaar 2030 op circa 335.000 vliegtuigbewegingen</w:t>
      </w:r>
      <w:r w:rsidR="00AA4BB2">
        <w:t>. D</w:t>
      </w:r>
      <w:r w:rsidR="00FE0E02">
        <w:t>eze toename komt do</w:t>
      </w:r>
      <w:r w:rsidR="002911FB">
        <w:t>or vlootvernieuwing</w:t>
      </w:r>
      <w:r w:rsidR="00FE0E02">
        <w:t xml:space="preserve"> door de jaren heen.</w:t>
      </w:r>
      <w:r w:rsidR="00706ABD">
        <w:t xml:space="preserve"> </w:t>
      </w:r>
      <w:r w:rsidRPr="00BD5F8A">
        <w:t>Dit is als uitgangspunt gekozen omdat deze situatie inzicht geeft in de milieueffecten die optreden in de (theoretische) situatie dat het huidige gebruik van de luchthaven passend dient te zijn binnen de grenzen van het LVB</w:t>
      </w:r>
      <w:r w:rsidR="004F4AED">
        <w:t xml:space="preserve"> 2008</w:t>
      </w:r>
      <w:r w:rsidRPr="00BD5F8A">
        <w:t xml:space="preserve">. </w:t>
      </w:r>
    </w:p>
    <w:p w:rsidR="002911FB" w:rsidP="002911FB" w:rsidRDefault="002911FB" w14:paraId="31F8F624" w14:textId="77777777"/>
    <w:p w:rsidRPr="00BD5F8A" w:rsidR="00BD5F8A" w:rsidP="002911FB" w:rsidRDefault="00CC508E" w14:paraId="2AA0EE09" w14:textId="307000F4">
      <w:r>
        <w:t>De versnelde LVB-wijziging</w:t>
      </w:r>
      <w:r w:rsidRPr="00BD5F8A" w:rsidR="00BD5F8A">
        <w:t xml:space="preserve"> had tot doel om </w:t>
      </w:r>
      <w:r w:rsidR="0085044A">
        <w:t>twee van de maatregelen die volgden uit</w:t>
      </w:r>
      <w:r w:rsidRPr="00BD5F8A" w:rsidR="00BD5F8A">
        <w:t xml:space="preserve"> de </w:t>
      </w:r>
      <w:r w:rsidR="0085044A">
        <w:t xml:space="preserve">doorlopen </w:t>
      </w:r>
      <w:r w:rsidRPr="00BD5F8A" w:rsidR="00BD5F8A">
        <w:t>balanced approach</w:t>
      </w:r>
      <w:r w:rsidR="002911FB">
        <w:t>-procedure</w:t>
      </w:r>
      <w:r w:rsidRPr="00BD5F8A" w:rsidR="00BD5F8A">
        <w:t xml:space="preserve"> </w:t>
      </w:r>
      <w:r w:rsidR="0085044A">
        <w:t xml:space="preserve">(beperking in aantal vliegtuigbewegingen op het etmaal en in de nacht) </w:t>
      </w:r>
      <w:r w:rsidRPr="00BD5F8A" w:rsidR="00BD5F8A">
        <w:t xml:space="preserve">op korte termijn vast te leggen. </w:t>
      </w:r>
      <w:r w:rsidR="00AA4BB2">
        <w:t>Z</w:t>
      </w:r>
      <w:r w:rsidRPr="00BD5F8A" w:rsidR="00BD5F8A">
        <w:t>owel de inhoud als het proces van de twee besluiten verschillen</w:t>
      </w:r>
      <w:r w:rsidR="00AA4BB2">
        <w:t xml:space="preserve"> dus</w:t>
      </w:r>
      <w:r w:rsidRPr="00BD5F8A" w:rsidR="00BD5F8A">
        <w:t xml:space="preserve"> van elkaar.</w:t>
      </w:r>
    </w:p>
    <w:p w:rsidRPr="00F950F9" w:rsidR="0085044A" w:rsidP="00B90642" w:rsidRDefault="002911FB" w14:paraId="331C274A" w14:textId="6576EBF4">
      <w:pPr>
        <w:autoSpaceDN/>
        <w:spacing w:after="160" w:line="259" w:lineRule="auto"/>
        <w:textAlignment w:val="auto"/>
        <w:rPr>
          <w:b/>
          <w:bCs/>
        </w:rPr>
      </w:pPr>
      <w:r>
        <w:rPr>
          <w:b/>
          <w:bCs/>
        </w:rPr>
        <w:br/>
      </w:r>
      <w:r w:rsidRPr="00F950F9" w:rsidR="00B90642">
        <w:rPr>
          <w:b/>
          <w:bCs/>
        </w:rPr>
        <w:t xml:space="preserve">Vraag 3 </w:t>
      </w:r>
      <w:r w:rsidRPr="00F950F9" w:rsidR="00B90642">
        <w:rPr>
          <w:b/>
          <w:bCs/>
        </w:rPr>
        <w:br/>
      </w:r>
      <w:r w:rsidRPr="00E40F51" w:rsidR="00B90642">
        <w:t>Erkent u dat de RvS met de recente uitspraak expliciet heeft bepaald dat de gedoogsituatie van 500.000 vliegbewegingen met het Nieuwe Normen- en Handhavingstelsel (NNHS), onrechtmatig als uitgangspunt is genomen?</w:t>
      </w:r>
      <w:r w:rsidR="00B90642">
        <w:t xml:space="preserve"> </w:t>
      </w:r>
      <w:r w:rsidRPr="00E40F51" w:rsidR="00B90642">
        <w:br/>
      </w:r>
      <w:r w:rsidR="00CC508E">
        <w:rPr>
          <w:b/>
          <w:bCs/>
        </w:rPr>
        <w:br/>
      </w:r>
      <w:r w:rsidRPr="00F950F9" w:rsidR="0090577D">
        <w:rPr>
          <w:b/>
          <w:bCs/>
        </w:rPr>
        <w:t xml:space="preserve">Antwoord 3 </w:t>
      </w:r>
      <w:r w:rsidR="00CC508E">
        <w:rPr>
          <w:b/>
          <w:bCs/>
        </w:rPr>
        <w:br/>
      </w:r>
      <w:r w:rsidR="0085044A">
        <w:t xml:space="preserve">De Afdeling heeft in de uitspraak van 11 maart </w:t>
      </w:r>
      <w:r w:rsidR="00CC508E">
        <w:t>2026</w:t>
      </w:r>
      <w:r w:rsidR="0085044A">
        <w:t xml:space="preserve"> overwogen dat in deze procedure de rechtmatigheid van het NNHS niet ter beoordeling staat. </w:t>
      </w:r>
      <w:r w:rsidRPr="00253F82" w:rsidR="00253F82">
        <w:t xml:space="preserve">De Afdeling </w:t>
      </w:r>
      <w:r w:rsidR="00AA35C2">
        <w:t xml:space="preserve">heeft wel een oordeel gegeven </w:t>
      </w:r>
      <w:r w:rsidRPr="00253F82" w:rsidR="00253F82">
        <w:t>of wordt voldaan aan de gelijkwaardige bescherming ten opzichte van het eerste LVB uit 200</w:t>
      </w:r>
      <w:r w:rsidR="00A30608">
        <w:t>4</w:t>
      </w:r>
      <w:r w:rsidR="00166749">
        <w:t>.</w:t>
      </w:r>
      <w:r w:rsidRPr="00253F82" w:rsidR="00253F82">
        <w:t xml:space="preserve"> Voor de onderbouwing dat aan dit wettelijk vereiste is voldaan, is in de toelichting bij </w:t>
      </w:r>
      <w:r w:rsidR="00AA4BB2">
        <w:t xml:space="preserve">de </w:t>
      </w:r>
      <w:r w:rsidR="00FE0E02">
        <w:t xml:space="preserve">versnelde </w:t>
      </w:r>
      <w:r w:rsidRPr="00253F82" w:rsidR="00253F82">
        <w:t>LVB</w:t>
      </w:r>
      <w:r w:rsidR="00AA4BB2">
        <w:t>-wijziging</w:t>
      </w:r>
      <w:r w:rsidRPr="00253F82" w:rsidR="00253F82">
        <w:t xml:space="preserve"> verwezen naar een milieuonderzoek dat ten grondslag lag aan de niet vastgestelde LVB-wijziging voor het NNHS. De Afdeling oordeelt dat</w:t>
      </w:r>
      <w:r w:rsidR="00AA4BB2">
        <w:t>,</w:t>
      </w:r>
      <w:r w:rsidRPr="00253F82" w:rsidR="00253F82">
        <w:t xml:space="preserve"> </w:t>
      </w:r>
      <w:r w:rsidR="00D76EEA">
        <w:t>nu</w:t>
      </w:r>
      <w:r w:rsidRPr="00253F82" w:rsidR="00253F82">
        <w:t xml:space="preserve"> dit LVB NNHS niet is vastgesteld</w:t>
      </w:r>
      <w:r w:rsidR="00AA4BB2">
        <w:t>,</w:t>
      </w:r>
      <w:r w:rsidRPr="00253F82" w:rsidR="00253F82">
        <w:t xml:space="preserve"> de verwijzing naar dat milieuonderzoek onvoldoende onderbouwing is voor de gelijkwaardige bescherming. Aan de voorliggende LVB-wijziging ligt </w:t>
      </w:r>
      <w:r w:rsidR="00AA35C2">
        <w:t xml:space="preserve">wel </w:t>
      </w:r>
      <w:r w:rsidRPr="00253F82" w:rsidR="00253F82">
        <w:t>een eigenstandig milieuonderzoek ten grondslag.</w:t>
      </w:r>
    </w:p>
    <w:p w:rsidR="00B90642" w:rsidP="00B90642" w:rsidRDefault="00B90642" w14:paraId="1E456E5B" w14:textId="03680EE9">
      <w:pPr>
        <w:autoSpaceDN/>
        <w:spacing w:after="160" w:line="259" w:lineRule="auto"/>
        <w:textAlignment w:val="auto"/>
      </w:pPr>
      <w:r w:rsidRPr="00F950F9">
        <w:rPr>
          <w:b/>
          <w:bCs/>
        </w:rPr>
        <w:t xml:space="preserve">Vraag 4 </w:t>
      </w:r>
      <w:r w:rsidRPr="00F950F9">
        <w:rPr>
          <w:b/>
          <w:bCs/>
        </w:rPr>
        <w:br/>
      </w:r>
      <w:r w:rsidRPr="00E40F51">
        <w:t>Welke gevolgen heeft de RvS-uitspraak voor het nu voorliggende LVB, nu niet de milieuruimte van het LVB-2008 als uitgangspunt is genomen, maar het Refahh, (500.000 vliegbewegingen + NNHS)? Op welke juridische adviezen baseert u zich en kunt u die met de Kamer delen?</w:t>
      </w:r>
      <w:r>
        <w:t xml:space="preserve"> </w:t>
      </w:r>
    </w:p>
    <w:p w:rsidR="0085044A" w:rsidP="00CC508E" w:rsidRDefault="0090577D" w14:paraId="4C6AD523" w14:textId="5159C135">
      <w:pPr>
        <w:autoSpaceDN/>
        <w:spacing w:after="160" w:line="259" w:lineRule="auto"/>
        <w:textAlignment w:val="auto"/>
      </w:pPr>
      <w:r w:rsidRPr="00F950F9">
        <w:rPr>
          <w:b/>
          <w:bCs/>
        </w:rPr>
        <w:t>Antwoord 4</w:t>
      </w:r>
      <w:r w:rsidR="00CC508E">
        <w:rPr>
          <w:b/>
          <w:bCs/>
        </w:rPr>
        <w:br/>
      </w:r>
      <w:r w:rsidR="0085044A">
        <w:t xml:space="preserve">De uitspraak van de Afdeling heeft uitsluitend tot gevolg dat het besluit van 6 mei 2025 tot wijziging van het LVB is vernietigd. </w:t>
      </w:r>
      <w:r w:rsidRPr="000C7084" w:rsidR="0085044A">
        <w:t>Dit betekent dat het LVB 2008 blijft gelden zonder dat er (wettelijk) een maximumaantal vliegtuigbewegingen per gebruiksjaar voor het etmaal en de nacht geldt.</w:t>
      </w:r>
      <w:r w:rsidR="0085044A">
        <w:t xml:space="preserve"> De Afdeling heeft geoordeeld dat onvoldoende is onderbouwd dat het besluit van 6 mei 2025 tot wijziging van het LVB voldoet aan de gelijkwaardigheidscriteria. </w:t>
      </w:r>
      <w:r w:rsidRPr="007937DD" w:rsidR="0085044A">
        <w:t xml:space="preserve">Hieruit volgt dat elk LVB per saldo een beschermingsniveau moet bieden dat (minimaal) gelijkwaardig moet zijn aan het beschermingsniveau dat het eerste LVB bood. </w:t>
      </w:r>
      <w:r w:rsidR="0085044A">
        <w:t xml:space="preserve">Ook is onvoldoende aangetoond dat sprake is van de met het besluit beoogde verbetering van het beschermingsniveau ten aanzien van het geldend wettelijk kader (LVB 2008). Het gaat hier om een motiveringsgebrek wegens het ontbreken van een gelijkwaardigheidsonderbouwing. Voor de voorliggende wijziging van het LVB is een milieueffectrapport (MER) opgesteld, inclusief gelijkwaardigheidsonderbouwing. </w:t>
      </w:r>
      <w:r w:rsidR="0089375B">
        <w:t xml:space="preserve">De Landsadvocaat heeft een procesadvies uitgebracht over de gevolgen van de uitspraak. </w:t>
      </w:r>
      <w:r w:rsidRPr="0089375B" w:rsidR="0089375B">
        <w:t>Bij procesadviezen is actieve openbaarmaking echter niet aan de orde. De Staat heeft namelijk het recht om zich voor bijstand en advies vertrouwelijk tot een advocaat te wenden.</w:t>
      </w:r>
    </w:p>
    <w:p w:rsidR="00B90642" w:rsidP="00B90642" w:rsidRDefault="00B90642" w14:paraId="68A74E55" w14:textId="75628DC9">
      <w:pPr>
        <w:autoSpaceDN/>
        <w:spacing w:after="160" w:line="259" w:lineRule="auto"/>
        <w:textAlignment w:val="auto"/>
      </w:pPr>
      <w:r w:rsidRPr="00F950F9">
        <w:rPr>
          <w:b/>
          <w:bCs/>
        </w:rPr>
        <w:t xml:space="preserve">Vraag 5 </w:t>
      </w:r>
      <w:r w:rsidRPr="00F950F9">
        <w:rPr>
          <w:b/>
          <w:bCs/>
        </w:rPr>
        <w:br/>
      </w:r>
      <w:r w:rsidRPr="00E40F51">
        <w:t>Als de referentiesituatie het LVB-2008 moet zijn, zoals de Afdeling besloot, wat zijn dan de gelijkwaardigheidscriteria waaraan het nieuwe LVB moet voldoen?</w:t>
      </w:r>
      <w:r>
        <w:t xml:space="preserve"> </w:t>
      </w:r>
    </w:p>
    <w:p w:rsidRPr="00166273" w:rsidR="002911FB" w:rsidP="002911FB" w:rsidRDefault="0090577D" w14:paraId="1BFFBE30" w14:textId="7E9BE497">
      <w:pPr>
        <w:rPr>
          <w:i/>
          <w:iCs/>
        </w:rPr>
      </w:pPr>
      <w:r w:rsidRPr="00F950F9">
        <w:rPr>
          <w:b/>
          <w:bCs/>
        </w:rPr>
        <w:t>Antwoord 5</w:t>
      </w:r>
      <w:r w:rsidR="002911FB">
        <w:rPr>
          <w:b/>
          <w:bCs/>
        </w:rPr>
        <w:br/>
      </w:r>
      <w:r w:rsidRPr="002911FB" w:rsidR="002911FB">
        <w:t xml:space="preserve">In </w:t>
      </w:r>
      <w:r w:rsidR="00AA4BB2">
        <w:t>de</w:t>
      </w:r>
      <w:r w:rsidRPr="002911FB" w:rsidR="002911FB">
        <w:t xml:space="preserve"> MER</w:t>
      </w:r>
      <w:r w:rsidR="0085044A">
        <w:t>, dat is opgesteld voor de voorgenomen integrale wijziging van het LVB,</w:t>
      </w:r>
      <w:r w:rsidRPr="002911FB" w:rsidR="002911FB">
        <w:t xml:space="preserve"> wordt zowel getoetst aan de situatie in het LVB</w:t>
      </w:r>
      <w:r w:rsidR="002911FB">
        <w:t xml:space="preserve"> </w:t>
      </w:r>
      <w:r w:rsidRPr="002911FB" w:rsidR="002911FB">
        <w:t xml:space="preserve">2008 als aan de situatie onder het anticiperend handhaven en het NNHS, zie ook </w:t>
      </w:r>
      <w:r w:rsidR="002911FB">
        <w:t xml:space="preserve">de beantwoording van </w:t>
      </w:r>
      <w:r w:rsidRPr="002911FB" w:rsidR="002911FB">
        <w:t>vraag 2. Beide situaties worden getoetst aan gelijkwaardigheid, zijnde een toets op het beschermingsniveau dat het voorliggende LVB</w:t>
      </w:r>
      <w:r w:rsidR="007C73FE">
        <w:t xml:space="preserve"> </w:t>
      </w:r>
      <w:r w:rsidRPr="002911FB" w:rsidR="002911FB">
        <w:t xml:space="preserve">moet bieden. Dit moet </w:t>
      </w:r>
      <w:r w:rsidR="007C73FE">
        <w:t xml:space="preserve">per saldo </w:t>
      </w:r>
      <w:r w:rsidRPr="002911FB" w:rsidR="002911FB">
        <w:t>minimaal gelijkwaardig zijn aan het beschermingsniveau dat het eerste LVB uit 200</w:t>
      </w:r>
      <w:r w:rsidR="00A30608">
        <w:t>4</w:t>
      </w:r>
      <w:r w:rsidRPr="002911FB" w:rsidR="002911FB">
        <w:t xml:space="preserve"> bood. De gelijkwaardigheidscriteria veranderen dus niet als gevolg van de keuze van een referentiesituatie.</w:t>
      </w:r>
    </w:p>
    <w:p w:rsidRPr="007723D2" w:rsidR="0085044A" w:rsidP="00B90642" w:rsidRDefault="002911FB" w14:paraId="63FCCA67" w14:textId="79988DCD">
      <w:pPr>
        <w:autoSpaceDN/>
        <w:spacing w:after="160" w:line="259" w:lineRule="auto"/>
        <w:textAlignment w:val="auto"/>
        <w:rPr>
          <w:b/>
          <w:bCs/>
        </w:rPr>
      </w:pPr>
      <w:r>
        <w:rPr>
          <w:b/>
          <w:bCs/>
        </w:rPr>
        <w:br/>
      </w:r>
      <w:r w:rsidRPr="00F950F9" w:rsidR="00B90642">
        <w:rPr>
          <w:b/>
          <w:bCs/>
        </w:rPr>
        <w:t xml:space="preserve">Vraag 6 </w:t>
      </w:r>
      <w:r w:rsidRPr="00F950F9" w:rsidR="00B90642">
        <w:rPr>
          <w:b/>
          <w:bCs/>
        </w:rPr>
        <w:br/>
      </w:r>
      <w:r w:rsidRPr="00E40F51" w:rsidR="00B90642">
        <w:t>Erkent u dat het LVB-2008 de referentie moet zijn? Op welke juridische adviezen baseert u zich en kunt u die met de Kamer delen?</w:t>
      </w:r>
      <w:r w:rsidR="00B90642">
        <w:t xml:space="preserve"> </w:t>
      </w:r>
      <w:r w:rsidRPr="00E40F51" w:rsidR="00B90642">
        <w:br/>
      </w:r>
      <w:r w:rsidR="007723D2">
        <w:rPr>
          <w:b/>
          <w:bCs/>
        </w:rPr>
        <w:br/>
      </w:r>
      <w:r w:rsidRPr="00F950F9" w:rsidR="0090577D">
        <w:rPr>
          <w:b/>
          <w:bCs/>
        </w:rPr>
        <w:t>Antwoord 6</w:t>
      </w:r>
      <w:r w:rsidR="007723D2">
        <w:rPr>
          <w:b/>
          <w:bCs/>
        </w:rPr>
        <w:br/>
      </w:r>
      <w:r w:rsidR="0085044A">
        <w:t xml:space="preserve">Zie het antwoord op vraag 2. </w:t>
      </w:r>
      <w:r w:rsidRPr="00447C25" w:rsidR="00447C25">
        <w:t xml:space="preserve">Uit de uitspraak van de Afdeling bestuursrechtspraak volgt niet wat de juiste referentiesituatie is. Dat vraagstuk lag ook niet voor in de zaak over </w:t>
      </w:r>
      <w:r w:rsidR="00AA4BB2">
        <w:t>de versnelde LVB-wijziging</w:t>
      </w:r>
      <w:r w:rsidRPr="00447C25" w:rsidR="00447C25">
        <w:t>. De juridische situatie rond Schiphol is complex met een vigerend LVB 2008, de jarenlange gedoogsituatie van het anticiperend handhaven en verschillende rechterlijke uitspraken. Om recht te doen aan alle invalshoeken zijn in het MER beide referenties inzichtelijk gemaakt en zijn de alternatieven afgezet tegen deze referenties. Daarmee wordt voorkomen dat bij een later oordeel over de juiste referentiesituatie er gebreken kunnen bestaan als gevolg van een onjuiste referentie.</w:t>
      </w:r>
      <w:r w:rsidR="004F4AED">
        <w:t xml:space="preserve"> </w:t>
      </w:r>
      <w:r w:rsidR="0085044A">
        <w:t xml:space="preserve">Voor de voorliggende integrale LVB-wijziging is in het MER getoetst aan de situatie in het LVB 2008 en aan de situatie onder het anticiperend handhaven en het NNHS. </w:t>
      </w:r>
    </w:p>
    <w:p w:rsidRPr="002911FB" w:rsidR="002911FB" w:rsidP="002911FB" w:rsidRDefault="00B90642" w14:paraId="69AE924D" w14:textId="62A3D078">
      <w:r w:rsidRPr="00F950F9">
        <w:rPr>
          <w:b/>
          <w:bCs/>
        </w:rPr>
        <w:t xml:space="preserve">Vraag 7 </w:t>
      </w:r>
      <w:r w:rsidRPr="00F950F9">
        <w:rPr>
          <w:b/>
          <w:bCs/>
        </w:rPr>
        <w:br/>
      </w:r>
      <w:r w:rsidRPr="00E40F51">
        <w:t>Als de referentiesituatie het LVB-2008 moet zijn, moet er dan een nieuw milieurapport gemaakt worden met een nieuwe passende beoordeling? Zo nee, waarom niet?</w:t>
      </w:r>
      <w:r>
        <w:t xml:space="preserve"> </w:t>
      </w:r>
      <w:r w:rsidRPr="00E40F51">
        <w:br/>
      </w:r>
      <w:r w:rsidR="002911FB">
        <w:rPr>
          <w:b/>
          <w:bCs/>
        </w:rPr>
        <w:br/>
      </w:r>
      <w:r w:rsidRPr="00F950F9" w:rsidR="0090577D">
        <w:rPr>
          <w:b/>
          <w:bCs/>
        </w:rPr>
        <w:t>Antwoord 7</w:t>
      </w:r>
      <w:r w:rsidR="002911FB">
        <w:rPr>
          <w:b/>
          <w:bCs/>
        </w:rPr>
        <w:br/>
      </w:r>
      <w:r w:rsidRPr="002911FB" w:rsidR="002911FB">
        <w:t>Dit is niet aan de orde</w:t>
      </w:r>
      <w:r w:rsidR="002911FB">
        <w:t>.</w:t>
      </w:r>
      <w:r w:rsidRPr="002911FB" w:rsidR="002911FB">
        <w:t xml:space="preserve"> </w:t>
      </w:r>
      <w:r w:rsidR="002911FB">
        <w:t>H</w:t>
      </w:r>
      <w:r w:rsidRPr="002911FB" w:rsidR="002911FB">
        <w:t>et MER is zowel getoetst aan de situatie onder het LVB</w:t>
      </w:r>
      <w:r w:rsidR="002911FB">
        <w:t xml:space="preserve"> </w:t>
      </w:r>
      <w:r w:rsidRPr="002911FB" w:rsidR="002911FB">
        <w:t xml:space="preserve">2008 als aan de situatie onder het anticiperend handhaven met het NNHS. </w:t>
      </w:r>
    </w:p>
    <w:p w:rsidRPr="002911FB" w:rsidR="002911FB" w:rsidP="002911FB" w:rsidRDefault="002911FB" w14:paraId="692F91C6" w14:textId="02363ADB">
      <w:r w:rsidRPr="002911FB">
        <w:t xml:space="preserve">Voor de passende beoordeling geldt dat de referentiesituatie in lijn </w:t>
      </w:r>
      <w:r w:rsidRPr="002911FB" w:rsidR="00585033">
        <w:t xml:space="preserve">is </w:t>
      </w:r>
      <w:r w:rsidRPr="002911FB">
        <w:t>met de passende beoordeling bij de natuurvergunning uit 2023. In deze passende beoordeling worden twee referentiesituaties gehanteerd, afhankelijk van het betreffende Natura 2000-gebied:</w:t>
      </w:r>
    </w:p>
    <w:p w:rsidRPr="002911FB" w:rsidR="002911FB" w:rsidP="002911FB" w:rsidRDefault="002911FB" w14:paraId="60F85828" w14:textId="77777777">
      <w:pPr>
        <w:pStyle w:val="ListParagraph"/>
        <w:numPr>
          <w:ilvl w:val="0"/>
          <w:numId w:val="25"/>
        </w:numPr>
        <w:ind w:left="360"/>
        <w:rPr>
          <w:rFonts w:ascii="Verdana" w:hAnsi="Verdana"/>
          <w:sz w:val="18"/>
          <w:szCs w:val="18"/>
        </w:rPr>
      </w:pPr>
      <w:r w:rsidRPr="002911FB">
        <w:rPr>
          <w:rFonts w:ascii="Verdana" w:hAnsi="Verdana"/>
          <w:sz w:val="18"/>
          <w:szCs w:val="18"/>
        </w:rPr>
        <w:t>Voor Natura 2000-gebieden aangewezen vóór 2003 wordt uitgegaan van het Aanwijzingsbesluit 2000 (AB2000) met maximaal 460.000 vliegtuigbewegingen met handelsverkeer. Dit is een situatie voor de ingebruikname van de Polderbaan;</w:t>
      </w:r>
    </w:p>
    <w:p w:rsidRPr="002911FB" w:rsidR="002911FB" w:rsidP="002911FB" w:rsidRDefault="002911FB" w14:paraId="325AE0B5" w14:textId="77777777">
      <w:pPr>
        <w:pStyle w:val="ListParagraph"/>
        <w:numPr>
          <w:ilvl w:val="0"/>
          <w:numId w:val="25"/>
        </w:numPr>
        <w:ind w:left="360"/>
        <w:rPr>
          <w:rFonts w:ascii="Verdana" w:hAnsi="Verdana"/>
          <w:sz w:val="18"/>
          <w:szCs w:val="18"/>
        </w:rPr>
      </w:pPr>
      <w:r w:rsidRPr="002911FB">
        <w:rPr>
          <w:rFonts w:ascii="Verdana" w:hAnsi="Verdana"/>
          <w:sz w:val="18"/>
          <w:szCs w:val="18"/>
        </w:rPr>
        <w:t>Voor Natura 2000-gebieden aangewezen na 2003 wordt uitgegaan van het LVB 2008 en behoort het gebruik van de Polderbaan tot de referentiesituatie. Daarbij geldt dat het gebruik is beperkt tot 480.000 vliegtuigbewegingen met handelsverkeer.</w:t>
      </w:r>
    </w:p>
    <w:p w:rsidRPr="002911FB" w:rsidR="0090577D" w:rsidP="00B90642" w:rsidRDefault="00B90642" w14:paraId="36E13429" w14:textId="1E46CCC7">
      <w:pPr>
        <w:autoSpaceDN/>
        <w:spacing w:after="160" w:line="259" w:lineRule="auto"/>
        <w:textAlignment w:val="auto"/>
      </w:pPr>
      <w:r w:rsidRPr="00F950F9">
        <w:rPr>
          <w:b/>
          <w:bCs/>
        </w:rPr>
        <w:t>Vraag 8</w:t>
      </w:r>
      <w:r w:rsidRPr="00F950F9">
        <w:rPr>
          <w:b/>
          <w:bCs/>
        </w:rPr>
        <w:br/>
      </w:r>
      <w:r w:rsidRPr="00E40F51">
        <w:t>Kan het nu voorligge</w:t>
      </w:r>
      <w:r w:rsidRPr="007723D2">
        <w:t>nde LVB worden aangepast met een gewijzigde referentiesituatie (LVB-200</w:t>
      </w:r>
      <w:r w:rsidR="00166749">
        <w:t>8</w:t>
      </w:r>
      <w:r w:rsidRPr="00E40F51">
        <w:t>), zodat het niet ook sneuvelt bij een toetsing door de RvS? Zo nee, waarom niet?</w:t>
      </w:r>
      <w:r>
        <w:t xml:space="preserve"> </w:t>
      </w:r>
      <w:r w:rsidRPr="00E40F51">
        <w:br/>
      </w:r>
      <w:r w:rsidR="002911FB">
        <w:rPr>
          <w:b/>
          <w:bCs/>
        </w:rPr>
        <w:br/>
      </w:r>
      <w:r w:rsidRPr="00F950F9" w:rsidR="0090577D">
        <w:rPr>
          <w:b/>
          <w:bCs/>
        </w:rPr>
        <w:t>Antwoord 8</w:t>
      </w:r>
      <w:r w:rsidR="002911FB">
        <w:rPr>
          <w:b/>
          <w:bCs/>
        </w:rPr>
        <w:br/>
      </w:r>
      <w:r w:rsidR="002911FB">
        <w:t xml:space="preserve">Dit is niet aan de orde. </w:t>
      </w:r>
      <w:r w:rsidR="00585033">
        <w:t xml:space="preserve">Bij het opstellen van </w:t>
      </w:r>
      <w:r w:rsidR="007723D2">
        <w:t>de</w:t>
      </w:r>
      <w:r w:rsidR="00585033">
        <w:t xml:space="preserve"> </w:t>
      </w:r>
      <w:r w:rsidR="002911FB">
        <w:t xml:space="preserve">MER is zowel getoetst aan de situatie onder het LVB 2008 als aan de situatie onder het anticiperend handhaven met het NNHS. </w:t>
      </w:r>
    </w:p>
    <w:p w:rsidRPr="00BE670B" w:rsidR="002911FB" w:rsidP="002911FB" w:rsidRDefault="00B90642" w14:paraId="33F8AA8C" w14:textId="271A5C8D">
      <w:pPr>
        <w:rPr>
          <w:i/>
          <w:iCs/>
        </w:rPr>
      </w:pPr>
      <w:r w:rsidRPr="00F950F9">
        <w:rPr>
          <w:b/>
          <w:bCs/>
        </w:rPr>
        <w:t>Vraag 9</w:t>
      </w:r>
      <w:r w:rsidRPr="00F950F9">
        <w:rPr>
          <w:b/>
          <w:bCs/>
        </w:rPr>
        <w:br/>
      </w:r>
      <w:r w:rsidRPr="00E40F51">
        <w:t>Kunt u ingaan op de constatering van To70 van 2023, dat binnen de milieuruimte van het nog steeds geldende LVB-2008 slechts 400.000 tot 410.000 vliegbewegingen mogelijk zouden zijn? 2) En dat dit aantal de meest recente aanscherping is van eerdere schattingen van uw voorganger(s) en van de Inspectie Leefomgeving en Transport (ILT)? Waarom is niet voor dit aantal gekozen als referentiesituatie?</w:t>
      </w:r>
      <w:r>
        <w:t xml:space="preserve"> </w:t>
      </w:r>
      <w:r w:rsidRPr="00E40F51">
        <w:br/>
      </w:r>
      <w:r w:rsidR="002911FB">
        <w:rPr>
          <w:b/>
          <w:bCs/>
        </w:rPr>
        <w:br/>
      </w:r>
      <w:r w:rsidRPr="00F950F9" w:rsidR="0090577D">
        <w:rPr>
          <w:b/>
          <w:bCs/>
        </w:rPr>
        <w:t>Antwoord 9</w:t>
      </w:r>
      <w:r w:rsidR="002911FB">
        <w:rPr>
          <w:b/>
          <w:bCs/>
        </w:rPr>
        <w:br/>
      </w:r>
      <w:r w:rsidR="00084727">
        <w:t>Voor d</w:t>
      </w:r>
      <w:r w:rsidRPr="002911FB" w:rsidR="002911FB">
        <w:t>e aantallen in de (theoretische) referentiesituatie voor het LVB 2008</w:t>
      </w:r>
      <w:r w:rsidR="00084727">
        <w:t>,</w:t>
      </w:r>
      <w:r w:rsidR="00B44369">
        <w:t xml:space="preserve"> zie ook het antwoord op vraag </w:t>
      </w:r>
      <w:r w:rsidR="00084727">
        <w:t>2</w:t>
      </w:r>
      <w:r w:rsidR="00B44369">
        <w:t>.</w:t>
      </w:r>
      <w:r w:rsidRPr="002911FB" w:rsidR="002911FB">
        <w:t xml:space="preserve"> Dit is echter wel als uitgangspunt gekozen omdat deze situatie inzicht geeft in de milieueffecten die optreden in de (theoretische) situatie dat het huidige gebruik van de luchthaven passend dient te zijn binnen de grenzen van het vigerend LVB.</w:t>
      </w:r>
    </w:p>
    <w:p w:rsidR="00B90642" w:rsidP="00B90642" w:rsidRDefault="002911FB" w14:paraId="226D1B7C" w14:textId="63708C8D">
      <w:pPr>
        <w:autoSpaceDN/>
        <w:spacing w:after="160" w:line="259" w:lineRule="auto"/>
        <w:textAlignment w:val="auto"/>
      </w:pPr>
      <w:r>
        <w:rPr>
          <w:b/>
          <w:bCs/>
        </w:rPr>
        <w:br/>
      </w:r>
      <w:r w:rsidRPr="00F950F9" w:rsidR="00B90642">
        <w:rPr>
          <w:b/>
          <w:bCs/>
        </w:rPr>
        <w:t>Vraag 10</w:t>
      </w:r>
      <w:r w:rsidRPr="00F950F9" w:rsidR="00B90642">
        <w:rPr>
          <w:b/>
          <w:bCs/>
        </w:rPr>
        <w:br/>
      </w:r>
      <w:r w:rsidRPr="00E40F51" w:rsidR="00B90642">
        <w:t>Waarom is voor het tussen-LVB gekozen voor een aantal vliegbewegingen, in plaats van hinder, terwijl de wet en de referentiesituatie hinder voorschrijven?</w:t>
      </w:r>
      <w:r w:rsidRPr="00131698" w:rsidR="00B90642">
        <w:t xml:space="preserve"> </w:t>
      </w:r>
    </w:p>
    <w:p w:rsidR="0090577D" w:rsidP="000B0C07" w:rsidRDefault="0090577D" w14:paraId="6F28D2C9" w14:textId="6EE146D8">
      <w:pPr>
        <w:autoSpaceDN/>
        <w:spacing w:line="259" w:lineRule="auto"/>
        <w:textAlignment w:val="auto"/>
        <w:rPr>
          <w:b/>
          <w:bCs/>
        </w:rPr>
      </w:pPr>
      <w:r w:rsidRPr="00F950F9">
        <w:rPr>
          <w:b/>
          <w:bCs/>
        </w:rPr>
        <w:t>Antwoord 10</w:t>
      </w:r>
    </w:p>
    <w:p w:rsidR="007723D2" w:rsidP="007723D2" w:rsidRDefault="00585033" w14:paraId="76A2A27A" w14:textId="51147D81">
      <w:r>
        <w:t xml:space="preserve">De </w:t>
      </w:r>
      <w:r w:rsidR="00E1759F">
        <w:t>b</w:t>
      </w:r>
      <w:r>
        <w:t xml:space="preserve">alanced </w:t>
      </w:r>
      <w:r w:rsidR="00E1759F">
        <w:t>a</w:t>
      </w:r>
      <w:r>
        <w:t xml:space="preserve">pproach-procedure is doorlopen om tot maatregelen te komen die moeten leiden tot het bereiken van de vastgestelde doelstelling voor de bestrijding van geluidshinder. Het besluit van 6 mei 2025 tot </w:t>
      </w:r>
      <w:r w:rsidR="00084727">
        <w:t xml:space="preserve">versnelde </w:t>
      </w:r>
      <w:r>
        <w:t xml:space="preserve">wijziging van het LVB had als voornaamste doel om een van de resultaten van de </w:t>
      </w:r>
      <w:r w:rsidR="00E1759F">
        <w:t>b</w:t>
      </w:r>
      <w:r>
        <w:t xml:space="preserve">alanced </w:t>
      </w:r>
      <w:r w:rsidR="00E1759F">
        <w:t>a</w:t>
      </w:r>
      <w:r>
        <w:t xml:space="preserve">pproach-procedure te verankeren. Met de wijziging werd het maximumaantal vliegtuigbewegingen op het etmaal en in de nacht vastgelegd respectievelijke gewijzigd. Deze twee maatregelen zijn onderdeel van het totale maatregelenpakket. </w:t>
      </w:r>
      <w:r w:rsidR="00B44369">
        <w:t>Daarbij was het doel om in ieder geval de lagere capaciteit als slotstuk van de balanced approach</w:t>
      </w:r>
      <w:r w:rsidR="007723D2">
        <w:t>-procedure</w:t>
      </w:r>
      <w:r w:rsidR="00B44369">
        <w:t xml:space="preserve"> te verankeren. </w:t>
      </w:r>
    </w:p>
    <w:p w:rsidR="007723D2" w:rsidP="007723D2" w:rsidRDefault="007723D2" w14:paraId="109A5302" w14:textId="77777777"/>
    <w:p w:rsidRPr="00F950F9" w:rsidR="00F950F9" w:rsidP="007723D2" w:rsidRDefault="00B90642" w14:paraId="4FF6BF4F" w14:textId="6D11C31C">
      <w:r w:rsidRPr="00F950F9">
        <w:rPr>
          <w:b/>
          <w:bCs/>
        </w:rPr>
        <w:t>Vraag 11</w:t>
      </w:r>
      <w:r w:rsidRPr="00F950F9">
        <w:rPr>
          <w:b/>
          <w:bCs/>
        </w:rPr>
        <w:br/>
      </w:r>
      <w:r w:rsidRPr="00E40F51">
        <w:t>Waarom is voor de 'balanced approach'-procedure ervoor gekozen om de gedoogsituatie van het NNHS als uitgangspunt te nemen en niet het toen nog geldende LVB-2008, terwijl de rechter inmiddels in de RBV-zaak had bepaald dat die gedoogsituatie moest worden beëindigd en dus illegaal was? </w:t>
      </w:r>
      <w:r>
        <w:rPr>
          <w:b/>
          <w:bCs/>
        </w:rPr>
        <w:t xml:space="preserve"> </w:t>
      </w:r>
      <w:r w:rsidRPr="00E40F51">
        <w:br/>
      </w:r>
      <w:r w:rsidR="002911FB">
        <w:rPr>
          <w:b/>
          <w:bCs/>
        </w:rPr>
        <w:br/>
      </w:r>
      <w:r w:rsidRPr="00F950F9" w:rsidR="0090577D">
        <w:rPr>
          <w:b/>
          <w:bCs/>
        </w:rPr>
        <w:t xml:space="preserve">Antwoord 11 </w:t>
      </w:r>
      <w:r w:rsidRPr="00F950F9" w:rsidR="00F950F9">
        <w:rPr>
          <w:b/>
          <w:bCs/>
        </w:rPr>
        <w:br/>
      </w:r>
      <w:r w:rsidRPr="00F950F9" w:rsidR="00F950F9">
        <w:t>Voor de balanced approach</w:t>
      </w:r>
      <w:r w:rsidR="00F950F9">
        <w:t>-procedure</w:t>
      </w:r>
      <w:r w:rsidRPr="00F950F9" w:rsidR="00F950F9">
        <w:t xml:space="preserve"> is bij de start van de procedure</w:t>
      </w:r>
      <w:r w:rsidR="00F950F9">
        <w:t>,</w:t>
      </w:r>
      <w:r w:rsidRPr="00F950F9" w:rsidR="00F950F9">
        <w:t xml:space="preserve"> eind 2022</w:t>
      </w:r>
      <w:r w:rsidR="00F950F9">
        <w:t>,</w:t>
      </w:r>
      <w:r w:rsidRPr="00F950F9" w:rsidR="00F950F9">
        <w:t xml:space="preserve"> een referentiescenario gemaakt met daarin de verwachte situatie </w:t>
      </w:r>
      <w:r w:rsidR="000B0C07">
        <w:t>per</w:t>
      </w:r>
      <w:r w:rsidRPr="00F950F9" w:rsidR="00F950F9">
        <w:t xml:space="preserve"> november 2024. Voor die verwachte situatie op</w:t>
      </w:r>
      <w:r w:rsidR="00585033">
        <w:t xml:space="preserve"> 1</w:t>
      </w:r>
      <w:r w:rsidRPr="00F950F9" w:rsidR="00F950F9">
        <w:t xml:space="preserve"> november 2024 is uitgegaan van de maximaal toegestane aantallen onder </w:t>
      </w:r>
      <w:r w:rsidR="00585033">
        <w:t>de</w:t>
      </w:r>
      <w:r w:rsidRPr="00F950F9" w:rsidR="00585033">
        <w:t xml:space="preserve"> </w:t>
      </w:r>
      <w:r w:rsidRPr="00F950F9" w:rsidR="00F950F9">
        <w:t xml:space="preserve">toen </w:t>
      </w:r>
      <w:r w:rsidR="00585033">
        <w:t>toegestan</w:t>
      </w:r>
      <w:r w:rsidRPr="00F950F9" w:rsidR="00F950F9">
        <w:t>e</w:t>
      </w:r>
      <w:r w:rsidR="00585033">
        <w:t xml:space="preserve"> operatie</w:t>
      </w:r>
      <w:r w:rsidRPr="00F950F9" w:rsidR="00F950F9">
        <w:t xml:space="preserve">: het anticiperend handhaven op 500.000 </w:t>
      </w:r>
      <w:r w:rsidR="00F950F9">
        <w:t>vliegtuigbewegingen,</w:t>
      </w:r>
      <w:r w:rsidRPr="00F950F9" w:rsidR="00F950F9">
        <w:t xml:space="preserve"> waarvan 32.000 in de nacht. Ten opzichte van die verwachte situatie is het geluidsdoel vastgesteld. Dat sluit ook aan bij </w:t>
      </w:r>
      <w:r w:rsidR="007C73FE">
        <w:t>het</w:t>
      </w:r>
      <w:r w:rsidRPr="00F950F9" w:rsidR="007C73FE">
        <w:t xml:space="preserve"> </w:t>
      </w:r>
      <w:r w:rsidRPr="00F950F9" w:rsidR="00F950F9">
        <w:t xml:space="preserve">latere </w:t>
      </w:r>
      <w:r w:rsidR="007C73FE">
        <w:t>arrest</w:t>
      </w:r>
      <w:r w:rsidRPr="00F950F9" w:rsidR="007C73FE">
        <w:t xml:space="preserve"> </w:t>
      </w:r>
      <w:r w:rsidRPr="00F950F9" w:rsidR="00F950F9">
        <w:t>van de Hoge Raa</w:t>
      </w:r>
      <w:r w:rsidR="00585033">
        <w:t>d</w:t>
      </w:r>
      <w:r w:rsidR="007C73FE">
        <w:rPr>
          <w:rStyle w:val="FootnoteReference"/>
        </w:rPr>
        <w:footnoteReference w:id="1"/>
      </w:r>
      <w:r w:rsidR="00585033">
        <w:t>, waarin wordt geoordeeld dat de toen voorgenomen experimenteerregeling in combinatie met het stoppen met anticiperend handhaven leidde tot een afname in capaciteit ten opzichte van het toegestane aantal vliegtuigbewegingen van 500.000</w:t>
      </w:r>
      <w:r w:rsidR="007723D2">
        <w:t xml:space="preserve">. </w:t>
      </w:r>
      <w:r w:rsidR="007723D2">
        <w:br/>
      </w:r>
    </w:p>
    <w:p w:rsidRPr="00F950F9" w:rsidR="00585033" w:rsidP="00B90642" w:rsidRDefault="00B90642" w14:paraId="5877BF4D" w14:textId="67AB6328">
      <w:pPr>
        <w:autoSpaceDN/>
        <w:spacing w:after="160" w:line="259" w:lineRule="auto"/>
        <w:textAlignment w:val="auto"/>
        <w:rPr>
          <w:b/>
          <w:bCs/>
        </w:rPr>
      </w:pPr>
      <w:r w:rsidRPr="00F950F9">
        <w:rPr>
          <w:b/>
          <w:bCs/>
        </w:rPr>
        <w:t>Vraag 12</w:t>
      </w:r>
      <w:r w:rsidRPr="00F950F9">
        <w:rPr>
          <w:b/>
          <w:bCs/>
        </w:rPr>
        <w:br/>
      </w:r>
      <w:r w:rsidRPr="00E40F51">
        <w:t>Kunt u ingaan op de uitspraak van de Afdeling dat voor het handhaven van het wettige LVB 2008 geen 'balanced approach'-procedure nodig is en dat dit alleen gold voor de experimenteerregeling?   </w:t>
      </w:r>
      <w:r w:rsidDel="004F4AED" w:rsidR="004F4AED">
        <w:t xml:space="preserve"> </w:t>
      </w:r>
      <w:r w:rsidRPr="00E40F51">
        <w:br/>
      </w:r>
      <w:r w:rsidR="007723D2">
        <w:rPr>
          <w:b/>
          <w:bCs/>
        </w:rPr>
        <w:br/>
      </w:r>
      <w:r w:rsidRPr="00F950F9" w:rsidR="0090577D">
        <w:rPr>
          <w:b/>
          <w:bCs/>
        </w:rPr>
        <w:t>Antwoord 12</w:t>
      </w:r>
      <w:r w:rsidR="007723D2">
        <w:rPr>
          <w:b/>
          <w:bCs/>
        </w:rPr>
        <w:br/>
      </w:r>
      <w:r w:rsidR="00585033">
        <w:t xml:space="preserve">De uitspraak van de Afdeling gaat niet in op de vraag wanneer </w:t>
      </w:r>
      <w:r w:rsidR="007C73FE">
        <w:t xml:space="preserve">een </w:t>
      </w:r>
      <w:r w:rsidR="00E1759F">
        <w:t>b</w:t>
      </w:r>
      <w:r w:rsidR="00585033">
        <w:t xml:space="preserve">alanced </w:t>
      </w:r>
      <w:r w:rsidR="00E1759F">
        <w:t>a</w:t>
      </w:r>
      <w:r w:rsidR="00585033">
        <w:t>pproach-procedure moet worden doorlopen</w:t>
      </w:r>
      <w:r w:rsidRPr="000B0C07" w:rsidR="00585033">
        <w:t xml:space="preserve">. </w:t>
      </w:r>
      <w:r w:rsidRPr="000B0C07" w:rsidR="009C3698">
        <w:t>De Afdeling heeft bij het schetsen van de context een feitelijke verwijzing opgenomen naar de uitspraak van de Hoge Raad over het stoppen met anticiperend handhaven en de experimenteerregeling</w:t>
      </w:r>
      <w:r w:rsidR="00B44369">
        <w:t>, waarbij wel wordt ingegaan op het doorlopen van een balanced approach procedure.</w:t>
      </w:r>
    </w:p>
    <w:p w:rsidR="00B90642" w:rsidP="000B0C07" w:rsidRDefault="00B90642" w14:paraId="2B924CA4" w14:textId="2E4ECC3F">
      <w:pPr>
        <w:autoSpaceDN/>
        <w:spacing w:line="259" w:lineRule="auto"/>
        <w:textAlignment w:val="auto"/>
        <w:rPr>
          <w:b/>
          <w:bCs/>
        </w:rPr>
      </w:pPr>
      <w:r w:rsidRPr="00F950F9">
        <w:rPr>
          <w:b/>
          <w:bCs/>
        </w:rPr>
        <w:t>Vraag 13</w:t>
      </w:r>
      <w:r w:rsidRPr="00F950F9">
        <w:rPr>
          <w:b/>
          <w:bCs/>
        </w:rPr>
        <w:br/>
      </w:r>
      <w:r w:rsidRPr="00E40F51">
        <w:t>Hoe komen we tot een nieuwe capaciteitsdeclaratie voor de komende periodes, nu het tussen-LVB met 478.000 vliegbewegingen geen wettige basis meer heeft? Geldt dan automatisch weer het LVB-2008 met een capaciteitsdeclaratie gebaseerd op de milieuruimte van het LVB-2008?</w:t>
      </w:r>
      <w:r w:rsidRPr="00131698">
        <w:t xml:space="preserve"> </w:t>
      </w:r>
      <w:r w:rsidRPr="00E40F51">
        <w:br/>
      </w:r>
      <w:r>
        <w:br/>
      </w:r>
      <w:r w:rsidRPr="00F950F9" w:rsidR="0090577D">
        <w:rPr>
          <w:b/>
          <w:bCs/>
        </w:rPr>
        <w:t>Antwoord 13</w:t>
      </w:r>
    </w:p>
    <w:p w:rsidRPr="00E40F51" w:rsidR="00585033" w:rsidP="00175007" w:rsidRDefault="00585033" w14:paraId="00E6162A" w14:textId="69CEC348">
      <w:r w:rsidRPr="00DA4459">
        <w:t xml:space="preserve">Door de vernietiging van </w:t>
      </w:r>
      <w:r w:rsidR="007723D2">
        <w:t xml:space="preserve">de versnelde </w:t>
      </w:r>
      <w:r w:rsidRPr="00DA4459">
        <w:t>LVB</w:t>
      </w:r>
      <w:r w:rsidR="007723D2">
        <w:t xml:space="preserve">-wijziging </w:t>
      </w:r>
      <w:r w:rsidRPr="00DA4459">
        <w:t>wordt teruggevallen op de gedoogsituatie van het anticiperend handhaven. Zoals in de brief van 3</w:t>
      </w:r>
      <w:r w:rsidR="007723D2">
        <w:t>1</w:t>
      </w:r>
      <w:r w:rsidRPr="00DA4459">
        <w:t xml:space="preserve"> oktober 2025 aan de Kamer is gemeld, gaat de huidige aanwijzing aan de ILT uit van maximaal 478.000 vliegtuigbewegingen per gebruiksjaar.</w:t>
      </w:r>
      <w:r w:rsidR="007723D2">
        <w:rPr>
          <w:rStyle w:val="FootnoteReference"/>
        </w:rPr>
        <w:footnoteReference w:id="2"/>
      </w:r>
      <w:r>
        <w:t xml:space="preserve"> De capaciteitsdeclaratie voor het komende zomerseizoen is reeds vastgesteld. Het kabinet streeft ernaar om de algehele wijziging van het LVB in werking te laten treden met ingang van 1 november 2026. In deze wijziging zal ook het maximumaantal voor het etmaal en in de nacht worden opgenomen. De capaciteitsdeclaratie voor het winterseizoen 2026/2027 wordt gebaseerd op de huidige gedoogsituatie en sluit aan bij de voorgenomen integrale wijziging van het LVB. </w:t>
      </w:r>
    </w:p>
    <w:p w:rsidRPr="002911FB" w:rsidR="002911FB" w:rsidP="002911FB" w:rsidRDefault="00084727" w14:paraId="2FE77D8F" w14:textId="05A65E06">
      <w:pPr>
        <w:rPr>
          <w:rFonts w:eastAsia="Times New Roman"/>
        </w:rPr>
      </w:pPr>
      <w:r>
        <w:rPr>
          <w:b/>
          <w:bCs/>
        </w:rPr>
        <w:br/>
      </w:r>
      <w:r w:rsidRPr="00F950F9" w:rsidR="00B90642">
        <w:rPr>
          <w:b/>
          <w:bCs/>
        </w:rPr>
        <w:t>Vraag 14</w:t>
      </w:r>
      <w:r w:rsidRPr="00F950F9" w:rsidR="00B90642">
        <w:rPr>
          <w:b/>
          <w:bCs/>
        </w:rPr>
        <w:br/>
      </w:r>
      <w:r w:rsidRPr="00E40F51" w:rsidR="00B90642">
        <w:t>Bent u het ermee eens dat een jaarvolume geluid of Lden’s geen goede kwantificering voor hinderbeleving is? Hoe wordt voor een nieuw besluit hinderbeleving betrokken en nieuw gedefinieerd om tot een gelijkwaardige bescherming te komen? Hoe wordt dit betrokken bij het vaststellen van aantallen ernstig gehinderden en het politieke doel om te komen tot 20% minder ernstig gehinderden? </w:t>
      </w:r>
      <w:r w:rsidDel="004F4AED" w:rsidR="004F4AED">
        <w:t xml:space="preserve"> </w:t>
      </w:r>
      <w:r w:rsidRPr="00E40F51" w:rsidR="00B90642">
        <w:br/>
      </w:r>
      <w:r w:rsidR="00B90642">
        <w:br/>
      </w:r>
      <w:r w:rsidRPr="00F950F9" w:rsidR="00B90642">
        <w:rPr>
          <w:b/>
          <w:bCs/>
        </w:rPr>
        <w:t>Antwoord 14</w:t>
      </w:r>
      <w:r w:rsidR="002911FB">
        <w:rPr>
          <w:b/>
          <w:bCs/>
        </w:rPr>
        <w:br/>
      </w:r>
      <w:r w:rsidRPr="002911FB" w:rsidR="002911FB">
        <w:rPr>
          <w:rFonts w:eastAsia="Times New Roman"/>
        </w:rPr>
        <w:t>In het LVB wordt gekeken naar geluidsbelasting, dit wordt uitgedrukt in Lden niveaus. Dit betreft een gemiddelde geluidsmaat gedurende een jaar. Binnen deze contouren wordt gekeken het aantal gehinderden en slaapverstoorden. Om een aanvullende hinderindicator vast te leggen is een wetswijziging nodig</w:t>
      </w:r>
      <w:r w:rsidR="00166749">
        <w:rPr>
          <w:rFonts w:eastAsia="Times New Roman"/>
        </w:rPr>
        <w:t xml:space="preserve">; de </w:t>
      </w:r>
      <w:r w:rsidR="00312BB2">
        <w:rPr>
          <w:rFonts w:eastAsia="Times New Roman"/>
        </w:rPr>
        <w:t>W</w:t>
      </w:r>
      <w:r w:rsidR="00166749">
        <w:rPr>
          <w:rFonts w:eastAsia="Times New Roman"/>
        </w:rPr>
        <w:t>et luchtvaart biedt hier op dit moment geen grondslag voor. H</w:t>
      </w:r>
      <w:r w:rsidRPr="002911FB" w:rsidR="002911FB">
        <w:rPr>
          <w:rFonts w:eastAsia="Times New Roman"/>
        </w:rPr>
        <w:t xml:space="preserve">ier wordt aan gewerkt in het kader van het nieuwe stelsel vliegtuiggeluid. In dit stelsel wordt </w:t>
      </w:r>
      <w:r w:rsidR="00166749">
        <w:rPr>
          <w:rFonts w:eastAsia="Times New Roman"/>
        </w:rPr>
        <w:t>nagedacht over</w:t>
      </w:r>
      <w:r w:rsidRPr="002911FB" w:rsidR="002911FB">
        <w:rPr>
          <w:rFonts w:eastAsia="Times New Roman"/>
        </w:rPr>
        <w:t xml:space="preserve"> </w:t>
      </w:r>
      <w:r w:rsidR="00312BB2">
        <w:rPr>
          <w:rFonts w:eastAsia="Times New Roman"/>
        </w:rPr>
        <w:t xml:space="preserve">een </w:t>
      </w:r>
      <w:r w:rsidRPr="002911FB" w:rsidR="002911FB">
        <w:rPr>
          <w:rFonts w:eastAsia="Times New Roman"/>
        </w:rPr>
        <w:t>aanvullende hindernorm</w:t>
      </w:r>
      <w:r w:rsidR="00312BB2">
        <w:rPr>
          <w:rFonts w:eastAsia="Times New Roman"/>
        </w:rPr>
        <w:t>.</w:t>
      </w:r>
      <w:r w:rsidRPr="002911FB" w:rsidR="002911FB">
        <w:rPr>
          <w:rFonts w:eastAsia="Times New Roman"/>
        </w:rPr>
        <w:t xml:space="preserve"> </w:t>
      </w:r>
      <w:r w:rsidR="00312BB2">
        <w:rPr>
          <w:rFonts w:eastAsia="Times New Roman"/>
        </w:rPr>
        <w:t>Uw</w:t>
      </w:r>
      <w:r w:rsidRPr="002911FB" w:rsidR="002911FB">
        <w:rPr>
          <w:rFonts w:eastAsia="Times New Roman"/>
        </w:rPr>
        <w:t xml:space="preserve"> Kamer wordt later dit jaar uitvoeriger geïnformeerd over de inhoudelijke keuzes in het nieuwe stelsel.</w:t>
      </w:r>
    </w:p>
    <w:p w:rsidRPr="00E56300" w:rsidR="002911FB" w:rsidP="002911FB" w:rsidRDefault="002911FB" w14:paraId="00BA2F63" w14:textId="77777777">
      <w:pPr>
        <w:rPr>
          <w:rFonts w:eastAsia="Times New Roman"/>
          <w:i/>
          <w:iCs/>
        </w:rPr>
      </w:pPr>
    </w:p>
    <w:p w:rsidR="00D1799D" w:rsidP="007723D2" w:rsidRDefault="00B90642" w14:paraId="13FB24C4" w14:textId="1BF94F5D">
      <w:pPr>
        <w:autoSpaceDN/>
        <w:spacing w:after="160" w:line="259" w:lineRule="auto"/>
        <w:textAlignment w:val="auto"/>
      </w:pPr>
      <w:r w:rsidRPr="00F950F9">
        <w:rPr>
          <w:b/>
          <w:bCs/>
        </w:rPr>
        <w:t>Vraag 15</w:t>
      </w:r>
      <w:r w:rsidRPr="00F950F9">
        <w:rPr>
          <w:b/>
          <w:bCs/>
        </w:rPr>
        <w:br/>
      </w:r>
      <w:r w:rsidRPr="00E40F51">
        <w:t>Bent u het ermee eens dat het oordeel van de RvS de juridische kaders opnieuw heeft vastgesteld en dat het volgen van deze kaders de snelste weg naar een wettig LVB zal zijn?</w:t>
      </w:r>
      <w:r w:rsidRPr="00131698">
        <w:t xml:space="preserve"> </w:t>
      </w:r>
      <w:r w:rsidRPr="00E40F51">
        <w:br/>
      </w:r>
      <w:r>
        <w:br/>
      </w:r>
      <w:r w:rsidRPr="00F950F9">
        <w:rPr>
          <w:b/>
          <w:bCs/>
        </w:rPr>
        <w:t>Antwoord 15</w:t>
      </w:r>
      <w:r w:rsidR="007723D2">
        <w:rPr>
          <w:b/>
          <w:bCs/>
        </w:rPr>
        <w:br/>
      </w:r>
      <w:r w:rsidR="00AA35C2">
        <w:t>Nee, d</w:t>
      </w:r>
      <w:r w:rsidR="00D1799D">
        <w:t xml:space="preserve">e Afdeling heeft uitspraak gedaan in een procedure die is gestart ten aanzien van het besluit van 6 mei 2025. </w:t>
      </w:r>
      <w:r w:rsidRPr="000B0C07" w:rsidR="00D1799D">
        <w:t xml:space="preserve">De Afdeling bestuursrechtspraak </w:t>
      </w:r>
      <w:r w:rsidRPr="000B0C07" w:rsidR="00AA35C2">
        <w:t>heeft geoordeeld</w:t>
      </w:r>
      <w:r w:rsidRPr="000B0C07" w:rsidR="00D1799D">
        <w:t xml:space="preserve"> dat dit besluit onvoldoende gemotiveerd is</w:t>
      </w:r>
      <w:r w:rsidRPr="000B0C07" w:rsidR="00AA35C2">
        <w:t>, maar heeft geen uitspraak gedaan ten aanzien van de juridische kader van de Wet luchtvaart of deze opnieuw vastgesteld</w:t>
      </w:r>
      <w:r w:rsidRPr="000B0C07" w:rsidR="00404964">
        <w:t>.</w:t>
      </w:r>
      <w:r w:rsidRPr="000B0C07" w:rsidR="00D1799D">
        <w:t xml:space="preserve"> </w:t>
      </w:r>
      <w:r w:rsidRPr="000B0C07" w:rsidR="00AA35C2">
        <w:t>Met de uitspraak</w:t>
      </w:r>
      <w:r w:rsidR="00AA35C2">
        <w:t xml:space="preserve"> van de Afdeling zal </w:t>
      </w:r>
      <w:r w:rsidR="00404964">
        <w:t xml:space="preserve">verder </w:t>
      </w:r>
      <w:r w:rsidR="00AA35C2">
        <w:t xml:space="preserve">rekening worden gehouden gedurende het verdere traject met betrekking tot dit LVB. </w:t>
      </w:r>
    </w:p>
    <w:p w:rsidR="00B90642" w:rsidP="00B90642" w:rsidRDefault="00B90642" w14:paraId="58BE82FF" w14:textId="00A4E70E">
      <w:pPr>
        <w:autoSpaceDN/>
        <w:spacing w:after="160" w:line="259" w:lineRule="auto"/>
        <w:textAlignment w:val="auto"/>
        <w:rPr>
          <w:b/>
          <w:bCs/>
        </w:rPr>
      </w:pPr>
      <w:r w:rsidRPr="00F950F9">
        <w:rPr>
          <w:b/>
          <w:bCs/>
        </w:rPr>
        <w:t>Vraag 16</w:t>
      </w:r>
      <w:r w:rsidRPr="00F950F9">
        <w:rPr>
          <w:b/>
          <w:bCs/>
        </w:rPr>
        <w:br/>
      </w:r>
      <w:r w:rsidRPr="00E40F51">
        <w:t>Kunt u deze vragen één voor één beantwoorden voor het komende CD Luchtvaart?</w:t>
      </w:r>
      <w:r>
        <w:t xml:space="preserve"> </w:t>
      </w:r>
    </w:p>
    <w:p w:rsidRPr="00E40F51" w:rsidR="00B90642" w:rsidP="00B90642" w:rsidRDefault="00B90642" w14:paraId="2FF30391" w14:textId="6156C365">
      <w:pPr>
        <w:autoSpaceDN/>
        <w:spacing w:after="160" w:line="259" w:lineRule="auto"/>
        <w:textAlignment w:val="auto"/>
      </w:pPr>
      <w:r w:rsidRPr="00F950F9">
        <w:rPr>
          <w:b/>
          <w:bCs/>
        </w:rPr>
        <w:t xml:space="preserve">Antwoord 16 </w:t>
      </w:r>
      <w:r w:rsidRPr="00F950F9">
        <w:rPr>
          <w:b/>
          <w:bCs/>
        </w:rPr>
        <w:br/>
      </w:r>
      <w:r w:rsidRPr="00B90642">
        <w:t>Ja.</w:t>
      </w:r>
      <w:r>
        <w:t xml:space="preserve"> </w:t>
      </w:r>
      <w:r w:rsidRPr="00E40F51">
        <w:br/>
      </w:r>
    </w:p>
    <w:p w:rsidRPr="00E40F51" w:rsidR="00B90642" w:rsidP="00B90642" w:rsidRDefault="00B90642" w14:paraId="18DC914B" w14:textId="77777777">
      <w:r w:rsidRPr="00E40F51">
        <w:t>1) Website Reformatorisch Dagblad, 13 maart 2026, 'Karremans na uitspraak over Schiphol: we moeten door' (www.rd.nl/a/1142007-karremans-na-uitspraak-over-schiphol-we-moeten-door)</w:t>
      </w:r>
      <w:r w:rsidRPr="00E40F51">
        <w:br/>
      </w:r>
    </w:p>
    <w:p w:rsidRPr="00E40F51" w:rsidR="00B90642" w:rsidP="00B90642" w:rsidRDefault="00B90642" w14:paraId="60BEA5E3" w14:textId="77777777">
      <w:pPr>
        <w:rPr>
          <w:b/>
          <w:bCs/>
        </w:rPr>
      </w:pPr>
      <w:r w:rsidRPr="00E40F51">
        <w:t>2) Website Luchtvaart in de toekomst, 8 februari 2023 (https://www.luchtvaartindetoekomst.nl/site/binaries/site-content/collections/documents/2023/02/16/index/230208+Effecten+beeindigen+anticiperend+handhaven.pdf)</w:t>
      </w:r>
      <w:r w:rsidRPr="00E40F51">
        <w:rPr>
          <w:b/>
          <w:bCs/>
        </w:rPr>
        <w:br/>
      </w:r>
    </w:p>
    <w:p w:rsidRPr="00E40F51" w:rsidR="00B90642" w:rsidP="00B90642" w:rsidRDefault="00B90642" w14:paraId="0CEEE5C9" w14:textId="77777777"/>
    <w:p w:rsidR="006D4CD4" w:rsidRDefault="006D4CD4" w14:paraId="7E84A45D" w14:textId="77777777"/>
    <w:sectPr w:rsidR="006D4C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5DA05" w14:textId="77777777" w:rsidR="0086522D" w:rsidRDefault="0086522D">
      <w:pPr>
        <w:spacing w:line="240" w:lineRule="auto"/>
      </w:pPr>
      <w:r>
        <w:separator/>
      </w:r>
    </w:p>
  </w:endnote>
  <w:endnote w:type="continuationSeparator" w:id="0">
    <w:p w14:paraId="012EA934" w14:textId="77777777" w:rsidR="0086522D" w:rsidRDefault="00865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DE985" w14:textId="77777777" w:rsidR="00DB4B94" w:rsidRDefault="00DB4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2E163" w14:textId="77777777" w:rsidR="00DB4B94" w:rsidRDefault="00DB4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0776" w14:textId="77777777" w:rsidR="00DB4B94" w:rsidRDefault="00DB4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87151" w14:textId="77777777" w:rsidR="0086522D" w:rsidRDefault="0086522D">
      <w:pPr>
        <w:spacing w:line="240" w:lineRule="auto"/>
      </w:pPr>
      <w:r>
        <w:separator/>
      </w:r>
    </w:p>
  </w:footnote>
  <w:footnote w:type="continuationSeparator" w:id="0">
    <w:p w14:paraId="61479D22" w14:textId="77777777" w:rsidR="0086522D" w:rsidRDefault="0086522D">
      <w:pPr>
        <w:spacing w:line="240" w:lineRule="auto"/>
      </w:pPr>
      <w:r>
        <w:continuationSeparator/>
      </w:r>
    </w:p>
  </w:footnote>
  <w:footnote w:id="1">
    <w:p w14:paraId="7E499F56" w14:textId="5EF14243" w:rsidR="007C73FE" w:rsidRPr="000B0C07" w:rsidRDefault="007C73FE" w:rsidP="007C73FE">
      <w:pPr>
        <w:pStyle w:val="FootnoteText"/>
        <w:rPr>
          <w:sz w:val="16"/>
          <w:szCs w:val="16"/>
          <w:lang w:val="de-DE"/>
        </w:rPr>
      </w:pPr>
      <w:r w:rsidRPr="000B0C07">
        <w:rPr>
          <w:rStyle w:val="FootnoteReference"/>
          <w:sz w:val="16"/>
          <w:szCs w:val="16"/>
        </w:rPr>
        <w:footnoteRef/>
      </w:r>
      <w:r w:rsidRPr="000B0C07">
        <w:rPr>
          <w:sz w:val="16"/>
          <w:szCs w:val="16"/>
          <w:lang w:val="de-DE"/>
        </w:rPr>
        <w:t xml:space="preserve"> HR 12 juli 2024, ECLI:NL:HR:2024:1061.</w:t>
      </w:r>
    </w:p>
    <w:p w14:paraId="315D1F49" w14:textId="6972ADEF" w:rsidR="007C73FE" w:rsidRPr="000B0C07" w:rsidRDefault="007C73FE">
      <w:pPr>
        <w:pStyle w:val="FootnoteText"/>
        <w:rPr>
          <w:lang w:val="de-DE"/>
        </w:rPr>
      </w:pPr>
    </w:p>
  </w:footnote>
  <w:footnote w:id="2">
    <w:p w14:paraId="3C269273" w14:textId="57A3DD08" w:rsidR="007723D2" w:rsidRPr="007723D2" w:rsidRDefault="007723D2">
      <w:pPr>
        <w:pStyle w:val="FootnoteText"/>
        <w:rPr>
          <w:sz w:val="16"/>
          <w:szCs w:val="16"/>
        </w:rPr>
      </w:pPr>
      <w:r w:rsidRPr="007723D2">
        <w:rPr>
          <w:rStyle w:val="FootnoteReference"/>
          <w:sz w:val="16"/>
          <w:szCs w:val="16"/>
        </w:rPr>
        <w:footnoteRef/>
      </w:r>
      <w:r w:rsidRPr="007723D2">
        <w:rPr>
          <w:sz w:val="16"/>
          <w:szCs w:val="16"/>
        </w:rPr>
        <w:t xml:space="preserve"> Kamerstukken II 2025/26, 29665 nr. 579.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53735" w14:textId="77777777" w:rsidR="00DB4B94" w:rsidRDefault="00DB4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1DDF" w14:textId="77777777" w:rsidR="006D4CD4" w:rsidRDefault="0060377E">
    <w:r>
      <w:rPr>
        <w:noProof/>
        <w:lang w:val="en-GB" w:eastAsia="en-GB"/>
      </w:rPr>
      <mc:AlternateContent>
        <mc:Choice Requires="wps">
          <w:drawing>
            <wp:anchor distT="0" distB="0" distL="0" distR="0" simplePos="0" relativeHeight="251651584" behindDoc="0" locked="1" layoutInCell="1" allowOverlap="1" wp14:anchorId="64EE1FAC" wp14:editId="1E41F77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0973367" w14:textId="77777777" w:rsidR="006D4CD4" w:rsidRDefault="0060377E">
                          <w:pPr>
                            <w:pStyle w:val="AfzendgegevensKop0"/>
                          </w:pPr>
                          <w:r>
                            <w:t>Ministerie van Infrastructuur en Waterstaat</w:t>
                          </w:r>
                        </w:p>
                        <w:p w14:paraId="739BF33F" w14:textId="77777777" w:rsidR="006D4CD4" w:rsidRDefault="006D4CD4">
                          <w:pPr>
                            <w:pStyle w:val="WitregelW2"/>
                          </w:pPr>
                        </w:p>
                        <w:p w14:paraId="40CFA967" w14:textId="77777777" w:rsidR="006D4CD4" w:rsidRDefault="0060377E">
                          <w:pPr>
                            <w:pStyle w:val="Referentiegegevenskop"/>
                          </w:pPr>
                          <w:r>
                            <w:t>Ons kenmerk</w:t>
                          </w:r>
                        </w:p>
                        <w:p w14:paraId="79A2B572" w14:textId="7E6D48A6" w:rsidR="006D4CD4" w:rsidRDefault="0060377E">
                          <w:pPr>
                            <w:pStyle w:val="Referentiegegevens"/>
                          </w:pPr>
                          <w:r>
                            <w:t>IENW/BSK-2026/</w:t>
                          </w:r>
                          <w:r w:rsidR="00D76EEA">
                            <w:t>64216</w:t>
                          </w:r>
                        </w:p>
                      </w:txbxContent>
                    </wps:txbx>
                    <wps:bodyPr vert="horz" wrap="square" lIns="0" tIns="0" rIns="0" bIns="0" anchor="t" anchorCtr="0"/>
                  </wps:wsp>
                </a:graphicData>
              </a:graphic>
            </wp:anchor>
          </w:drawing>
        </mc:Choice>
        <mc:Fallback>
          <w:pict>
            <v:shapetype w14:anchorId="64EE1FA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0973367" w14:textId="77777777" w:rsidR="006D4CD4" w:rsidRDefault="0060377E">
                    <w:pPr>
                      <w:pStyle w:val="AfzendgegevensKop0"/>
                    </w:pPr>
                    <w:r>
                      <w:t>Ministerie van Infrastructuur en Waterstaat</w:t>
                    </w:r>
                  </w:p>
                  <w:p w14:paraId="739BF33F" w14:textId="77777777" w:rsidR="006D4CD4" w:rsidRDefault="006D4CD4">
                    <w:pPr>
                      <w:pStyle w:val="WitregelW2"/>
                    </w:pPr>
                  </w:p>
                  <w:p w14:paraId="40CFA967" w14:textId="77777777" w:rsidR="006D4CD4" w:rsidRDefault="0060377E">
                    <w:pPr>
                      <w:pStyle w:val="Referentiegegevenskop"/>
                    </w:pPr>
                    <w:r>
                      <w:t>Ons kenmerk</w:t>
                    </w:r>
                  </w:p>
                  <w:p w14:paraId="79A2B572" w14:textId="7E6D48A6" w:rsidR="006D4CD4" w:rsidRDefault="0060377E">
                    <w:pPr>
                      <w:pStyle w:val="Referentiegegevens"/>
                    </w:pPr>
                    <w:r>
                      <w:t>IENW/BSK-2026/</w:t>
                    </w:r>
                    <w:r w:rsidR="00D76EEA">
                      <w:t>64216</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3BFF609" wp14:editId="564E94A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DBCE5A" w14:textId="77777777" w:rsidR="006D4CD4" w:rsidRDefault="0060377E">
                          <w:pPr>
                            <w:pStyle w:val="Referentiegegevens"/>
                          </w:pPr>
                          <w:r>
                            <w:t xml:space="preserve">Page </w:t>
                          </w:r>
                          <w:r>
                            <w:fldChar w:fldCharType="begin"/>
                          </w:r>
                          <w:r>
                            <w:instrText>PAGE</w:instrText>
                          </w:r>
                          <w:r>
                            <w:fldChar w:fldCharType="separate"/>
                          </w:r>
                          <w:r w:rsidR="00B90642">
                            <w:rPr>
                              <w:noProof/>
                            </w:rPr>
                            <w:t>1</w:t>
                          </w:r>
                          <w:r>
                            <w:fldChar w:fldCharType="end"/>
                          </w:r>
                          <w:r>
                            <w:t xml:space="preserve"> of </w:t>
                          </w:r>
                          <w:r>
                            <w:fldChar w:fldCharType="begin"/>
                          </w:r>
                          <w:r>
                            <w:instrText>NUMPAGES</w:instrText>
                          </w:r>
                          <w:r>
                            <w:fldChar w:fldCharType="separate"/>
                          </w:r>
                          <w:r w:rsidR="00B90642">
                            <w:rPr>
                              <w:noProof/>
                            </w:rPr>
                            <w:t>1</w:t>
                          </w:r>
                          <w:r>
                            <w:fldChar w:fldCharType="end"/>
                          </w:r>
                        </w:p>
                      </w:txbxContent>
                    </wps:txbx>
                    <wps:bodyPr vert="horz" wrap="square" lIns="0" tIns="0" rIns="0" bIns="0" anchor="t" anchorCtr="0"/>
                  </wps:wsp>
                </a:graphicData>
              </a:graphic>
            </wp:anchor>
          </w:drawing>
        </mc:Choice>
        <mc:Fallback>
          <w:pict>
            <v:shape w14:anchorId="63BFF60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8DBCE5A" w14:textId="77777777" w:rsidR="006D4CD4" w:rsidRDefault="0060377E">
                    <w:pPr>
                      <w:pStyle w:val="Referentiegegevens"/>
                    </w:pPr>
                    <w:r>
                      <w:t xml:space="preserve">Page </w:t>
                    </w:r>
                    <w:r>
                      <w:fldChar w:fldCharType="begin"/>
                    </w:r>
                    <w:r>
                      <w:instrText>PAGE</w:instrText>
                    </w:r>
                    <w:r>
                      <w:fldChar w:fldCharType="separate"/>
                    </w:r>
                    <w:r w:rsidR="00B90642">
                      <w:rPr>
                        <w:noProof/>
                      </w:rPr>
                      <w:t>1</w:t>
                    </w:r>
                    <w:r>
                      <w:fldChar w:fldCharType="end"/>
                    </w:r>
                    <w:r>
                      <w:t xml:space="preserve"> of </w:t>
                    </w:r>
                    <w:r>
                      <w:fldChar w:fldCharType="begin"/>
                    </w:r>
                    <w:r>
                      <w:instrText>NUMPAGES</w:instrText>
                    </w:r>
                    <w:r>
                      <w:fldChar w:fldCharType="separate"/>
                    </w:r>
                    <w:r w:rsidR="00B9064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FA8CAC5" wp14:editId="297798B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6197A8" w14:textId="77777777" w:rsidR="00285288" w:rsidRDefault="00285288"/>
                      </w:txbxContent>
                    </wps:txbx>
                    <wps:bodyPr vert="horz" wrap="square" lIns="0" tIns="0" rIns="0" bIns="0" anchor="t" anchorCtr="0"/>
                  </wps:wsp>
                </a:graphicData>
              </a:graphic>
            </wp:anchor>
          </w:drawing>
        </mc:Choice>
        <mc:Fallback>
          <w:pict>
            <v:shape w14:anchorId="1FA8CAC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46197A8" w14:textId="77777777" w:rsidR="00285288" w:rsidRDefault="0028528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C2AAAAD" wp14:editId="3BE294E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EBBA76" w14:textId="77777777" w:rsidR="00285288" w:rsidRDefault="00285288"/>
                      </w:txbxContent>
                    </wps:txbx>
                    <wps:bodyPr vert="horz" wrap="square" lIns="0" tIns="0" rIns="0" bIns="0" anchor="t" anchorCtr="0"/>
                  </wps:wsp>
                </a:graphicData>
              </a:graphic>
            </wp:anchor>
          </w:drawing>
        </mc:Choice>
        <mc:Fallback>
          <w:pict>
            <v:shape w14:anchorId="6C2AAAA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2EBBA76" w14:textId="77777777" w:rsidR="00285288" w:rsidRDefault="0028528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8C5" w14:textId="77777777" w:rsidR="006D4CD4" w:rsidRDefault="0060377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E7724AD" wp14:editId="3BC6FAFB">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B9FBBE" w14:textId="77777777" w:rsidR="00285288" w:rsidRDefault="00285288"/>
                      </w:txbxContent>
                    </wps:txbx>
                    <wps:bodyPr vert="horz" wrap="square" lIns="0" tIns="0" rIns="0" bIns="0" anchor="t" anchorCtr="0"/>
                  </wps:wsp>
                </a:graphicData>
              </a:graphic>
            </wp:anchor>
          </w:drawing>
        </mc:Choice>
        <mc:Fallback>
          <w:pict>
            <v:shapetype w14:anchorId="7E7724A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4B9FBBE" w14:textId="77777777" w:rsidR="00285288" w:rsidRDefault="0028528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B974C05" wp14:editId="564C37AD">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0602C3" w14:textId="481CFA56" w:rsidR="006D4CD4" w:rsidRDefault="0060377E">
                          <w:pPr>
                            <w:pStyle w:val="Referentiegegevens"/>
                          </w:pPr>
                          <w:r>
                            <w:t xml:space="preserve">Page </w:t>
                          </w:r>
                          <w:r>
                            <w:fldChar w:fldCharType="begin"/>
                          </w:r>
                          <w:r>
                            <w:instrText>PAGE</w:instrText>
                          </w:r>
                          <w:r>
                            <w:fldChar w:fldCharType="separate"/>
                          </w:r>
                          <w:r w:rsidR="0053582E">
                            <w:rPr>
                              <w:noProof/>
                            </w:rPr>
                            <w:t>1</w:t>
                          </w:r>
                          <w:r>
                            <w:fldChar w:fldCharType="end"/>
                          </w:r>
                          <w:r>
                            <w:t xml:space="preserve"> of </w:t>
                          </w:r>
                          <w:r>
                            <w:fldChar w:fldCharType="begin"/>
                          </w:r>
                          <w:r>
                            <w:instrText>NUMPAGES</w:instrText>
                          </w:r>
                          <w:r>
                            <w:fldChar w:fldCharType="separate"/>
                          </w:r>
                          <w:r w:rsidR="0053582E">
                            <w:rPr>
                              <w:noProof/>
                            </w:rPr>
                            <w:t>2</w:t>
                          </w:r>
                          <w:r>
                            <w:fldChar w:fldCharType="end"/>
                          </w:r>
                        </w:p>
                      </w:txbxContent>
                    </wps:txbx>
                    <wps:bodyPr vert="horz" wrap="square" lIns="0" tIns="0" rIns="0" bIns="0" anchor="t" anchorCtr="0"/>
                  </wps:wsp>
                </a:graphicData>
              </a:graphic>
            </wp:anchor>
          </w:drawing>
        </mc:Choice>
        <mc:Fallback>
          <w:pict>
            <v:shape w14:anchorId="5B974C0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0602C3" w14:textId="481CFA56" w:rsidR="006D4CD4" w:rsidRDefault="0060377E">
                    <w:pPr>
                      <w:pStyle w:val="Referentiegegevens"/>
                    </w:pPr>
                    <w:r>
                      <w:t xml:space="preserve">Page </w:t>
                    </w:r>
                    <w:r>
                      <w:fldChar w:fldCharType="begin"/>
                    </w:r>
                    <w:r>
                      <w:instrText>PAGE</w:instrText>
                    </w:r>
                    <w:r>
                      <w:fldChar w:fldCharType="separate"/>
                    </w:r>
                    <w:r w:rsidR="0053582E">
                      <w:rPr>
                        <w:noProof/>
                      </w:rPr>
                      <w:t>1</w:t>
                    </w:r>
                    <w:r>
                      <w:fldChar w:fldCharType="end"/>
                    </w:r>
                    <w:r>
                      <w:t xml:space="preserve"> of </w:t>
                    </w:r>
                    <w:r>
                      <w:fldChar w:fldCharType="begin"/>
                    </w:r>
                    <w:r>
                      <w:instrText>NUMPAGES</w:instrText>
                    </w:r>
                    <w:r>
                      <w:fldChar w:fldCharType="separate"/>
                    </w:r>
                    <w:r w:rsidR="0053582E">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500DC36" wp14:editId="4D0CE0D4">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B01892" w14:textId="77777777" w:rsidR="006D4CD4" w:rsidRDefault="0060377E">
                          <w:pPr>
                            <w:pStyle w:val="AfzendgegevensKop0"/>
                          </w:pPr>
                          <w:r>
                            <w:t>Ministerie van Infrastructuur en Waterstaat</w:t>
                          </w:r>
                        </w:p>
                        <w:p w14:paraId="58AB5346" w14:textId="77777777" w:rsidR="006D4CD4" w:rsidRDefault="006D4CD4">
                          <w:pPr>
                            <w:pStyle w:val="WitregelW1"/>
                          </w:pPr>
                        </w:p>
                        <w:p w14:paraId="3FA69679" w14:textId="77777777" w:rsidR="006D4CD4" w:rsidRDefault="0060377E">
                          <w:pPr>
                            <w:pStyle w:val="Afzendgegevens"/>
                          </w:pPr>
                          <w:r>
                            <w:t>Rijnstraat 8</w:t>
                          </w:r>
                        </w:p>
                        <w:p w14:paraId="74E764F7" w14:textId="77777777" w:rsidR="006D4CD4" w:rsidRPr="00B90642" w:rsidRDefault="0060377E">
                          <w:pPr>
                            <w:pStyle w:val="Afzendgegevens"/>
                            <w:rPr>
                              <w:lang w:val="de-DE"/>
                            </w:rPr>
                          </w:pPr>
                          <w:r w:rsidRPr="00B90642">
                            <w:rPr>
                              <w:lang w:val="de-DE"/>
                            </w:rPr>
                            <w:t>2515 XP  Den Haag</w:t>
                          </w:r>
                        </w:p>
                        <w:p w14:paraId="6C193CBB" w14:textId="77777777" w:rsidR="006D4CD4" w:rsidRPr="00B90642" w:rsidRDefault="0060377E">
                          <w:pPr>
                            <w:pStyle w:val="Afzendgegevens"/>
                            <w:rPr>
                              <w:lang w:val="de-DE"/>
                            </w:rPr>
                          </w:pPr>
                          <w:r w:rsidRPr="00B90642">
                            <w:rPr>
                              <w:lang w:val="de-DE"/>
                            </w:rPr>
                            <w:t>Postbus 20901</w:t>
                          </w:r>
                        </w:p>
                        <w:p w14:paraId="1F3BCC72" w14:textId="77777777" w:rsidR="006D4CD4" w:rsidRPr="00B90642" w:rsidRDefault="0060377E">
                          <w:pPr>
                            <w:pStyle w:val="Afzendgegevens"/>
                            <w:rPr>
                              <w:lang w:val="de-DE"/>
                            </w:rPr>
                          </w:pPr>
                          <w:r w:rsidRPr="00B90642">
                            <w:rPr>
                              <w:lang w:val="de-DE"/>
                            </w:rPr>
                            <w:t>2500 EX Den Haag</w:t>
                          </w:r>
                        </w:p>
                        <w:p w14:paraId="541EE44A" w14:textId="77777777" w:rsidR="006D4CD4" w:rsidRPr="00B90642" w:rsidRDefault="006D4CD4">
                          <w:pPr>
                            <w:pStyle w:val="WitregelW1"/>
                            <w:rPr>
                              <w:lang w:val="de-DE"/>
                            </w:rPr>
                          </w:pPr>
                        </w:p>
                        <w:p w14:paraId="4028D189" w14:textId="77777777" w:rsidR="006D4CD4" w:rsidRPr="00B90642" w:rsidRDefault="0060377E">
                          <w:pPr>
                            <w:pStyle w:val="Afzendgegevens"/>
                            <w:rPr>
                              <w:lang w:val="de-DE"/>
                            </w:rPr>
                          </w:pPr>
                          <w:r w:rsidRPr="00B90642">
                            <w:rPr>
                              <w:lang w:val="de-DE"/>
                            </w:rPr>
                            <w:t>T   070-456 0000</w:t>
                          </w:r>
                        </w:p>
                        <w:p w14:paraId="78FB48C3" w14:textId="77777777" w:rsidR="006D4CD4" w:rsidRDefault="0060377E">
                          <w:pPr>
                            <w:pStyle w:val="Afzendgegevens"/>
                          </w:pPr>
                          <w:r>
                            <w:t>F   070-456 1111</w:t>
                          </w:r>
                        </w:p>
                        <w:p w14:paraId="5B23526E" w14:textId="77777777" w:rsidR="006D4CD4" w:rsidRDefault="006D4CD4">
                          <w:pPr>
                            <w:pStyle w:val="WitregelW2"/>
                          </w:pPr>
                        </w:p>
                        <w:p w14:paraId="751E2DE2" w14:textId="77777777" w:rsidR="006D4CD4" w:rsidRDefault="0060377E">
                          <w:pPr>
                            <w:pStyle w:val="Referentiegegevenskop"/>
                          </w:pPr>
                          <w:r>
                            <w:t>Ons kenmerk</w:t>
                          </w:r>
                        </w:p>
                        <w:p w14:paraId="21D334D5" w14:textId="2B4B068D" w:rsidR="006D4CD4" w:rsidRDefault="0060377E">
                          <w:pPr>
                            <w:pStyle w:val="Referentiegegevens"/>
                          </w:pPr>
                          <w:r>
                            <w:t>IENW/BSK-2026/</w:t>
                          </w:r>
                          <w:r w:rsidR="00D76EEA">
                            <w:t>64216</w:t>
                          </w:r>
                        </w:p>
                        <w:p w14:paraId="358B8388" w14:textId="77777777" w:rsidR="00DB4B94" w:rsidRDefault="00DB4B94" w:rsidP="00DB4B94"/>
                        <w:p w14:paraId="2C792911" w14:textId="1F21BE59" w:rsidR="00DB4B94" w:rsidRPr="00DB4B94" w:rsidRDefault="00DB4B94" w:rsidP="00DB4B94">
                          <w:pPr>
                            <w:spacing w:line="240" w:lineRule="auto"/>
                            <w:rPr>
                              <w:b/>
                              <w:bCs/>
                              <w:sz w:val="13"/>
                              <w:szCs w:val="13"/>
                            </w:rPr>
                          </w:pPr>
                          <w:r w:rsidRPr="00DB4B94">
                            <w:rPr>
                              <w:b/>
                              <w:bCs/>
                              <w:sz w:val="13"/>
                              <w:szCs w:val="13"/>
                            </w:rPr>
                            <w:t>Uw kenmerk</w:t>
                          </w:r>
                        </w:p>
                        <w:p w14:paraId="70140ED7" w14:textId="4C8A3CA0" w:rsidR="00DB4B94" w:rsidRPr="00DB4B94" w:rsidRDefault="00DB4B94" w:rsidP="00DB4B94">
                          <w:pPr>
                            <w:rPr>
                              <w:sz w:val="13"/>
                              <w:szCs w:val="13"/>
                            </w:rPr>
                          </w:pPr>
                          <w:r w:rsidRPr="00DB4B94">
                            <w:rPr>
                              <w:sz w:val="13"/>
                              <w:szCs w:val="13"/>
                            </w:rPr>
                            <w:t>2026Z05441</w:t>
                          </w:r>
                        </w:p>
                        <w:p w14:paraId="25FA8309" w14:textId="77777777" w:rsidR="0093599D" w:rsidRPr="0093599D" w:rsidRDefault="0093599D" w:rsidP="0093599D">
                          <w:pPr>
                            <w:spacing w:line="240" w:lineRule="auto"/>
                            <w:rPr>
                              <w:sz w:val="13"/>
                              <w:szCs w:val="13"/>
                            </w:rPr>
                          </w:pPr>
                        </w:p>
                        <w:p w14:paraId="0C3085FA" w14:textId="74C29FDC" w:rsidR="0093599D" w:rsidRPr="0093599D" w:rsidRDefault="0093599D" w:rsidP="0093599D">
                          <w:pPr>
                            <w:spacing w:line="240" w:lineRule="auto"/>
                            <w:rPr>
                              <w:b/>
                              <w:bCs/>
                              <w:sz w:val="13"/>
                              <w:szCs w:val="13"/>
                            </w:rPr>
                          </w:pPr>
                          <w:r w:rsidRPr="0093599D">
                            <w:rPr>
                              <w:b/>
                              <w:bCs/>
                              <w:sz w:val="13"/>
                              <w:szCs w:val="13"/>
                            </w:rPr>
                            <w:t>Bijlage(n)</w:t>
                          </w:r>
                        </w:p>
                        <w:p w14:paraId="4851089E" w14:textId="67C482F1" w:rsidR="0093599D" w:rsidRPr="0093599D" w:rsidRDefault="0093599D" w:rsidP="0093599D">
                          <w:pPr>
                            <w:spacing w:line="240" w:lineRule="auto"/>
                            <w:rPr>
                              <w:sz w:val="13"/>
                              <w:szCs w:val="13"/>
                            </w:rPr>
                          </w:pPr>
                          <w:r w:rsidRPr="0093599D">
                            <w:rPr>
                              <w:sz w:val="13"/>
                              <w:szCs w:val="13"/>
                            </w:rPr>
                            <w:t>1</w:t>
                          </w:r>
                        </w:p>
                        <w:p w14:paraId="4F09B603" w14:textId="77777777" w:rsidR="0093599D" w:rsidRPr="0093599D" w:rsidRDefault="0093599D" w:rsidP="0093599D"/>
                      </w:txbxContent>
                    </wps:txbx>
                    <wps:bodyPr vert="horz" wrap="square" lIns="0" tIns="0" rIns="0" bIns="0" anchor="t" anchorCtr="0"/>
                  </wps:wsp>
                </a:graphicData>
              </a:graphic>
            </wp:anchor>
          </w:drawing>
        </mc:Choice>
        <mc:Fallback>
          <w:pict>
            <v:shape w14:anchorId="4500DC3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2B01892" w14:textId="77777777" w:rsidR="006D4CD4" w:rsidRDefault="0060377E">
                    <w:pPr>
                      <w:pStyle w:val="AfzendgegevensKop0"/>
                    </w:pPr>
                    <w:r>
                      <w:t>Ministerie van Infrastructuur en Waterstaat</w:t>
                    </w:r>
                  </w:p>
                  <w:p w14:paraId="58AB5346" w14:textId="77777777" w:rsidR="006D4CD4" w:rsidRDefault="006D4CD4">
                    <w:pPr>
                      <w:pStyle w:val="WitregelW1"/>
                    </w:pPr>
                  </w:p>
                  <w:p w14:paraId="3FA69679" w14:textId="77777777" w:rsidR="006D4CD4" w:rsidRDefault="0060377E">
                    <w:pPr>
                      <w:pStyle w:val="Afzendgegevens"/>
                    </w:pPr>
                    <w:r>
                      <w:t>Rijnstraat 8</w:t>
                    </w:r>
                  </w:p>
                  <w:p w14:paraId="74E764F7" w14:textId="77777777" w:rsidR="006D4CD4" w:rsidRPr="00B90642" w:rsidRDefault="0060377E">
                    <w:pPr>
                      <w:pStyle w:val="Afzendgegevens"/>
                      <w:rPr>
                        <w:lang w:val="de-DE"/>
                      </w:rPr>
                    </w:pPr>
                    <w:r w:rsidRPr="00B90642">
                      <w:rPr>
                        <w:lang w:val="de-DE"/>
                      </w:rPr>
                      <w:t>2515 XP  Den Haag</w:t>
                    </w:r>
                  </w:p>
                  <w:p w14:paraId="6C193CBB" w14:textId="77777777" w:rsidR="006D4CD4" w:rsidRPr="00B90642" w:rsidRDefault="0060377E">
                    <w:pPr>
                      <w:pStyle w:val="Afzendgegevens"/>
                      <w:rPr>
                        <w:lang w:val="de-DE"/>
                      </w:rPr>
                    </w:pPr>
                    <w:r w:rsidRPr="00B90642">
                      <w:rPr>
                        <w:lang w:val="de-DE"/>
                      </w:rPr>
                      <w:t>Postbus 20901</w:t>
                    </w:r>
                  </w:p>
                  <w:p w14:paraId="1F3BCC72" w14:textId="77777777" w:rsidR="006D4CD4" w:rsidRPr="00B90642" w:rsidRDefault="0060377E">
                    <w:pPr>
                      <w:pStyle w:val="Afzendgegevens"/>
                      <w:rPr>
                        <w:lang w:val="de-DE"/>
                      </w:rPr>
                    </w:pPr>
                    <w:r w:rsidRPr="00B90642">
                      <w:rPr>
                        <w:lang w:val="de-DE"/>
                      </w:rPr>
                      <w:t>2500 EX Den Haag</w:t>
                    </w:r>
                  </w:p>
                  <w:p w14:paraId="541EE44A" w14:textId="77777777" w:rsidR="006D4CD4" w:rsidRPr="00B90642" w:rsidRDefault="006D4CD4">
                    <w:pPr>
                      <w:pStyle w:val="WitregelW1"/>
                      <w:rPr>
                        <w:lang w:val="de-DE"/>
                      </w:rPr>
                    </w:pPr>
                  </w:p>
                  <w:p w14:paraId="4028D189" w14:textId="77777777" w:rsidR="006D4CD4" w:rsidRPr="00B90642" w:rsidRDefault="0060377E">
                    <w:pPr>
                      <w:pStyle w:val="Afzendgegevens"/>
                      <w:rPr>
                        <w:lang w:val="de-DE"/>
                      </w:rPr>
                    </w:pPr>
                    <w:r w:rsidRPr="00B90642">
                      <w:rPr>
                        <w:lang w:val="de-DE"/>
                      </w:rPr>
                      <w:t>T   070-456 0000</w:t>
                    </w:r>
                  </w:p>
                  <w:p w14:paraId="78FB48C3" w14:textId="77777777" w:rsidR="006D4CD4" w:rsidRDefault="0060377E">
                    <w:pPr>
                      <w:pStyle w:val="Afzendgegevens"/>
                    </w:pPr>
                    <w:r>
                      <w:t>F   070-456 1111</w:t>
                    </w:r>
                  </w:p>
                  <w:p w14:paraId="5B23526E" w14:textId="77777777" w:rsidR="006D4CD4" w:rsidRDefault="006D4CD4">
                    <w:pPr>
                      <w:pStyle w:val="WitregelW2"/>
                    </w:pPr>
                  </w:p>
                  <w:p w14:paraId="751E2DE2" w14:textId="77777777" w:rsidR="006D4CD4" w:rsidRDefault="0060377E">
                    <w:pPr>
                      <w:pStyle w:val="Referentiegegevenskop"/>
                    </w:pPr>
                    <w:r>
                      <w:t>Ons kenmerk</w:t>
                    </w:r>
                  </w:p>
                  <w:p w14:paraId="21D334D5" w14:textId="2B4B068D" w:rsidR="006D4CD4" w:rsidRDefault="0060377E">
                    <w:pPr>
                      <w:pStyle w:val="Referentiegegevens"/>
                    </w:pPr>
                    <w:r>
                      <w:t>IENW/BSK-2026/</w:t>
                    </w:r>
                    <w:r w:rsidR="00D76EEA">
                      <w:t>64216</w:t>
                    </w:r>
                  </w:p>
                  <w:p w14:paraId="358B8388" w14:textId="77777777" w:rsidR="00DB4B94" w:rsidRDefault="00DB4B94" w:rsidP="00DB4B94"/>
                  <w:p w14:paraId="2C792911" w14:textId="1F21BE59" w:rsidR="00DB4B94" w:rsidRPr="00DB4B94" w:rsidRDefault="00DB4B94" w:rsidP="00DB4B94">
                    <w:pPr>
                      <w:spacing w:line="240" w:lineRule="auto"/>
                      <w:rPr>
                        <w:b/>
                        <w:bCs/>
                        <w:sz w:val="13"/>
                        <w:szCs w:val="13"/>
                      </w:rPr>
                    </w:pPr>
                    <w:r w:rsidRPr="00DB4B94">
                      <w:rPr>
                        <w:b/>
                        <w:bCs/>
                        <w:sz w:val="13"/>
                        <w:szCs w:val="13"/>
                      </w:rPr>
                      <w:t>Uw kenmerk</w:t>
                    </w:r>
                  </w:p>
                  <w:p w14:paraId="70140ED7" w14:textId="4C8A3CA0" w:rsidR="00DB4B94" w:rsidRPr="00DB4B94" w:rsidRDefault="00DB4B94" w:rsidP="00DB4B94">
                    <w:pPr>
                      <w:rPr>
                        <w:sz w:val="13"/>
                        <w:szCs w:val="13"/>
                      </w:rPr>
                    </w:pPr>
                    <w:r w:rsidRPr="00DB4B94">
                      <w:rPr>
                        <w:sz w:val="13"/>
                        <w:szCs w:val="13"/>
                      </w:rPr>
                      <w:t>2026Z05441</w:t>
                    </w:r>
                  </w:p>
                  <w:p w14:paraId="25FA8309" w14:textId="77777777" w:rsidR="0093599D" w:rsidRPr="0093599D" w:rsidRDefault="0093599D" w:rsidP="0093599D">
                    <w:pPr>
                      <w:spacing w:line="240" w:lineRule="auto"/>
                      <w:rPr>
                        <w:sz w:val="13"/>
                        <w:szCs w:val="13"/>
                      </w:rPr>
                    </w:pPr>
                  </w:p>
                  <w:p w14:paraId="0C3085FA" w14:textId="74C29FDC" w:rsidR="0093599D" w:rsidRPr="0093599D" w:rsidRDefault="0093599D" w:rsidP="0093599D">
                    <w:pPr>
                      <w:spacing w:line="240" w:lineRule="auto"/>
                      <w:rPr>
                        <w:b/>
                        <w:bCs/>
                        <w:sz w:val="13"/>
                        <w:szCs w:val="13"/>
                      </w:rPr>
                    </w:pPr>
                    <w:r w:rsidRPr="0093599D">
                      <w:rPr>
                        <w:b/>
                        <w:bCs/>
                        <w:sz w:val="13"/>
                        <w:szCs w:val="13"/>
                      </w:rPr>
                      <w:t>Bijlage(n)</w:t>
                    </w:r>
                  </w:p>
                  <w:p w14:paraId="4851089E" w14:textId="67C482F1" w:rsidR="0093599D" w:rsidRPr="0093599D" w:rsidRDefault="0093599D" w:rsidP="0093599D">
                    <w:pPr>
                      <w:spacing w:line="240" w:lineRule="auto"/>
                      <w:rPr>
                        <w:sz w:val="13"/>
                        <w:szCs w:val="13"/>
                      </w:rPr>
                    </w:pPr>
                    <w:r w:rsidRPr="0093599D">
                      <w:rPr>
                        <w:sz w:val="13"/>
                        <w:szCs w:val="13"/>
                      </w:rPr>
                      <w:t>1</w:t>
                    </w:r>
                  </w:p>
                  <w:p w14:paraId="4F09B603" w14:textId="77777777" w:rsidR="0093599D" w:rsidRPr="0093599D" w:rsidRDefault="0093599D" w:rsidP="0093599D"/>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219FD5C" wp14:editId="3A196BD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6A3A877" w14:textId="77777777" w:rsidR="006D4CD4" w:rsidRDefault="0060377E">
                          <w:pPr>
                            <w:spacing w:line="240" w:lineRule="auto"/>
                          </w:pPr>
                          <w:r>
                            <w:rPr>
                              <w:noProof/>
                              <w:lang w:val="en-GB" w:eastAsia="en-GB"/>
                            </w:rPr>
                            <w:drawing>
                              <wp:inline distT="0" distB="0" distL="0" distR="0" wp14:anchorId="3E2B8693" wp14:editId="26D6787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19FD5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6A3A877" w14:textId="77777777" w:rsidR="006D4CD4" w:rsidRDefault="0060377E">
                    <w:pPr>
                      <w:spacing w:line="240" w:lineRule="auto"/>
                    </w:pPr>
                    <w:r>
                      <w:rPr>
                        <w:noProof/>
                        <w:lang w:val="en-GB" w:eastAsia="en-GB"/>
                      </w:rPr>
                      <w:drawing>
                        <wp:inline distT="0" distB="0" distL="0" distR="0" wp14:anchorId="3E2B8693" wp14:editId="26D6787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4A1002" wp14:editId="405520D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A1B49B" w14:textId="77777777" w:rsidR="006D4CD4" w:rsidRDefault="0060377E">
                          <w:pPr>
                            <w:spacing w:line="240" w:lineRule="auto"/>
                          </w:pPr>
                          <w:r>
                            <w:rPr>
                              <w:noProof/>
                              <w:lang w:val="en-GB" w:eastAsia="en-GB"/>
                            </w:rPr>
                            <w:drawing>
                              <wp:inline distT="0" distB="0" distL="0" distR="0" wp14:anchorId="0CD83684" wp14:editId="5DB00BC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4A100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A1B49B" w14:textId="77777777" w:rsidR="006D4CD4" w:rsidRDefault="0060377E">
                    <w:pPr>
                      <w:spacing w:line="240" w:lineRule="auto"/>
                    </w:pPr>
                    <w:r>
                      <w:rPr>
                        <w:noProof/>
                        <w:lang w:val="en-GB" w:eastAsia="en-GB"/>
                      </w:rPr>
                      <w:drawing>
                        <wp:inline distT="0" distB="0" distL="0" distR="0" wp14:anchorId="0CD83684" wp14:editId="5DB00BC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CD9217C" wp14:editId="50E65BE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D088F94" w14:textId="77777777" w:rsidR="006D4CD4" w:rsidRDefault="0060377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CD9217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D088F94" w14:textId="77777777" w:rsidR="006D4CD4" w:rsidRDefault="0060377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06170AF" wp14:editId="252CBE6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A32A81C" w14:textId="77777777" w:rsidR="0093599D" w:rsidRDefault="0093599D" w:rsidP="0093599D">
                          <w:r>
                            <w:t>De voorzitter van de Tweede Kamer</w:t>
                          </w:r>
                          <w:r>
                            <w:br/>
                            <w:t>der Staten-Generaal</w:t>
                          </w:r>
                          <w:r>
                            <w:br/>
                            <w:t>Postbus 20018</w:t>
                          </w:r>
                          <w:r>
                            <w:br/>
                            <w:t>2500 EA  DEN HAAG</w:t>
                          </w:r>
                        </w:p>
                        <w:p w14:paraId="08CE1700" w14:textId="30395164" w:rsidR="00285288" w:rsidRDefault="00285288"/>
                      </w:txbxContent>
                    </wps:txbx>
                    <wps:bodyPr vert="horz" wrap="square" lIns="0" tIns="0" rIns="0" bIns="0" anchor="t" anchorCtr="0"/>
                  </wps:wsp>
                </a:graphicData>
              </a:graphic>
            </wp:anchor>
          </w:drawing>
        </mc:Choice>
        <mc:Fallback>
          <w:pict>
            <v:shape w14:anchorId="306170A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A32A81C" w14:textId="77777777" w:rsidR="0093599D" w:rsidRDefault="0093599D" w:rsidP="0093599D">
                    <w:r>
                      <w:t>De voorzitter van de Tweede Kamer</w:t>
                    </w:r>
                    <w:r>
                      <w:br/>
                      <w:t>der Staten-Generaal</w:t>
                    </w:r>
                    <w:r>
                      <w:br/>
                      <w:t>Postbus 20018</w:t>
                    </w:r>
                    <w:r>
                      <w:br/>
                      <w:t>2500 EA  DEN HAAG</w:t>
                    </w:r>
                  </w:p>
                  <w:p w14:paraId="08CE1700" w14:textId="30395164" w:rsidR="00285288" w:rsidRDefault="00285288"/>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90F3D8" wp14:editId="13E7866E">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D4CD4" w14:paraId="2751E773" w14:textId="77777777">
                            <w:trPr>
                              <w:trHeight w:val="200"/>
                            </w:trPr>
                            <w:tc>
                              <w:tcPr>
                                <w:tcW w:w="1140" w:type="dxa"/>
                              </w:tcPr>
                              <w:p w14:paraId="0C2D2395" w14:textId="77777777" w:rsidR="006D4CD4" w:rsidRDefault="006D4CD4"/>
                            </w:tc>
                            <w:tc>
                              <w:tcPr>
                                <w:tcW w:w="5400" w:type="dxa"/>
                              </w:tcPr>
                              <w:p w14:paraId="3ABAB22B" w14:textId="77777777" w:rsidR="006D4CD4" w:rsidRDefault="006D4CD4"/>
                            </w:tc>
                          </w:tr>
                          <w:tr w:rsidR="006D4CD4" w14:paraId="120EA0FE" w14:textId="77777777">
                            <w:trPr>
                              <w:trHeight w:val="240"/>
                            </w:trPr>
                            <w:tc>
                              <w:tcPr>
                                <w:tcW w:w="1140" w:type="dxa"/>
                              </w:tcPr>
                              <w:p w14:paraId="0C28F9BA" w14:textId="77777777" w:rsidR="006D4CD4" w:rsidRDefault="0060377E">
                                <w:r>
                                  <w:t>Datum</w:t>
                                </w:r>
                              </w:p>
                            </w:tc>
                            <w:tc>
                              <w:tcPr>
                                <w:tcW w:w="5400" w:type="dxa"/>
                              </w:tcPr>
                              <w:p w14:paraId="1B010AF9" w14:textId="02C46E16" w:rsidR="006D4CD4" w:rsidRDefault="00DB4B94">
                                <w:r>
                                  <w:t xml:space="preserve">1 </w:t>
                                </w:r>
                                <w:r w:rsidR="00140F12">
                                  <w:t>april 2026</w:t>
                                </w:r>
                              </w:p>
                            </w:tc>
                          </w:tr>
                          <w:tr w:rsidR="006D4CD4" w14:paraId="406983E3" w14:textId="77777777">
                            <w:trPr>
                              <w:trHeight w:val="240"/>
                            </w:trPr>
                            <w:tc>
                              <w:tcPr>
                                <w:tcW w:w="1140" w:type="dxa"/>
                              </w:tcPr>
                              <w:p w14:paraId="5642DC08" w14:textId="77777777" w:rsidR="006D4CD4" w:rsidRDefault="0060377E">
                                <w:r>
                                  <w:t>Betreft</w:t>
                                </w:r>
                              </w:p>
                            </w:tc>
                            <w:tc>
                              <w:tcPr>
                                <w:tcW w:w="5400" w:type="dxa"/>
                              </w:tcPr>
                              <w:p w14:paraId="5DFFFBBE" w14:textId="5572A0D2" w:rsidR="006D4CD4" w:rsidRDefault="0060377E">
                                <w:r>
                                  <w:t xml:space="preserve">Beantwoording Kamervragen inzake het vonnis van de Raad van State op </w:t>
                                </w:r>
                                <w:r w:rsidR="00D76EEA">
                                  <w:t xml:space="preserve">versnelde wijziging </w:t>
                                </w:r>
                                <w:r>
                                  <w:t>LVB Schiphol</w:t>
                                </w:r>
                              </w:p>
                            </w:tc>
                          </w:tr>
                          <w:tr w:rsidR="006D4CD4" w14:paraId="43E4E264" w14:textId="77777777">
                            <w:trPr>
                              <w:trHeight w:val="200"/>
                            </w:trPr>
                            <w:tc>
                              <w:tcPr>
                                <w:tcW w:w="1140" w:type="dxa"/>
                              </w:tcPr>
                              <w:p w14:paraId="2AF56978" w14:textId="77777777" w:rsidR="006D4CD4" w:rsidRDefault="006D4CD4"/>
                            </w:tc>
                            <w:tc>
                              <w:tcPr>
                                <w:tcW w:w="5400" w:type="dxa"/>
                              </w:tcPr>
                              <w:p w14:paraId="23DBD771" w14:textId="77777777" w:rsidR="006D4CD4" w:rsidRDefault="006D4CD4"/>
                            </w:tc>
                          </w:tr>
                        </w:tbl>
                        <w:p w14:paraId="3ECDF616" w14:textId="77777777" w:rsidR="00285288" w:rsidRDefault="00285288"/>
                      </w:txbxContent>
                    </wps:txbx>
                    <wps:bodyPr vert="horz" wrap="square" lIns="0" tIns="0" rIns="0" bIns="0" anchor="t" anchorCtr="0"/>
                  </wps:wsp>
                </a:graphicData>
              </a:graphic>
            </wp:anchor>
          </w:drawing>
        </mc:Choice>
        <mc:Fallback>
          <w:pict>
            <v:shape w14:anchorId="4090F3D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D4CD4" w14:paraId="2751E773" w14:textId="77777777">
                      <w:trPr>
                        <w:trHeight w:val="200"/>
                      </w:trPr>
                      <w:tc>
                        <w:tcPr>
                          <w:tcW w:w="1140" w:type="dxa"/>
                        </w:tcPr>
                        <w:p w14:paraId="0C2D2395" w14:textId="77777777" w:rsidR="006D4CD4" w:rsidRDefault="006D4CD4"/>
                      </w:tc>
                      <w:tc>
                        <w:tcPr>
                          <w:tcW w:w="5400" w:type="dxa"/>
                        </w:tcPr>
                        <w:p w14:paraId="3ABAB22B" w14:textId="77777777" w:rsidR="006D4CD4" w:rsidRDefault="006D4CD4"/>
                      </w:tc>
                    </w:tr>
                    <w:tr w:rsidR="006D4CD4" w14:paraId="120EA0FE" w14:textId="77777777">
                      <w:trPr>
                        <w:trHeight w:val="240"/>
                      </w:trPr>
                      <w:tc>
                        <w:tcPr>
                          <w:tcW w:w="1140" w:type="dxa"/>
                        </w:tcPr>
                        <w:p w14:paraId="0C28F9BA" w14:textId="77777777" w:rsidR="006D4CD4" w:rsidRDefault="0060377E">
                          <w:r>
                            <w:t>Datum</w:t>
                          </w:r>
                        </w:p>
                      </w:tc>
                      <w:tc>
                        <w:tcPr>
                          <w:tcW w:w="5400" w:type="dxa"/>
                        </w:tcPr>
                        <w:p w14:paraId="1B010AF9" w14:textId="02C46E16" w:rsidR="006D4CD4" w:rsidRDefault="00DB4B94">
                          <w:r>
                            <w:t xml:space="preserve">1 </w:t>
                          </w:r>
                          <w:r w:rsidR="00140F12">
                            <w:t>april 2026</w:t>
                          </w:r>
                        </w:p>
                      </w:tc>
                    </w:tr>
                    <w:tr w:rsidR="006D4CD4" w14:paraId="406983E3" w14:textId="77777777">
                      <w:trPr>
                        <w:trHeight w:val="240"/>
                      </w:trPr>
                      <w:tc>
                        <w:tcPr>
                          <w:tcW w:w="1140" w:type="dxa"/>
                        </w:tcPr>
                        <w:p w14:paraId="5642DC08" w14:textId="77777777" w:rsidR="006D4CD4" w:rsidRDefault="0060377E">
                          <w:r>
                            <w:t>Betreft</w:t>
                          </w:r>
                        </w:p>
                      </w:tc>
                      <w:tc>
                        <w:tcPr>
                          <w:tcW w:w="5400" w:type="dxa"/>
                        </w:tcPr>
                        <w:p w14:paraId="5DFFFBBE" w14:textId="5572A0D2" w:rsidR="006D4CD4" w:rsidRDefault="0060377E">
                          <w:r>
                            <w:t xml:space="preserve">Beantwoording Kamervragen inzake het vonnis van de Raad van State op </w:t>
                          </w:r>
                          <w:r w:rsidR="00D76EEA">
                            <w:t xml:space="preserve">versnelde wijziging </w:t>
                          </w:r>
                          <w:r>
                            <w:t>LVB Schiphol</w:t>
                          </w:r>
                        </w:p>
                      </w:tc>
                    </w:tr>
                    <w:tr w:rsidR="006D4CD4" w14:paraId="43E4E264" w14:textId="77777777">
                      <w:trPr>
                        <w:trHeight w:val="200"/>
                      </w:trPr>
                      <w:tc>
                        <w:tcPr>
                          <w:tcW w:w="1140" w:type="dxa"/>
                        </w:tcPr>
                        <w:p w14:paraId="2AF56978" w14:textId="77777777" w:rsidR="006D4CD4" w:rsidRDefault="006D4CD4"/>
                      </w:tc>
                      <w:tc>
                        <w:tcPr>
                          <w:tcW w:w="5400" w:type="dxa"/>
                        </w:tcPr>
                        <w:p w14:paraId="23DBD771" w14:textId="77777777" w:rsidR="006D4CD4" w:rsidRDefault="006D4CD4"/>
                      </w:tc>
                    </w:tr>
                  </w:tbl>
                  <w:p w14:paraId="3ECDF616" w14:textId="77777777" w:rsidR="00285288" w:rsidRDefault="0028528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41CDF16" wp14:editId="52A7208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A58B00" w14:textId="77777777" w:rsidR="00285288" w:rsidRDefault="00285288"/>
                      </w:txbxContent>
                    </wps:txbx>
                    <wps:bodyPr vert="horz" wrap="square" lIns="0" tIns="0" rIns="0" bIns="0" anchor="t" anchorCtr="0"/>
                  </wps:wsp>
                </a:graphicData>
              </a:graphic>
            </wp:anchor>
          </w:drawing>
        </mc:Choice>
        <mc:Fallback>
          <w:pict>
            <v:shape w14:anchorId="341CDF1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EA58B00" w14:textId="77777777" w:rsidR="00285288" w:rsidRDefault="0028528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2C4BC9"/>
    <w:multiLevelType w:val="multilevel"/>
    <w:tmpl w:val="C22F66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F3D8E8E"/>
    <w:multiLevelType w:val="multilevel"/>
    <w:tmpl w:val="3A89635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42A7B0"/>
    <w:multiLevelType w:val="multilevel"/>
    <w:tmpl w:val="10FFDC3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53D563"/>
    <w:multiLevelType w:val="multilevel"/>
    <w:tmpl w:val="1ABBD28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7D3777"/>
    <w:multiLevelType w:val="multilevel"/>
    <w:tmpl w:val="931441A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99BA543"/>
    <w:multiLevelType w:val="multilevel"/>
    <w:tmpl w:val="6B6651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AA9329"/>
    <w:multiLevelType w:val="multilevel"/>
    <w:tmpl w:val="D845FB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AAC603"/>
    <w:multiLevelType w:val="multilevel"/>
    <w:tmpl w:val="2B902A8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C987FA"/>
    <w:multiLevelType w:val="multilevel"/>
    <w:tmpl w:val="17C7229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5F4778"/>
    <w:multiLevelType w:val="multilevel"/>
    <w:tmpl w:val="E0B7848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F7A492"/>
    <w:multiLevelType w:val="multilevel"/>
    <w:tmpl w:val="23AA66B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6D38F6"/>
    <w:multiLevelType w:val="multilevel"/>
    <w:tmpl w:val="0511725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57360D"/>
    <w:multiLevelType w:val="multilevel"/>
    <w:tmpl w:val="267C636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99081D"/>
    <w:multiLevelType w:val="multilevel"/>
    <w:tmpl w:val="1C3517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095E0631"/>
    <w:multiLevelType w:val="multilevel"/>
    <w:tmpl w:val="9C5EE57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7CBDCD"/>
    <w:multiLevelType w:val="multilevel"/>
    <w:tmpl w:val="72078B9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EC9D8D"/>
    <w:multiLevelType w:val="multilevel"/>
    <w:tmpl w:val="06FE2E3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9312B"/>
    <w:multiLevelType w:val="multilevel"/>
    <w:tmpl w:val="9CDA119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69549B"/>
    <w:multiLevelType w:val="multilevel"/>
    <w:tmpl w:val="61D3894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2B1184"/>
    <w:multiLevelType w:val="hybridMultilevel"/>
    <w:tmpl w:val="59AA6B1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59B59BD"/>
    <w:multiLevelType w:val="hybridMultilevel"/>
    <w:tmpl w:val="052A5440"/>
    <w:lvl w:ilvl="0" w:tplc="7D2468D2">
      <w:start w:val="1"/>
      <w:numFmt w:val="decimal"/>
      <w:lvlText w:val="%1."/>
      <w:lvlJc w:val="left"/>
      <w:pPr>
        <w:ind w:left="720" w:hanging="360"/>
      </w:pPr>
    </w:lvl>
    <w:lvl w:ilvl="1" w:tplc="AEC65726">
      <w:start w:val="1"/>
      <w:numFmt w:val="lowerLetter"/>
      <w:lvlText w:val="%2."/>
      <w:lvlJc w:val="left"/>
      <w:pPr>
        <w:ind w:left="1440" w:hanging="360"/>
      </w:pPr>
    </w:lvl>
    <w:lvl w:ilvl="2" w:tplc="D4344F3E">
      <w:start w:val="1"/>
      <w:numFmt w:val="lowerRoman"/>
      <w:lvlText w:val="%3."/>
      <w:lvlJc w:val="right"/>
      <w:pPr>
        <w:ind w:left="2160" w:hanging="180"/>
      </w:pPr>
    </w:lvl>
    <w:lvl w:ilvl="3" w:tplc="4F443714">
      <w:start w:val="1"/>
      <w:numFmt w:val="decimal"/>
      <w:lvlText w:val="%4."/>
      <w:lvlJc w:val="left"/>
      <w:pPr>
        <w:ind w:left="2880" w:hanging="360"/>
      </w:pPr>
    </w:lvl>
    <w:lvl w:ilvl="4" w:tplc="4426DE22">
      <w:start w:val="1"/>
      <w:numFmt w:val="lowerLetter"/>
      <w:lvlText w:val="%5."/>
      <w:lvlJc w:val="left"/>
      <w:pPr>
        <w:ind w:left="3600" w:hanging="360"/>
      </w:pPr>
    </w:lvl>
    <w:lvl w:ilvl="5" w:tplc="69AAF870">
      <w:start w:val="1"/>
      <w:numFmt w:val="lowerRoman"/>
      <w:lvlText w:val="%6."/>
      <w:lvlJc w:val="right"/>
      <w:pPr>
        <w:ind w:left="4320" w:hanging="180"/>
      </w:pPr>
    </w:lvl>
    <w:lvl w:ilvl="6" w:tplc="699E5A58">
      <w:start w:val="1"/>
      <w:numFmt w:val="decimal"/>
      <w:lvlText w:val="%7."/>
      <w:lvlJc w:val="left"/>
      <w:pPr>
        <w:ind w:left="5040" w:hanging="360"/>
      </w:pPr>
    </w:lvl>
    <w:lvl w:ilvl="7" w:tplc="5CBAAB34">
      <w:start w:val="1"/>
      <w:numFmt w:val="lowerLetter"/>
      <w:lvlText w:val="%8."/>
      <w:lvlJc w:val="left"/>
      <w:pPr>
        <w:ind w:left="5760" w:hanging="360"/>
      </w:pPr>
    </w:lvl>
    <w:lvl w:ilvl="8" w:tplc="80663CC2">
      <w:start w:val="1"/>
      <w:numFmt w:val="lowerRoman"/>
      <w:lvlText w:val="%9."/>
      <w:lvlJc w:val="right"/>
      <w:pPr>
        <w:ind w:left="6480" w:hanging="180"/>
      </w:pPr>
    </w:lvl>
  </w:abstractNum>
  <w:abstractNum w:abstractNumId="21" w15:restartNumberingAfterBreak="0">
    <w:nsid w:val="57D26662"/>
    <w:multiLevelType w:val="multilevel"/>
    <w:tmpl w:val="8A54E1B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96CF6E"/>
    <w:multiLevelType w:val="multilevel"/>
    <w:tmpl w:val="5E160F7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50E73E"/>
    <w:multiLevelType w:val="multilevel"/>
    <w:tmpl w:val="7A2EA6F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7000AA"/>
    <w:multiLevelType w:val="multilevel"/>
    <w:tmpl w:val="EE3524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
  </w:num>
  <w:num w:numId="3">
    <w:abstractNumId w:val="12"/>
  </w:num>
  <w:num w:numId="4">
    <w:abstractNumId w:val="1"/>
  </w:num>
  <w:num w:numId="5">
    <w:abstractNumId w:val="0"/>
  </w:num>
  <w:num w:numId="6">
    <w:abstractNumId w:val="11"/>
  </w:num>
  <w:num w:numId="7">
    <w:abstractNumId w:val="3"/>
  </w:num>
  <w:num w:numId="8">
    <w:abstractNumId w:val="10"/>
  </w:num>
  <w:num w:numId="9">
    <w:abstractNumId w:val="7"/>
  </w:num>
  <w:num w:numId="10">
    <w:abstractNumId w:val="22"/>
  </w:num>
  <w:num w:numId="11">
    <w:abstractNumId w:val="18"/>
  </w:num>
  <w:num w:numId="12">
    <w:abstractNumId w:val="13"/>
  </w:num>
  <w:num w:numId="13">
    <w:abstractNumId w:val="6"/>
  </w:num>
  <w:num w:numId="14">
    <w:abstractNumId w:val="9"/>
  </w:num>
  <w:num w:numId="15">
    <w:abstractNumId w:val="5"/>
  </w:num>
  <w:num w:numId="16">
    <w:abstractNumId w:val="23"/>
  </w:num>
  <w:num w:numId="17">
    <w:abstractNumId w:val="17"/>
  </w:num>
  <w:num w:numId="18">
    <w:abstractNumId w:val="16"/>
  </w:num>
  <w:num w:numId="19">
    <w:abstractNumId w:val="14"/>
  </w:num>
  <w:num w:numId="20">
    <w:abstractNumId w:val="4"/>
  </w:num>
  <w:num w:numId="21">
    <w:abstractNumId w:val="24"/>
  </w:num>
  <w:num w:numId="22">
    <w:abstractNumId w:val="8"/>
  </w:num>
  <w:num w:numId="23">
    <w:abstractNumId w:val="2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42"/>
    <w:rsid w:val="0000095D"/>
    <w:rsid w:val="00003B88"/>
    <w:rsid w:val="00042A3D"/>
    <w:rsid w:val="00074B81"/>
    <w:rsid w:val="00084727"/>
    <w:rsid w:val="00092A9C"/>
    <w:rsid w:val="000B0C07"/>
    <w:rsid w:val="00140F12"/>
    <w:rsid w:val="00166749"/>
    <w:rsid w:val="00175007"/>
    <w:rsid w:val="001B682E"/>
    <w:rsid w:val="001C724F"/>
    <w:rsid w:val="001D0693"/>
    <w:rsid w:val="001D582F"/>
    <w:rsid w:val="001F5FF0"/>
    <w:rsid w:val="0023372D"/>
    <w:rsid w:val="00237E30"/>
    <w:rsid w:val="002504C8"/>
    <w:rsid w:val="0025102E"/>
    <w:rsid w:val="00253F82"/>
    <w:rsid w:val="00272343"/>
    <w:rsid w:val="00285288"/>
    <w:rsid w:val="002911FB"/>
    <w:rsid w:val="002B46AA"/>
    <w:rsid w:val="00312BB2"/>
    <w:rsid w:val="00317750"/>
    <w:rsid w:val="0032135F"/>
    <w:rsid w:val="0035221F"/>
    <w:rsid w:val="003733FF"/>
    <w:rsid w:val="00384E52"/>
    <w:rsid w:val="003946DC"/>
    <w:rsid w:val="00404964"/>
    <w:rsid w:val="00447C25"/>
    <w:rsid w:val="004C07F5"/>
    <w:rsid w:val="004F3B44"/>
    <w:rsid w:val="004F4AED"/>
    <w:rsid w:val="00525D12"/>
    <w:rsid w:val="0053582E"/>
    <w:rsid w:val="00577C07"/>
    <w:rsid w:val="00585033"/>
    <w:rsid w:val="005E7084"/>
    <w:rsid w:val="005F1769"/>
    <w:rsid w:val="0060377E"/>
    <w:rsid w:val="00614020"/>
    <w:rsid w:val="00622CBD"/>
    <w:rsid w:val="00634332"/>
    <w:rsid w:val="006B0979"/>
    <w:rsid w:val="006B437E"/>
    <w:rsid w:val="006C7FD5"/>
    <w:rsid w:val="006D03CF"/>
    <w:rsid w:val="006D4CD4"/>
    <w:rsid w:val="00706ABD"/>
    <w:rsid w:val="007410DC"/>
    <w:rsid w:val="00743C49"/>
    <w:rsid w:val="007723D2"/>
    <w:rsid w:val="00782043"/>
    <w:rsid w:val="0078763D"/>
    <w:rsid w:val="007C73FE"/>
    <w:rsid w:val="007D17E6"/>
    <w:rsid w:val="007F7FCA"/>
    <w:rsid w:val="008334B5"/>
    <w:rsid w:val="0085044A"/>
    <w:rsid w:val="0086522D"/>
    <w:rsid w:val="0089375B"/>
    <w:rsid w:val="008C2631"/>
    <w:rsid w:val="008E6640"/>
    <w:rsid w:val="0090577D"/>
    <w:rsid w:val="0093599D"/>
    <w:rsid w:val="0094062A"/>
    <w:rsid w:val="009B5D2A"/>
    <w:rsid w:val="009C3698"/>
    <w:rsid w:val="009D30BE"/>
    <w:rsid w:val="00A17197"/>
    <w:rsid w:val="00A30608"/>
    <w:rsid w:val="00AA35C2"/>
    <w:rsid w:val="00AA4BB2"/>
    <w:rsid w:val="00AA75AF"/>
    <w:rsid w:val="00AF44C0"/>
    <w:rsid w:val="00AF73A7"/>
    <w:rsid w:val="00B44369"/>
    <w:rsid w:val="00B50381"/>
    <w:rsid w:val="00B56548"/>
    <w:rsid w:val="00B823EE"/>
    <w:rsid w:val="00B90642"/>
    <w:rsid w:val="00BA07A2"/>
    <w:rsid w:val="00BA4FCB"/>
    <w:rsid w:val="00BC5467"/>
    <w:rsid w:val="00BD5F8A"/>
    <w:rsid w:val="00C05E63"/>
    <w:rsid w:val="00C21D99"/>
    <w:rsid w:val="00C8240B"/>
    <w:rsid w:val="00C87729"/>
    <w:rsid w:val="00C950B5"/>
    <w:rsid w:val="00CA40FE"/>
    <w:rsid w:val="00CC4C7D"/>
    <w:rsid w:val="00CC508E"/>
    <w:rsid w:val="00D05E67"/>
    <w:rsid w:val="00D1799D"/>
    <w:rsid w:val="00D62987"/>
    <w:rsid w:val="00D76EEA"/>
    <w:rsid w:val="00D8175E"/>
    <w:rsid w:val="00DA6EE0"/>
    <w:rsid w:val="00DB4B94"/>
    <w:rsid w:val="00DD2361"/>
    <w:rsid w:val="00E1759F"/>
    <w:rsid w:val="00EB307A"/>
    <w:rsid w:val="00EB7D3F"/>
    <w:rsid w:val="00ED6283"/>
    <w:rsid w:val="00ED7FC4"/>
    <w:rsid w:val="00F839D7"/>
    <w:rsid w:val="00F950F9"/>
    <w:rsid w:val="00FD0DE7"/>
    <w:rsid w:val="00FD7068"/>
    <w:rsid w:val="00FE0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4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9"/>
    <w:semiHidden/>
    <w:rsid w:val="007C73FE"/>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90642"/>
    <w:pPr>
      <w:tabs>
        <w:tab w:val="center" w:pos="4536"/>
        <w:tab w:val="right" w:pos="9072"/>
      </w:tabs>
      <w:spacing w:line="240" w:lineRule="auto"/>
    </w:pPr>
  </w:style>
  <w:style w:type="character" w:customStyle="1" w:styleId="HeaderChar">
    <w:name w:val="Header Char"/>
    <w:basedOn w:val="DefaultParagraphFont"/>
    <w:link w:val="Header"/>
    <w:uiPriority w:val="99"/>
    <w:rsid w:val="00B90642"/>
    <w:rPr>
      <w:rFonts w:ascii="Verdana" w:hAnsi="Verdana"/>
      <w:color w:val="000000"/>
      <w:sz w:val="18"/>
      <w:szCs w:val="18"/>
    </w:rPr>
  </w:style>
  <w:style w:type="paragraph" w:styleId="Footer">
    <w:name w:val="footer"/>
    <w:basedOn w:val="Normal"/>
    <w:link w:val="FooterChar"/>
    <w:uiPriority w:val="99"/>
    <w:unhideWhenUsed/>
    <w:rsid w:val="00B90642"/>
    <w:pPr>
      <w:tabs>
        <w:tab w:val="center" w:pos="4536"/>
        <w:tab w:val="right" w:pos="9072"/>
      </w:tabs>
      <w:spacing w:line="240" w:lineRule="auto"/>
    </w:pPr>
  </w:style>
  <w:style w:type="character" w:customStyle="1" w:styleId="FooterChar">
    <w:name w:val="Footer Char"/>
    <w:basedOn w:val="DefaultParagraphFont"/>
    <w:link w:val="Footer"/>
    <w:uiPriority w:val="99"/>
    <w:rsid w:val="00B90642"/>
    <w:rPr>
      <w:rFonts w:ascii="Verdana" w:hAnsi="Verdana"/>
      <w:color w:val="000000"/>
      <w:sz w:val="18"/>
      <w:szCs w:val="18"/>
    </w:rPr>
  </w:style>
  <w:style w:type="paragraph" w:styleId="ListParagraph">
    <w:name w:val="List Paragraph"/>
    <w:basedOn w:val="Normal"/>
    <w:uiPriority w:val="34"/>
    <w:qFormat/>
    <w:rsid w:val="002911FB"/>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paragraph" w:styleId="FootnoteText">
    <w:name w:val="footnote text"/>
    <w:basedOn w:val="Normal"/>
    <w:link w:val="FootnoteTextChar"/>
    <w:uiPriority w:val="99"/>
    <w:semiHidden/>
    <w:unhideWhenUsed/>
    <w:rsid w:val="002911FB"/>
    <w:pPr>
      <w:spacing w:line="240" w:lineRule="auto"/>
    </w:pPr>
    <w:rPr>
      <w:sz w:val="20"/>
      <w:szCs w:val="20"/>
    </w:rPr>
  </w:style>
  <w:style w:type="character" w:customStyle="1" w:styleId="FootnoteTextChar">
    <w:name w:val="Footnote Text Char"/>
    <w:basedOn w:val="DefaultParagraphFont"/>
    <w:link w:val="FootnoteText"/>
    <w:uiPriority w:val="99"/>
    <w:semiHidden/>
    <w:rsid w:val="002911FB"/>
    <w:rPr>
      <w:rFonts w:ascii="Verdana" w:hAnsi="Verdana"/>
      <w:color w:val="000000"/>
    </w:rPr>
  </w:style>
  <w:style w:type="character" w:styleId="FootnoteReference">
    <w:name w:val="footnote reference"/>
    <w:basedOn w:val="DefaultParagraphFont"/>
    <w:uiPriority w:val="99"/>
    <w:semiHidden/>
    <w:unhideWhenUsed/>
    <w:rsid w:val="002911FB"/>
    <w:rPr>
      <w:vertAlign w:val="superscript"/>
    </w:rPr>
  </w:style>
  <w:style w:type="character" w:customStyle="1" w:styleId="UnresolvedMention">
    <w:name w:val="Unresolved Mention"/>
    <w:basedOn w:val="DefaultParagraphFont"/>
    <w:uiPriority w:val="99"/>
    <w:semiHidden/>
    <w:unhideWhenUsed/>
    <w:rsid w:val="002911FB"/>
    <w:rPr>
      <w:color w:val="605E5C"/>
      <w:shd w:val="clear" w:color="auto" w:fill="E1DFDD"/>
    </w:rPr>
  </w:style>
  <w:style w:type="paragraph" w:styleId="Revision">
    <w:name w:val="Revision"/>
    <w:hidden/>
    <w:uiPriority w:val="99"/>
    <w:semiHidden/>
    <w:rsid w:val="0085044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5044A"/>
    <w:rPr>
      <w:sz w:val="16"/>
      <w:szCs w:val="16"/>
    </w:rPr>
  </w:style>
  <w:style w:type="paragraph" w:styleId="CommentText">
    <w:name w:val="annotation text"/>
    <w:basedOn w:val="Normal"/>
    <w:link w:val="CommentTextChar"/>
    <w:uiPriority w:val="99"/>
    <w:unhideWhenUsed/>
    <w:rsid w:val="0085044A"/>
    <w:pPr>
      <w:spacing w:line="240" w:lineRule="auto"/>
    </w:pPr>
    <w:rPr>
      <w:sz w:val="20"/>
      <w:szCs w:val="20"/>
    </w:rPr>
  </w:style>
  <w:style w:type="character" w:customStyle="1" w:styleId="CommentTextChar">
    <w:name w:val="Comment Text Char"/>
    <w:basedOn w:val="DefaultParagraphFont"/>
    <w:link w:val="CommentText"/>
    <w:uiPriority w:val="99"/>
    <w:rsid w:val="0085044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5044A"/>
    <w:rPr>
      <w:b/>
      <w:bCs/>
    </w:rPr>
  </w:style>
  <w:style w:type="character" w:customStyle="1" w:styleId="CommentSubjectChar">
    <w:name w:val="Comment Subject Char"/>
    <w:basedOn w:val="CommentTextChar"/>
    <w:link w:val="CommentSubject"/>
    <w:uiPriority w:val="99"/>
    <w:semiHidden/>
    <w:rsid w:val="0085044A"/>
    <w:rPr>
      <w:rFonts w:ascii="Verdana" w:hAnsi="Verdana"/>
      <w:b/>
      <w:bCs/>
      <w:color w:val="000000"/>
    </w:rPr>
  </w:style>
  <w:style w:type="character" w:customStyle="1" w:styleId="Heading2Char">
    <w:name w:val="Heading 2 Char"/>
    <w:basedOn w:val="DefaultParagraphFont"/>
    <w:link w:val="Heading2"/>
    <w:uiPriority w:val="9"/>
    <w:semiHidden/>
    <w:rsid w:val="007C73F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8814">
      <w:bodyDiv w:val="1"/>
      <w:marLeft w:val="0"/>
      <w:marRight w:val="0"/>
      <w:marTop w:val="0"/>
      <w:marBottom w:val="0"/>
      <w:divBdr>
        <w:top w:val="none" w:sz="0" w:space="0" w:color="auto"/>
        <w:left w:val="none" w:sz="0" w:space="0" w:color="auto"/>
        <w:bottom w:val="none" w:sz="0" w:space="0" w:color="auto"/>
        <w:right w:val="none" w:sz="0" w:space="0" w:color="auto"/>
      </w:divBdr>
    </w:div>
    <w:div w:id="423260751">
      <w:bodyDiv w:val="1"/>
      <w:marLeft w:val="0"/>
      <w:marRight w:val="0"/>
      <w:marTop w:val="0"/>
      <w:marBottom w:val="0"/>
      <w:divBdr>
        <w:top w:val="none" w:sz="0" w:space="0" w:color="auto"/>
        <w:left w:val="none" w:sz="0" w:space="0" w:color="auto"/>
        <w:bottom w:val="none" w:sz="0" w:space="0" w:color="auto"/>
        <w:right w:val="none" w:sz="0" w:space="0" w:color="auto"/>
      </w:divBdr>
    </w:div>
    <w:div w:id="1018386232">
      <w:bodyDiv w:val="1"/>
      <w:marLeft w:val="0"/>
      <w:marRight w:val="0"/>
      <w:marTop w:val="0"/>
      <w:marBottom w:val="0"/>
      <w:divBdr>
        <w:top w:val="none" w:sz="0" w:space="0" w:color="auto"/>
        <w:left w:val="none" w:sz="0" w:space="0" w:color="auto"/>
        <w:bottom w:val="none" w:sz="0" w:space="0" w:color="auto"/>
        <w:right w:val="none" w:sz="0" w:space="0" w:color="auto"/>
      </w:divBdr>
    </w:div>
    <w:div w:id="1022517801">
      <w:bodyDiv w:val="1"/>
      <w:marLeft w:val="0"/>
      <w:marRight w:val="0"/>
      <w:marTop w:val="0"/>
      <w:marBottom w:val="0"/>
      <w:divBdr>
        <w:top w:val="none" w:sz="0" w:space="0" w:color="auto"/>
        <w:left w:val="none" w:sz="0" w:space="0" w:color="auto"/>
        <w:bottom w:val="none" w:sz="0" w:space="0" w:color="auto"/>
        <w:right w:val="none" w:sz="0" w:space="0" w:color="auto"/>
      </w:divBdr>
    </w:div>
    <w:div w:id="1243416533">
      <w:bodyDiv w:val="1"/>
      <w:marLeft w:val="0"/>
      <w:marRight w:val="0"/>
      <w:marTop w:val="0"/>
      <w:marBottom w:val="0"/>
      <w:divBdr>
        <w:top w:val="none" w:sz="0" w:space="0" w:color="auto"/>
        <w:left w:val="none" w:sz="0" w:space="0" w:color="auto"/>
        <w:bottom w:val="none" w:sz="0" w:space="0" w:color="auto"/>
        <w:right w:val="none" w:sz="0" w:space="0" w:color="auto"/>
      </w:divBdr>
    </w:div>
    <w:div w:id="1336346519">
      <w:bodyDiv w:val="1"/>
      <w:marLeft w:val="0"/>
      <w:marRight w:val="0"/>
      <w:marTop w:val="0"/>
      <w:marBottom w:val="0"/>
      <w:divBdr>
        <w:top w:val="none" w:sz="0" w:space="0" w:color="auto"/>
        <w:left w:val="none" w:sz="0" w:space="0" w:color="auto"/>
        <w:bottom w:val="none" w:sz="0" w:space="0" w:color="auto"/>
        <w:right w:val="none" w:sz="0" w:space="0" w:color="auto"/>
      </w:divBdr>
    </w:div>
    <w:div w:id="1367676282">
      <w:bodyDiv w:val="1"/>
      <w:marLeft w:val="0"/>
      <w:marRight w:val="0"/>
      <w:marTop w:val="0"/>
      <w:marBottom w:val="0"/>
      <w:divBdr>
        <w:top w:val="none" w:sz="0" w:space="0" w:color="auto"/>
        <w:left w:val="none" w:sz="0" w:space="0" w:color="auto"/>
        <w:bottom w:val="none" w:sz="0" w:space="0" w:color="auto"/>
        <w:right w:val="none" w:sz="0" w:space="0" w:color="auto"/>
      </w:divBdr>
    </w:div>
    <w:div w:id="1688946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2371</ap:Words>
  <ap:Characters>13520</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inzake het vonnis van de Raad van State op het tussen-LVB Schiphol</vt:lpstr>
    </vt:vector>
  </ap:TitlesOfParts>
  <ap:LinksUpToDate>false</ap:LinksUpToDate>
  <ap:CharactersWithSpaces>15860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2026-04-01T13:57:00.0000000Z</dcterms:created>
  <dcterms:modified xsi:type="dcterms:W3CDTF">2026-04-01T13:57:00.0000000Z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inzake het vonnis van de Raad van State op het tussen-LVB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