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34AF" w:rsidR="002234AF" w:rsidRDefault="0056689E" w14:paraId="5B7C877F" w14:textId="77777777">
      <w:pPr>
        <w:rPr>
          <w:rFonts w:ascii="Calibri" w:hAnsi="Calibri" w:cs="Calibri"/>
        </w:rPr>
      </w:pPr>
      <w:r w:rsidRPr="002234AF">
        <w:rPr>
          <w:rFonts w:ascii="Calibri" w:hAnsi="Calibri" w:cs="Calibri"/>
        </w:rPr>
        <w:t>29282</w:t>
      </w:r>
      <w:r w:rsidRPr="002234AF" w:rsidR="002234AF">
        <w:rPr>
          <w:rFonts w:ascii="Calibri" w:hAnsi="Calibri" w:cs="Calibri"/>
        </w:rPr>
        <w:tab/>
      </w:r>
      <w:r w:rsidRPr="002234AF" w:rsidR="002234AF">
        <w:rPr>
          <w:rFonts w:ascii="Calibri" w:hAnsi="Calibri" w:cs="Calibri"/>
        </w:rPr>
        <w:tab/>
      </w:r>
      <w:r w:rsidRPr="002234AF" w:rsidR="002234AF">
        <w:rPr>
          <w:rFonts w:ascii="Calibri" w:hAnsi="Calibri" w:cs="Calibri"/>
        </w:rPr>
        <w:tab/>
        <w:t>Arbeidsmarktbeleid en opleidingen zorgsector</w:t>
      </w:r>
    </w:p>
    <w:p w:rsidRPr="002234AF" w:rsidR="00C65BA8" w:rsidP="002234AF" w:rsidRDefault="002234AF" w14:paraId="4F1065BF" w14:textId="05E703DC">
      <w:pPr>
        <w:suppressAutoHyphens/>
        <w:ind w:left="2124" w:hanging="2124"/>
        <w:rPr>
          <w:rFonts w:ascii="Calibri" w:hAnsi="Calibri" w:cs="Calibri"/>
        </w:rPr>
      </w:pPr>
      <w:r w:rsidRPr="002234AF">
        <w:rPr>
          <w:rFonts w:ascii="Calibri" w:hAnsi="Calibri" w:cs="Calibri"/>
        </w:rPr>
        <w:t xml:space="preserve">Nr. </w:t>
      </w:r>
      <w:r w:rsidRPr="002234AF">
        <w:rPr>
          <w:rFonts w:ascii="Calibri" w:hAnsi="Calibri" w:cs="Calibri"/>
        </w:rPr>
        <w:t xml:space="preserve">624 </w:t>
      </w:r>
      <w:r w:rsidRPr="002234AF" w:rsidR="00E35A24">
        <w:rPr>
          <w:rFonts w:ascii="Calibri" w:hAnsi="Calibri" w:cs="Calibri"/>
        </w:rPr>
        <w:t xml:space="preserve"> </w:t>
      </w:r>
      <w:r w:rsidRPr="002234AF">
        <w:rPr>
          <w:rFonts w:ascii="Calibri" w:hAnsi="Calibri" w:cs="Calibri"/>
        </w:rPr>
        <w:tab/>
        <w:t xml:space="preserve">Brief van de </w:t>
      </w:r>
      <w:r w:rsidRPr="002234AF">
        <w:rPr>
          <w:rFonts w:ascii="Calibri" w:hAnsi="Calibri" w:cs="Calibri"/>
          <w:color w:val="000000"/>
        </w:rPr>
        <w:t>minister van Langdurige Zorg, Jeugd en Sport</w:t>
      </w:r>
    </w:p>
    <w:p w:rsidRPr="002234AF" w:rsidR="00C65BA8" w:rsidP="00C65BA8" w:rsidRDefault="002234AF" w14:paraId="1201B52C" w14:textId="53C4B059">
      <w:pPr>
        <w:suppressAutoHyphens/>
        <w:rPr>
          <w:rFonts w:ascii="Calibri" w:hAnsi="Calibri" w:cs="Calibri"/>
        </w:rPr>
      </w:pPr>
      <w:r w:rsidRPr="002234AF">
        <w:rPr>
          <w:rFonts w:ascii="Calibri" w:hAnsi="Calibri" w:cs="Calibri"/>
        </w:rPr>
        <w:t>Aan de Voorzitter van de Tweede Kamer der Staten-Generaal</w:t>
      </w:r>
    </w:p>
    <w:p w:rsidRPr="002234AF" w:rsidR="002234AF" w:rsidP="00C65BA8" w:rsidRDefault="002234AF" w14:paraId="23205DA2" w14:textId="71499066">
      <w:pPr>
        <w:suppressAutoHyphens/>
        <w:rPr>
          <w:rFonts w:ascii="Calibri" w:hAnsi="Calibri" w:cs="Calibri"/>
        </w:rPr>
      </w:pPr>
      <w:r w:rsidRPr="002234AF">
        <w:rPr>
          <w:rFonts w:ascii="Calibri" w:hAnsi="Calibri" w:cs="Calibri"/>
        </w:rPr>
        <w:t>Den Haag, 2 april 2026</w:t>
      </w:r>
    </w:p>
    <w:p w:rsidRPr="002234AF" w:rsidR="002234AF" w:rsidP="00C65BA8" w:rsidRDefault="002234AF" w14:paraId="50B35F51" w14:textId="77777777">
      <w:pPr>
        <w:suppressAutoHyphens/>
        <w:rPr>
          <w:rFonts w:ascii="Calibri" w:hAnsi="Calibri" w:cs="Calibri"/>
        </w:rPr>
      </w:pPr>
    </w:p>
    <w:p w:rsidRPr="002234AF" w:rsidR="00C65BA8" w:rsidP="00C65BA8" w:rsidRDefault="00C65BA8" w14:paraId="431C4068" w14:textId="77777777">
      <w:pPr>
        <w:suppressAutoHyphens/>
        <w:rPr>
          <w:rFonts w:ascii="Calibri" w:hAnsi="Calibri" w:cs="Calibri"/>
        </w:rPr>
      </w:pPr>
      <w:r w:rsidRPr="002234AF">
        <w:rPr>
          <w:rFonts w:ascii="Calibri" w:hAnsi="Calibri" w:cs="Calibri"/>
        </w:rPr>
        <w:t>Middels deze voorhangbrief informeer ik u, conform artikel 8 van de Wet marktordening gezondheidszorg (</w:t>
      </w:r>
      <w:proofErr w:type="spellStart"/>
      <w:r w:rsidRPr="002234AF">
        <w:rPr>
          <w:rFonts w:ascii="Calibri" w:hAnsi="Calibri" w:cs="Calibri"/>
        </w:rPr>
        <w:t>Wmg</w:t>
      </w:r>
      <w:proofErr w:type="spellEnd"/>
      <w:r w:rsidRPr="002234AF">
        <w:rPr>
          <w:rFonts w:ascii="Calibri" w:hAnsi="Calibri" w:cs="Calibri"/>
        </w:rPr>
        <w:t>), over mijn voornemen om een aanwijzing aan de Nederlandse Zorgautoriteit (</w:t>
      </w:r>
      <w:proofErr w:type="spellStart"/>
      <w:r w:rsidRPr="002234AF">
        <w:rPr>
          <w:rFonts w:ascii="Calibri" w:hAnsi="Calibri" w:cs="Calibri"/>
        </w:rPr>
        <w:t>NZa</w:t>
      </w:r>
      <w:proofErr w:type="spellEnd"/>
      <w:r w:rsidRPr="002234AF">
        <w:rPr>
          <w:rFonts w:ascii="Calibri" w:hAnsi="Calibri" w:cs="Calibri"/>
        </w:rPr>
        <w:t xml:space="preserve">) te geven op grond van artikel 7 van de </w:t>
      </w:r>
      <w:proofErr w:type="spellStart"/>
      <w:r w:rsidRPr="002234AF">
        <w:rPr>
          <w:rFonts w:ascii="Calibri" w:hAnsi="Calibri" w:cs="Calibri"/>
        </w:rPr>
        <w:t>Wmg</w:t>
      </w:r>
      <w:proofErr w:type="spellEnd"/>
      <w:r w:rsidRPr="002234AF">
        <w:rPr>
          <w:rFonts w:ascii="Calibri" w:hAnsi="Calibri" w:cs="Calibri"/>
        </w:rPr>
        <w:t xml:space="preserve">. Deze aanwijzing is bedoeld om de grondslag te herstellen voor het vaststellen van de </w:t>
      </w:r>
      <w:proofErr w:type="spellStart"/>
      <w:r w:rsidRPr="002234AF">
        <w:rPr>
          <w:rFonts w:ascii="Calibri" w:hAnsi="Calibri" w:cs="Calibri"/>
        </w:rPr>
        <w:t>beschikbaarheidbijdrage</w:t>
      </w:r>
      <w:proofErr w:type="spellEnd"/>
      <w:r w:rsidRPr="002234AF">
        <w:rPr>
          <w:rFonts w:ascii="Calibri" w:hAnsi="Calibri" w:cs="Calibri"/>
        </w:rPr>
        <w:t xml:space="preserve"> voor (medische) vervolgopleidingen voor de jaren 2024 en 2025. Ik zal niet eerder overgaan tot het geven van deze aanwijzing dan nadat dertig dagen zijn verstreken na de verzending van deze brief. Van de vaststelling van de aanwijzing zal ik mededeling doen door plaatsing in de Staatscourant.</w:t>
      </w:r>
    </w:p>
    <w:p w:rsidRPr="002234AF" w:rsidR="00C65BA8" w:rsidP="00C65BA8" w:rsidRDefault="00C65BA8" w14:paraId="76CEF60C" w14:textId="77777777">
      <w:pPr>
        <w:suppressAutoHyphens/>
        <w:rPr>
          <w:rFonts w:ascii="Calibri" w:hAnsi="Calibri" w:cs="Calibri"/>
        </w:rPr>
      </w:pPr>
      <w:r w:rsidRPr="002234AF">
        <w:rPr>
          <w:rFonts w:ascii="Calibri" w:hAnsi="Calibri" w:cs="Calibri"/>
        </w:rPr>
        <w:t>In deze brief zal ik eerst een korte toelichting geven op de aanleiding en de noodzaak van deze aanwijzing met terugwerkende kracht voor de jaren 2024 en 2025. In het laatste deel van deze brief treft u de zakelijke inhoud van de voorgenomen aanwijzing.</w:t>
      </w:r>
    </w:p>
    <w:p w:rsidRPr="002234AF" w:rsidR="00C65BA8" w:rsidP="00C65BA8" w:rsidRDefault="00C65BA8" w14:paraId="3D892346" w14:textId="77777777">
      <w:pPr>
        <w:suppressAutoHyphens/>
        <w:rPr>
          <w:rFonts w:ascii="Calibri" w:hAnsi="Calibri" w:cs="Calibri"/>
          <w:b/>
          <w:bCs/>
        </w:rPr>
      </w:pPr>
      <w:r w:rsidRPr="002234AF">
        <w:rPr>
          <w:rFonts w:ascii="Calibri" w:hAnsi="Calibri" w:cs="Calibri"/>
          <w:b/>
          <w:bCs/>
        </w:rPr>
        <w:t>Aanleiding</w:t>
      </w:r>
    </w:p>
    <w:p w:rsidRPr="002234AF" w:rsidR="00C65BA8" w:rsidP="00C65BA8" w:rsidRDefault="00C65BA8" w14:paraId="511B0115" w14:textId="77777777">
      <w:pPr>
        <w:suppressAutoHyphens/>
        <w:rPr>
          <w:rFonts w:ascii="Calibri" w:hAnsi="Calibri" w:cs="Calibri"/>
        </w:rPr>
      </w:pPr>
      <w:r w:rsidRPr="002234AF">
        <w:rPr>
          <w:rFonts w:ascii="Calibri" w:hAnsi="Calibri" w:cs="Calibri"/>
        </w:rPr>
        <w:t>Op 14 oktober 2025 heeft het College van Beroep voor het bedrijfsleven (</w:t>
      </w:r>
      <w:proofErr w:type="spellStart"/>
      <w:r w:rsidRPr="002234AF">
        <w:rPr>
          <w:rFonts w:ascii="Calibri" w:hAnsi="Calibri" w:cs="Calibri"/>
        </w:rPr>
        <w:t>CBb</w:t>
      </w:r>
      <w:proofErr w:type="spellEnd"/>
      <w:r w:rsidRPr="002234AF">
        <w:rPr>
          <w:rFonts w:ascii="Calibri" w:hAnsi="Calibri" w:cs="Calibri"/>
        </w:rPr>
        <w:t>) uitspraak gedaan in de zaak van de Onderwijs- en Opleidingsregio Noordwest Nederland tegen de minister van VWS (minister) over de verdeelplannen 2024 en 2025.</w:t>
      </w:r>
      <w:r w:rsidRPr="002234AF">
        <w:rPr>
          <w:rStyle w:val="Voetnootmarkering"/>
          <w:rFonts w:ascii="Calibri" w:hAnsi="Calibri" w:cs="Calibri"/>
        </w:rPr>
        <w:footnoteReference w:id="1"/>
      </w:r>
      <w:r w:rsidRPr="002234AF">
        <w:rPr>
          <w:rFonts w:ascii="Calibri" w:hAnsi="Calibri" w:cs="Calibri"/>
        </w:rPr>
        <w:t xml:space="preserve"> In deze uitspraak heeft het </w:t>
      </w:r>
      <w:proofErr w:type="spellStart"/>
      <w:r w:rsidRPr="002234AF">
        <w:rPr>
          <w:rFonts w:ascii="Calibri" w:hAnsi="Calibri" w:cs="Calibri"/>
        </w:rPr>
        <w:t>CBb</w:t>
      </w:r>
      <w:proofErr w:type="spellEnd"/>
      <w:r w:rsidRPr="002234AF">
        <w:rPr>
          <w:rFonts w:ascii="Calibri" w:hAnsi="Calibri" w:cs="Calibri"/>
        </w:rPr>
        <w:t xml:space="preserve"> alle toekenningsbeschikkingen voor 2024 en 2025 herroepen, waarmee de voor </w:t>
      </w:r>
      <w:proofErr w:type="spellStart"/>
      <w:r w:rsidRPr="002234AF">
        <w:rPr>
          <w:rFonts w:ascii="Calibri" w:hAnsi="Calibri" w:cs="Calibri"/>
        </w:rPr>
        <w:t>beschikbaarheidbijdragen</w:t>
      </w:r>
      <w:proofErr w:type="spellEnd"/>
      <w:r w:rsidRPr="002234AF">
        <w:rPr>
          <w:rFonts w:ascii="Calibri" w:hAnsi="Calibri" w:cs="Calibri"/>
        </w:rPr>
        <w:t xml:space="preserve"> in aanmerking komende instroomplaatsen voor die jaren zijn verdeeld, als bedoeld in onderdeel D van de bijlage bij het Besluit </w:t>
      </w:r>
      <w:proofErr w:type="spellStart"/>
      <w:r w:rsidRPr="002234AF">
        <w:rPr>
          <w:rFonts w:ascii="Calibri" w:hAnsi="Calibri" w:cs="Calibri"/>
        </w:rPr>
        <w:t>beschikbaarheidbijdrage</w:t>
      </w:r>
      <w:proofErr w:type="spellEnd"/>
      <w:r w:rsidRPr="002234AF">
        <w:rPr>
          <w:rFonts w:ascii="Calibri" w:hAnsi="Calibri" w:cs="Calibri"/>
        </w:rPr>
        <w:t xml:space="preserve"> WMG.</w:t>
      </w:r>
    </w:p>
    <w:p w:rsidRPr="002234AF" w:rsidR="00C65BA8" w:rsidP="00C65BA8" w:rsidRDefault="00C65BA8" w14:paraId="2BADE54B" w14:textId="77777777">
      <w:pPr>
        <w:suppressAutoHyphens/>
        <w:rPr>
          <w:rFonts w:ascii="Calibri" w:hAnsi="Calibri" w:cs="Calibri"/>
        </w:rPr>
      </w:pPr>
      <w:r w:rsidRPr="002234AF">
        <w:rPr>
          <w:rFonts w:ascii="Calibri" w:hAnsi="Calibri" w:cs="Calibri"/>
        </w:rPr>
        <w:t xml:space="preserve">Met deze aanwijzing wordt de grondslag voor de toekenningsbeschikkingen voor de jaren 2024 en 2025 hersteld, zodat de </w:t>
      </w:r>
      <w:proofErr w:type="spellStart"/>
      <w:r w:rsidRPr="002234AF">
        <w:rPr>
          <w:rFonts w:ascii="Calibri" w:hAnsi="Calibri" w:cs="Calibri"/>
        </w:rPr>
        <w:t>NZa</w:t>
      </w:r>
      <w:proofErr w:type="spellEnd"/>
      <w:r w:rsidRPr="002234AF">
        <w:rPr>
          <w:rFonts w:ascii="Calibri" w:hAnsi="Calibri" w:cs="Calibri"/>
        </w:rPr>
        <w:t xml:space="preserve"> een grondslag heeft voor het vaststellen van de </w:t>
      </w:r>
      <w:proofErr w:type="spellStart"/>
      <w:r w:rsidRPr="002234AF">
        <w:rPr>
          <w:rFonts w:ascii="Calibri" w:hAnsi="Calibri" w:cs="Calibri"/>
        </w:rPr>
        <w:t>beschikbaarheidbijdrage</w:t>
      </w:r>
      <w:proofErr w:type="spellEnd"/>
      <w:r w:rsidRPr="002234AF">
        <w:rPr>
          <w:rFonts w:ascii="Calibri" w:hAnsi="Calibri" w:cs="Calibri"/>
        </w:rPr>
        <w:t xml:space="preserve"> voor deze jaren.</w:t>
      </w:r>
    </w:p>
    <w:p w:rsidRPr="002234AF" w:rsidR="00C65BA8" w:rsidP="00C65BA8" w:rsidRDefault="00C65BA8" w14:paraId="0EB4A717" w14:textId="77777777">
      <w:pPr>
        <w:suppressAutoHyphens/>
        <w:rPr>
          <w:rFonts w:ascii="Calibri" w:hAnsi="Calibri" w:cs="Calibri"/>
          <w:b/>
          <w:bCs/>
        </w:rPr>
      </w:pPr>
      <w:r w:rsidRPr="002234AF">
        <w:rPr>
          <w:rFonts w:ascii="Calibri" w:hAnsi="Calibri" w:cs="Calibri"/>
          <w:b/>
          <w:bCs/>
        </w:rPr>
        <w:t>Toelichting</w:t>
      </w:r>
    </w:p>
    <w:p w:rsidRPr="002234AF" w:rsidR="00C65BA8" w:rsidP="00C65BA8" w:rsidRDefault="00C65BA8" w14:paraId="437AD75A" w14:textId="77777777">
      <w:pPr>
        <w:suppressAutoHyphens/>
        <w:rPr>
          <w:rFonts w:ascii="Calibri" w:hAnsi="Calibri" w:cs="Calibri"/>
        </w:rPr>
      </w:pPr>
      <w:r w:rsidRPr="002234AF">
        <w:rPr>
          <w:rFonts w:ascii="Calibri" w:hAnsi="Calibri" w:cs="Calibri"/>
        </w:rPr>
        <w:t>In de genoemde uitspraak</w:t>
      </w:r>
      <w:r w:rsidRPr="002234AF">
        <w:rPr>
          <w:rStyle w:val="Voetnootmarkering"/>
          <w:rFonts w:ascii="Calibri" w:hAnsi="Calibri" w:cs="Calibri"/>
        </w:rPr>
        <w:footnoteReference w:id="2"/>
      </w:r>
      <w:r w:rsidRPr="002234AF">
        <w:rPr>
          <w:rFonts w:ascii="Calibri" w:hAnsi="Calibri" w:cs="Calibri"/>
        </w:rPr>
        <w:t xml:space="preserve"> heeft het </w:t>
      </w:r>
      <w:proofErr w:type="spellStart"/>
      <w:r w:rsidRPr="002234AF">
        <w:rPr>
          <w:rFonts w:ascii="Calibri" w:hAnsi="Calibri" w:cs="Calibri"/>
        </w:rPr>
        <w:t>CBb</w:t>
      </w:r>
      <w:proofErr w:type="spellEnd"/>
      <w:r w:rsidRPr="002234AF">
        <w:rPr>
          <w:rFonts w:ascii="Calibri" w:hAnsi="Calibri" w:cs="Calibri"/>
        </w:rPr>
        <w:t xml:space="preserve"> geoordeeld dat voor 2026 en verder er geen bevoegdheid is voor zowel de minister als de </w:t>
      </w:r>
      <w:proofErr w:type="spellStart"/>
      <w:r w:rsidRPr="002234AF">
        <w:rPr>
          <w:rFonts w:ascii="Calibri" w:hAnsi="Calibri" w:cs="Calibri"/>
        </w:rPr>
        <w:t>NZa</w:t>
      </w:r>
      <w:proofErr w:type="spellEnd"/>
      <w:r w:rsidRPr="002234AF">
        <w:rPr>
          <w:rFonts w:ascii="Calibri" w:hAnsi="Calibri" w:cs="Calibri"/>
        </w:rPr>
        <w:t xml:space="preserve"> om een verdeeloverzicht vast te stellen voor de </w:t>
      </w:r>
      <w:proofErr w:type="spellStart"/>
      <w:r w:rsidRPr="002234AF">
        <w:rPr>
          <w:rFonts w:ascii="Calibri" w:hAnsi="Calibri" w:cs="Calibri"/>
        </w:rPr>
        <w:t>beschikbaarheidbijdrage</w:t>
      </w:r>
      <w:proofErr w:type="spellEnd"/>
      <w:r w:rsidRPr="002234AF">
        <w:rPr>
          <w:rFonts w:ascii="Calibri" w:hAnsi="Calibri" w:cs="Calibri"/>
        </w:rPr>
        <w:t xml:space="preserve"> (medische) vervolgopleidingen. De minister is uitsluitend bevoegd om verdeelcriteria en de totale aantallen per opleiding vast te leggen. Op 16 december 2025 is de Kamer geïnformeerd over de </w:t>
      </w:r>
      <w:r w:rsidRPr="002234AF">
        <w:rPr>
          <w:rFonts w:ascii="Calibri" w:hAnsi="Calibri" w:cs="Calibri"/>
        </w:rPr>
        <w:lastRenderedPageBreak/>
        <w:t xml:space="preserve">aanwijzing die is verstrekt aan de </w:t>
      </w:r>
      <w:proofErr w:type="spellStart"/>
      <w:r w:rsidRPr="002234AF">
        <w:rPr>
          <w:rFonts w:ascii="Calibri" w:hAnsi="Calibri" w:cs="Calibri"/>
        </w:rPr>
        <w:t>NZa</w:t>
      </w:r>
      <w:proofErr w:type="spellEnd"/>
      <w:r w:rsidRPr="002234AF">
        <w:rPr>
          <w:rFonts w:ascii="Calibri" w:hAnsi="Calibri" w:cs="Calibri"/>
        </w:rPr>
        <w:t xml:space="preserve"> inzake de uitvoering van de </w:t>
      </w:r>
      <w:proofErr w:type="spellStart"/>
      <w:r w:rsidRPr="002234AF">
        <w:rPr>
          <w:rFonts w:ascii="Calibri" w:hAnsi="Calibri" w:cs="Calibri"/>
        </w:rPr>
        <w:t>beschikbaarheidbijdrage</w:t>
      </w:r>
      <w:proofErr w:type="spellEnd"/>
      <w:r w:rsidRPr="002234AF">
        <w:rPr>
          <w:rFonts w:ascii="Calibri" w:hAnsi="Calibri" w:cs="Calibri"/>
        </w:rPr>
        <w:t xml:space="preserve"> op grond van artikel 56a van de </w:t>
      </w:r>
      <w:proofErr w:type="spellStart"/>
      <w:r w:rsidRPr="002234AF">
        <w:rPr>
          <w:rFonts w:ascii="Calibri" w:hAnsi="Calibri" w:cs="Calibri"/>
        </w:rPr>
        <w:t>Wmg</w:t>
      </w:r>
      <w:proofErr w:type="spellEnd"/>
      <w:r w:rsidRPr="002234AF">
        <w:rPr>
          <w:rFonts w:ascii="Calibri" w:hAnsi="Calibri" w:cs="Calibri"/>
        </w:rPr>
        <w:t xml:space="preserve"> voor de jaren 2026 en verder.</w:t>
      </w:r>
      <w:r w:rsidRPr="002234AF">
        <w:rPr>
          <w:rStyle w:val="Voetnootmarkering"/>
          <w:rFonts w:ascii="Calibri" w:hAnsi="Calibri" w:cs="Calibri"/>
        </w:rPr>
        <w:footnoteReference w:id="3"/>
      </w:r>
    </w:p>
    <w:p w:rsidRPr="002234AF" w:rsidR="00C65BA8" w:rsidP="00C65BA8" w:rsidRDefault="00C65BA8" w14:paraId="6F48C199" w14:textId="77777777">
      <w:pPr>
        <w:suppressAutoHyphens/>
        <w:rPr>
          <w:rFonts w:ascii="Calibri" w:hAnsi="Calibri" w:cs="Calibri"/>
        </w:rPr>
      </w:pPr>
      <w:r w:rsidRPr="002234AF">
        <w:rPr>
          <w:rFonts w:ascii="Calibri" w:hAnsi="Calibri" w:cs="Calibri"/>
        </w:rPr>
        <w:t xml:space="preserve">Daarnaast heeft het </w:t>
      </w:r>
      <w:proofErr w:type="spellStart"/>
      <w:r w:rsidRPr="002234AF">
        <w:rPr>
          <w:rFonts w:ascii="Calibri" w:hAnsi="Calibri" w:cs="Calibri"/>
        </w:rPr>
        <w:t>CBb</w:t>
      </w:r>
      <w:proofErr w:type="spellEnd"/>
      <w:r w:rsidRPr="002234AF">
        <w:rPr>
          <w:rFonts w:ascii="Calibri" w:hAnsi="Calibri" w:cs="Calibri"/>
        </w:rPr>
        <w:t xml:space="preserve"> alle beschikkingen voor de jaren 2024 en 2025 herroepen. Met de onderhavige aanwijzing wordt gehoor gegeven aan de uitspraak van het </w:t>
      </w:r>
      <w:proofErr w:type="spellStart"/>
      <w:r w:rsidRPr="002234AF">
        <w:rPr>
          <w:rFonts w:ascii="Calibri" w:hAnsi="Calibri" w:cs="Calibri"/>
        </w:rPr>
        <w:t>CBb</w:t>
      </w:r>
      <w:proofErr w:type="spellEnd"/>
      <w:r w:rsidRPr="002234AF">
        <w:rPr>
          <w:rFonts w:ascii="Calibri" w:hAnsi="Calibri" w:cs="Calibri"/>
        </w:rPr>
        <w:t xml:space="preserve">, zodat de </w:t>
      </w:r>
      <w:proofErr w:type="spellStart"/>
      <w:r w:rsidRPr="002234AF">
        <w:rPr>
          <w:rFonts w:ascii="Calibri" w:hAnsi="Calibri" w:cs="Calibri"/>
        </w:rPr>
        <w:t>NZa</w:t>
      </w:r>
      <w:proofErr w:type="spellEnd"/>
      <w:r w:rsidRPr="002234AF">
        <w:rPr>
          <w:rFonts w:ascii="Calibri" w:hAnsi="Calibri" w:cs="Calibri"/>
        </w:rPr>
        <w:t xml:space="preserve"> de </w:t>
      </w:r>
      <w:proofErr w:type="spellStart"/>
      <w:r w:rsidRPr="002234AF">
        <w:rPr>
          <w:rFonts w:ascii="Calibri" w:hAnsi="Calibri" w:cs="Calibri"/>
        </w:rPr>
        <w:t>beschikbaarheidbijdragen</w:t>
      </w:r>
      <w:proofErr w:type="spellEnd"/>
      <w:r w:rsidRPr="002234AF">
        <w:rPr>
          <w:rFonts w:ascii="Calibri" w:hAnsi="Calibri" w:cs="Calibri"/>
        </w:rPr>
        <w:t xml:space="preserve"> voor de jaren 2024 en 2025 rechtmatig kan vaststellen. </w:t>
      </w:r>
    </w:p>
    <w:p w:rsidRPr="002234AF" w:rsidR="00C65BA8" w:rsidP="00C65BA8" w:rsidRDefault="00C65BA8" w14:paraId="5F67B0C5" w14:textId="77777777">
      <w:pPr>
        <w:suppressAutoHyphens/>
        <w:rPr>
          <w:rFonts w:ascii="Calibri" w:hAnsi="Calibri" w:cs="Calibri"/>
          <w:b/>
          <w:bCs/>
        </w:rPr>
      </w:pPr>
      <w:r w:rsidRPr="002234AF">
        <w:rPr>
          <w:rFonts w:ascii="Calibri" w:hAnsi="Calibri" w:cs="Calibri"/>
          <w:b/>
          <w:bCs/>
        </w:rPr>
        <w:t>Zakelijke inhoud van de voorgenomen aanwijzing</w:t>
      </w:r>
    </w:p>
    <w:p w:rsidRPr="002234AF" w:rsidR="00C65BA8" w:rsidP="00C65BA8" w:rsidRDefault="00C65BA8" w14:paraId="27F552EE" w14:textId="77777777">
      <w:pPr>
        <w:suppressAutoHyphens/>
        <w:rPr>
          <w:rFonts w:ascii="Calibri" w:hAnsi="Calibri" w:cs="Calibri"/>
        </w:rPr>
      </w:pPr>
      <w:r w:rsidRPr="002234AF">
        <w:rPr>
          <w:rFonts w:ascii="Calibri" w:hAnsi="Calibri" w:cs="Calibri"/>
        </w:rPr>
        <w:t xml:space="preserve">Om uitvoering te kunnen geven aan het vaststellen van de </w:t>
      </w:r>
      <w:proofErr w:type="spellStart"/>
      <w:r w:rsidRPr="002234AF">
        <w:rPr>
          <w:rFonts w:ascii="Calibri" w:hAnsi="Calibri" w:cs="Calibri"/>
        </w:rPr>
        <w:t>beschikbaarheidbijdrage</w:t>
      </w:r>
      <w:proofErr w:type="spellEnd"/>
      <w:r w:rsidRPr="002234AF">
        <w:rPr>
          <w:rFonts w:ascii="Calibri" w:hAnsi="Calibri" w:cs="Calibri"/>
        </w:rPr>
        <w:t xml:space="preserve"> voor (medische) vervolgopleidingen voor de jaren 2024 en 2025, ben ik voornemens de </w:t>
      </w:r>
      <w:proofErr w:type="spellStart"/>
      <w:r w:rsidRPr="002234AF">
        <w:rPr>
          <w:rFonts w:ascii="Calibri" w:hAnsi="Calibri" w:cs="Calibri"/>
        </w:rPr>
        <w:t>NZa</w:t>
      </w:r>
      <w:proofErr w:type="spellEnd"/>
      <w:r w:rsidRPr="002234AF">
        <w:rPr>
          <w:rFonts w:ascii="Calibri" w:hAnsi="Calibri" w:cs="Calibri"/>
        </w:rPr>
        <w:t xml:space="preserve"> een aanwijzing te geven. Met deze aanwijzing draag ik de </w:t>
      </w:r>
      <w:proofErr w:type="spellStart"/>
      <w:r w:rsidRPr="002234AF">
        <w:rPr>
          <w:rFonts w:ascii="Calibri" w:hAnsi="Calibri" w:cs="Calibri"/>
        </w:rPr>
        <w:t>NZa</w:t>
      </w:r>
      <w:proofErr w:type="spellEnd"/>
      <w:r w:rsidRPr="002234AF">
        <w:rPr>
          <w:rFonts w:ascii="Calibri" w:hAnsi="Calibri" w:cs="Calibri"/>
        </w:rPr>
        <w:t xml:space="preserve"> op om met terugwerkende kracht vanaf 1 januari 2024 in haar beleidsregels te voorzien in het rechtmatig vaststellen van de </w:t>
      </w:r>
      <w:proofErr w:type="spellStart"/>
      <w:r w:rsidRPr="002234AF">
        <w:rPr>
          <w:rFonts w:ascii="Calibri" w:hAnsi="Calibri" w:cs="Calibri"/>
        </w:rPr>
        <w:t>beschikbaarheidbijdrage</w:t>
      </w:r>
      <w:proofErr w:type="spellEnd"/>
      <w:r w:rsidRPr="002234AF">
        <w:rPr>
          <w:rFonts w:ascii="Calibri" w:hAnsi="Calibri" w:cs="Calibri"/>
        </w:rPr>
        <w:t xml:space="preserve"> voor de jaren 2024 en 2025.</w:t>
      </w:r>
    </w:p>
    <w:p w:rsidRPr="002234AF" w:rsidR="00C65BA8" w:rsidP="00C65BA8" w:rsidRDefault="00C65BA8" w14:paraId="56951E64" w14:textId="77777777">
      <w:pPr>
        <w:suppressAutoHyphens/>
        <w:rPr>
          <w:rFonts w:ascii="Calibri" w:hAnsi="Calibri" w:cs="Calibri"/>
        </w:rPr>
      </w:pPr>
      <w:r w:rsidRPr="002234AF">
        <w:rPr>
          <w:rFonts w:ascii="Calibri" w:hAnsi="Calibri" w:cs="Calibri"/>
        </w:rPr>
        <w:t xml:space="preserve">De </w:t>
      </w:r>
      <w:proofErr w:type="spellStart"/>
      <w:r w:rsidRPr="002234AF">
        <w:rPr>
          <w:rFonts w:ascii="Calibri" w:hAnsi="Calibri" w:cs="Calibri"/>
        </w:rPr>
        <w:t>NZa</w:t>
      </w:r>
      <w:proofErr w:type="spellEnd"/>
      <w:r w:rsidRPr="002234AF">
        <w:rPr>
          <w:rFonts w:ascii="Calibri" w:hAnsi="Calibri" w:cs="Calibri"/>
        </w:rPr>
        <w:t xml:space="preserve"> stelt de </w:t>
      </w:r>
      <w:proofErr w:type="spellStart"/>
      <w:r w:rsidRPr="002234AF">
        <w:rPr>
          <w:rFonts w:ascii="Calibri" w:hAnsi="Calibri" w:cs="Calibri"/>
        </w:rPr>
        <w:t>beschikbaarheidbijdrage</w:t>
      </w:r>
      <w:proofErr w:type="spellEnd"/>
      <w:r w:rsidRPr="002234AF">
        <w:rPr>
          <w:rFonts w:ascii="Calibri" w:hAnsi="Calibri" w:cs="Calibri"/>
        </w:rPr>
        <w:t xml:space="preserve"> over zorgaanbieders vast, rekening houdend met de maximale aantallen per opleiding zoals opgenomen in Bijlage A bij deze aanwijzing.</w:t>
      </w:r>
    </w:p>
    <w:p w:rsidRPr="002234AF" w:rsidR="00C65BA8" w:rsidP="00C65BA8" w:rsidRDefault="00C65BA8" w14:paraId="0B1484F3" w14:textId="77777777">
      <w:pPr>
        <w:suppressAutoHyphens/>
        <w:rPr>
          <w:rFonts w:ascii="Calibri" w:hAnsi="Calibri" w:cs="Calibri"/>
        </w:rPr>
      </w:pPr>
      <w:r w:rsidRPr="002234AF">
        <w:rPr>
          <w:rFonts w:ascii="Calibri" w:hAnsi="Calibri" w:cs="Calibri"/>
        </w:rPr>
        <w:t xml:space="preserve">Daarnaast zal ik de </w:t>
      </w:r>
      <w:proofErr w:type="spellStart"/>
      <w:r w:rsidRPr="002234AF">
        <w:rPr>
          <w:rFonts w:ascii="Calibri" w:hAnsi="Calibri" w:cs="Calibri"/>
        </w:rPr>
        <w:t>NZa</w:t>
      </w:r>
      <w:proofErr w:type="spellEnd"/>
      <w:r w:rsidRPr="002234AF">
        <w:rPr>
          <w:rFonts w:ascii="Calibri" w:hAnsi="Calibri" w:cs="Calibri"/>
        </w:rPr>
        <w:t xml:space="preserve"> vragen om bij het vaststellen van de </w:t>
      </w:r>
      <w:proofErr w:type="spellStart"/>
      <w:r w:rsidRPr="002234AF">
        <w:rPr>
          <w:rFonts w:ascii="Calibri" w:hAnsi="Calibri" w:cs="Calibri"/>
        </w:rPr>
        <w:t>beschikbaarheidbijdrage</w:t>
      </w:r>
      <w:proofErr w:type="spellEnd"/>
      <w:r w:rsidRPr="002234AF">
        <w:rPr>
          <w:rFonts w:ascii="Calibri" w:hAnsi="Calibri" w:cs="Calibri"/>
        </w:rPr>
        <w:t xml:space="preserve"> rekening te houden met de volgende uitgangspunten, uitgesplitst naar 2024 en 2025:</w:t>
      </w:r>
    </w:p>
    <w:p w:rsidRPr="002234AF" w:rsidR="00C65BA8" w:rsidP="00C65BA8" w:rsidRDefault="00C65BA8" w14:paraId="1D2390AA" w14:textId="77777777">
      <w:pPr>
        <w:suppressAutoHyphens/>
        <w:rPr>
          <w:rFonts w:ascii="Calibri" w:hAnsi="Calibri" w:cs="Calibri"/>
          <w:b/>
          <w:bCs/>
        </w:rPr>
      </w:pPr>
      <w:r w:rsidRPr="002234AF">
        <w:rPr>
          <w:rFonts w:ascii="Calibri" w:hAnsi="Calibri" w:cs="Calibri"/>
          <w:b/>
          <w:bCs/>
        </w:rPr>
        <w:t>Ad 1. Jaar 2024</w:t>
      </w:r>
    </w:p>
    <w:p w:rsidRPr="002234AF" w:rsidR="00C65BA8" w:rsidP="00C65BA8" w:rsidRDefault="00C65BA8" w14:paraId="78718852" w14:textId="77777777">
      <w:pPr>
        <w:suppressAutoHyphens/>
        <w:rPr>
          <w:rFonts w:ascii="Calibri" w:hAnsi="Calibri" w:cs="Calibri"/>
        </w:rPr>
      </w:pPr>
      <w:r w:rsidRPr="002234AF">
        <w:rPr>
          <w:rFonts w:ascii="Calibri" w:hAnsi="Calibri" w:cs="Calibri"/>
        </w:rPr>
        <w:t xml:space="preserve">De </w:t>
      </w:r>
      <w:proofErr w:type="spellStart"/>
      <w:r w:rsidRPr="002234AF">
        <w:rPr>
          <w:rFonts w:ascii="Calibri" w:hAnsi="Calibri" w:cs="Calibri"/>
        </w:rPr>
        <w:t>NZa</w:t>
      </w:r>
      <w:proofErr w:type="spellEnd"/>
      <w:r w:rsidRPr="002234AF">
        <w:rPr>
          <w:rFonts w:ascii="Calibri" w:hAnsi="Calibri" w:cs="Calibri"/>
        </w:rPr>
        <w:t xml:space="preserve"> hanteert bij de verdeling van de medisch-specialistische instroomplaatsen</w:t>
      </w:r>
      <w:r w:rsidRPr="002234AF">
        <w:rPr>
          <w:rStyle w:val="Voetnootmarkering"/>
          <w:rFonts w:ascii="Calibri" w:hAnsi="Calibri" w:cs="Calibri"/>
        </w:rPr>
        <w:footnoteReference w:id="4"/>
      </w:r>
      <w:r w:rsidRPr="002234AF">
        <w:rPr>
          <w:rFonts w:ascii="Calibri" w:hAnsi="Calibri" w:cs="Calibri"/>
        </w:rPr>
        <w:t xml:space="preserve"> over de </w:t>
      </w:r>
      <w:proofErr w:type="spellStart"/>
      <w:r w:rsidRPr="002234AF">
        <w:rPr>
          <w:rFonts w:ascii="Calibri" w:hAnsi="Calibri" w:cs="Calibri"/>
        </w:rPr>
        <w:t>OOR’s</w:t>
      </w:r>
      <w:proofErr w:type="spellEnd"/>
      <w:r w:rsidRPr="002234AF">
        <w:rPr>
          <w:rFonts w:ascii="Calibri" w:hAnsi="Calibri" w:cs="Calibri"/>
        </w:rPr>
        <w:t xml:space="preserve"> een verdeling op basis van het criterium 100% </w:t>
      </w:r>
      <w:proofErr w:type="spellStart"/>
      <w:r w:rsidRPr="002234AF">
        <w:rPr>
          <w:rFonts w:ascii="Calibri" w:hAnsi="Calibri" w:cs="Calibri"/>
        </w:rPr>
        <w:t>adherentie</w:t>
      </w:r>
      <w:proofErr w:type="spellEnd"/>
      <w:r w:rsidRPr="002234AF">
        <w:rPr>
          <w:rFonts w:ascii="Calibri" w:hAnsi="Calibri" w:cs="Calibri"/>
        </w:rPr>
        <w:t xml:space="preserve"> alle instellingen (de basisverdeling). Dit houdt in dat bij de verdeling van de medisch-specialistische instroomplaatsen over de </w:t>
      </w:r>
      <w:proofErr w:type="spellStart"/>
      <w:r w:rsidRPr="002234AF">
        <w:rPr>
          <w:rFonts w:ascii="Calibri" w:hAnsi="Calibri" w:cs="Calibri"/>
        </w:rPr>
        <w:t>OOR’s</w:t>
      </w:r>
      <w:proofErr w:type="spellEnd"/>
      <w:r w:rsidRPr="002234AF">
        <w:rPr>
          <w:rFonts w:ascii="Calibri" w:hAnsi="Calibri" w:cs="Calibri"/>
        </w:rPr>
        <w:t xml:space="preserve"> wordt gekeken naar de omvang van de zorgvraag van de bevolking in het verzorgingsgebied voor alle instellingen binnen de </w:t>
      </w:r>
      <w:proofErr w:type="spellStart"/>
      <w:r w:rsidRPr="002234AF">
        <w:rPr>
          <w:rFonts w:ascii="Calibri" w:hAnsi="Calibri" w:cs="Calibri"/>
        </w:rPr>
        <w:t>OOR’s</w:t>
      </w:r>
      <w:proofErr w:type="spellEnd"/>
      <w:r w:rsidRPr="002234AF">
        <w:rPr>
          <w:rFonts w:ascii="Calibri" w:hAnsi="Calibri" w:cs="Calibri"/>
        </w:rPr>
        <w:t>.</w:t>
      </w:r>
    </w:p>
    <w:p w:rsidRPr="002234AF" w:rsidR="00C65BA8" w:rsidP="00C65BA8" w:rsidRDefault="00C65BA8" w14:paraId="0CDE64F4" w14:textId="77777777">
      <w:pPr>
        <w:suppressAutoHyphens/>
        <w:rPr>
          <w:rFonts w:ascii="Calibri" w:hAnsi="Calibri" w:cs="Calibri"/>
        </w:rPr>
      </w:pPr>
      <w:r w:rsidRPr="002234AF">
        <w:rPr>
          <w:rFonts w:ascii="Calibri" w:hAnsi="Calibri" w:cs="Calibri"/>
        </w:rPr>
        <w:t xml:space="preserve">Daarbij geldt de mogelijkheid om – binnen het totaal aantal beschikbaar gestelde opleidingsplaatsen – met maximaal vijf instroomplaatsen tussen </w:t>
      </w:r>
      <w:proofErr w:type="spellStart"/>
      <w:r w:rsidRPr="002234AF">
        <w:rPr>
          <w:rFonts w:ascii="Calibri" w:hAnsi="Calibri" w:cs="Calibri"/>
        </w:rPr>
        <w:t>OOR’s</w:t>
      </w:r>
      <w:proofErr w:type="spellEnd"/>
      <w:r w:rsidRPr="002234AF">
        <w:rPr>
          <w:rFonts w:ascii="Calibri" w:hAnsi="Calibri" w:cs="Calibri"/>
        </w:rPr>
        <w:t xml:space="preserve"> te schuiven ten opzichte van de basisverdeling.</w:t>
      </w:r>
    </w:p>
    <w:p w:rsidRPr="002234AF" w:rsidR="00C65BA8" w:rsidP="00C65BA8" w:rsidRDefault="00C65BA8" w14:paraId="35680713" w14:textId="77777777">
      <w:pPr>
        <w:suppressAutoHyphens/>
        <w:rPr>
          <w:rFonts w:ascii="Calibri" w:hAnsi="Calibri" w:cs="Calibri"/>
        </w:rPr>
      </w:pPr>
      <w:r w:rsidRPr="002234AF">
        <w:rPr>
          <w:rFonts w:ascii="Calibri" w:hAnsi="Calibri" w:cs="Calibri"/>
        </w:rPr>
        <w:t xml:space="preserve">Voor de verdeling van instroomplaatsen voor de opleidingen tot gezondheidszorgpsycholoog, klinisch psycholoog, klinisch neuropsycholoog, psychotherapeut en verpleegkundig specialist GGZ houdt </w:t>
      </w:r>
      <w:proofErr w:type="spellStart"/>
      <w:r w:rsidRPr="002234AF">
        <w:rPr>
          <w:rFonts w:ascii="Calibri" w:hAnsi="Calibri" w:cs="Calibri"/>
        </w:rPr>
        <w:t>NZa</w:t>
      </w:r>
      <w:proofErr w:type="spellEnd"/>
      <w:r w:rsidRPr="002234AF">
        <w:rPr>
          <w:rFonts w:ascii="Calibri" w:hAnsi="Calibri" w:cs="Calibri"/>
        </w:rPr>
        <w:t xml:space="preserve"> rekening met de volgende uitgangspunten:</w:t>
      </w:r>
    </w:p>
    <w:p w:rsidRPr="002234AF" w:rsidR="00C65BA8" w:rsidP="00C65BA8" w:rsidRDefault="00C65BA8" w14:paraId="72E4441C" w14:textId="77777777">
      <w:pPr>
        <w:pStyle w:val="Lijstalinea"/>
        <w:numPr>
          <w:ilvl w:val="0"/>
          <w:numId w:val="2"/>
        </w:numPr>
        <w:suppressAutoHyphens/>
        <w:autoSpaceDN w:val="0"/>
        <w:spacing w:after="0" w:line="240" w:lineRule="atLeast"/>
        <w:textAlignment w:val="baseline"/>
        <w:rPr>
          <w:rFonts w:ascii="Calibri" w:hAnsi="Calibri" w:cs="Calibri"/>
        </w:rPr>
      </w:pPr>
      <w:r w:rsidRPr="002234AF">
        <w:rPr>
          <w:rFonts w:ascii="Calibri" w:hAnsi="Calibri" w:cs="Calibri"/>
        </w:rPr>
        <w:t>de instroomplaatsen worden verdeeld per sector, gebruikmakend van de ramingen van het Capaciteitsorgaan;</w:t>
      </w:r>
    </w:p>
    <w:p w:rsidRPr="002234AF" w:rsidR="00C65BA8" w:rsidP="00C65BA8" w:rsidRDefault="00C65BA8" w14:paraId="3A15C8B4" w14:textId="77777777">
      <w:pPr>
        <w:pStyle w:val="Lijstalinea"/>
        <w:numPr>
          <w:ilvl w:val="0"/>
          <w:numId w:val="2"/>
        </w:numPr>
        <w:suppressAutoHyphens/>
        <w:autoSpaceDN w:val="0"/>
        <w:spacing w:after="0" w:line="240" w:lineRule="atLeast"/>
        <w:textAlignment w:val="baseline"/>
        <w:rPr>
          <w:rFonts w:ascii="Calibri" w:hAnsi="Calibri" w:cs="Calibri"/>
        </w:rPr>
      </w:pPr>
      <w:r w:rsidRPr="002234AF">
        <w:rPr>
          <w:rFonts w:ascii="Calibri" w:hAnsi="Calibri" w:cs="Calibri"/>
        </w:rPr>
        <w:lastRenderedPageBreak/>
        <w:t xml:space="preserve">instroomplaatsen waarvoor in een voorgaand jaar geen </w:t>
      </w:r>
      <w:proofErr w:type="spellStart"/>
      <w:r w:rsidRPr="002234AF">
        <w:rPr>
          <w:rFonts w:ascii="Calibri" w:hAnsi="Calibri" w:cs="Calibri"/>
        </w:rPr>
        <w:t>beschikbaarheidbijdrage</w:t>
      </w:r>
      <w:proofErr w:type="spellEnd"/>
      <w:r w:rsidRPr="002234AF">
        <w:rPr>
          <w:rFonts w:ascii="Calibri" w:hAnsi="Calibri" w:cs="Calibri"/>
        </w:rPr>
        <w:t xml:space="preserve"> is verleend, worden niet meegeteld indien bij de verdeling van de instroomplaatsen rekening wordt gehouden met het historisch opleidingsvolume;</w:t>
      </w:r>
    </w:p>
    <w:p w:rsidRPr="002234AF" w:rsidR="00C65BA8" w:rsidP="00C65BA8" w:rsidRDefault="00C65BA8" w14:paraId="70C175D5" w14:textId="77777777">
      <w:pPr>
        <w:pStyle w:val="Lijstalinea"/>
        <w:numPr>
          <w:ilvl w:val="0"/>
          <w:numId w:val="2"/>
        </w:numPr>
        <w:suppressAutoHyphens/>
        <w:autoSpaceDN w:val="0"/>
        <w:spacing w:after="0" w:line="240" w:lineRule="atLeast"/>
        <w:textAlignment w:val="baseline"/>
        <w:rPr>
          <w:rFonts w:ascii="Calibri" w:hAnsi="Calibri" w:cs="Calibri"/>
        </w:rPr>
      </w:pPr>
      <w:r w:rsidRPr="002234AF">
        <w:rPr>
          <w:rFonts w:ascii="Calibri" w:hAnsi="Calibri" w:cs="Calibri"/>
        </w:rPr>
        <w:t>zowel bestaande als nieuwe opleidende zorgaanbieders komen in aanmerking voor instroomplaatsen.</w:t>
      </w:r>
    </w:p>
    <w:p w:rsidRPr="002234AF" w:rsidR="00C65BA8" w:rsidP="00C65BA8" w:rsidRDefault="00C65BA8" w14:paraId="48D2616B" w14:textId="77777777">
      <w:pPr>
        <w:suppressAutoHyphens/>
        <w:rPr>
          <w:rFonts w:ascii="Calibri" w:hAnsi="Calibri" w:cs="Calibri"/>
        </w:rPr>
      </w:pPr>
    </w:p>
    <w:p w:rsidRPr="002234AF" w:rsidR="00C65BA8" w:rsidP="00C65BA8" w:rsidRDefault="00C65BA8" w14:paraId="49F01538" w14:textId="77777777">
      <w:pPr>
        <w:suppressAutoHyphens/>
        <w:rPr>
          <w:rFonts w:ascii="Calibri" w:hAnsi="Calibri" w:cs="Calibri"/>
          <w:b/>
          <w:bCs/>
        </w:rPr>
      </w:pPr>
      <w:r w:rsidRPr="002234AF">
        <w:rPr>
          <w:rFonts w:ascii="Calibri" w:hAnsi="Calibri" w:cs="Calibri"/>
          <w:b/>
          <w:bCs/>
        </w:rPr>
        <w:t>Ad 2. Jaar 2025</w:t>
      </w:r>
    </w:p>
    <w:p w:rsidRPr="002234AF" w:rsidR="00C65BA8" w:rsidP="00C65BA8" w:rsidRDefault="00C65BA8" w14:paraId="1A6AECE6" w14:textId="77777777">
      <w:pPr>
        <w:suppressAutoHyphens/>
        <w:rPr>
          <w:rFonts w:ascii="Calibri" w:hAnsi="Calibri" w:cs="Calibri"/>
        </w:rPr>
      </w:pPr>
      <w:r w:rsidRPr="002234AF">
        <w:rPr>
          <w:rFonts w:ascii="Calibri" w:hAnsi="Calibri" w:cs="Calibri"/>
        </w:rPr>
        <w:t xml:space="preserve">De </w:t>
      </w:r>
      <w:proofErr w:type="spellStart"/>
      <w:r w:rsidRPr="002234AF">
        <w:rPr>
          <w:rFonts w:ascii="Calibri" w:hAnsi="Calibri" w:cs="Calibri"/>
        </w:rPr>
        <w:t>NZa</w:t>
      </w:r>
      <w:proofErr w:type="spellEnd"/>
      <w:r w:rsidRPr="002234AF">
        <w:rPr>
          <w:rFonts w:ascii="Calibri" w:hAnsi="Calibri" w:cs="Calibri"/>
        </w:rPr>
        <w:t xml:space="preserve"> hanteert bij de verdeling van de medisch-specialistische instroomplaatsen</w:t>
      </w:r>
      <w:r w:rsidRPr="002234AF">
        <w:rPr>
          <w:rStyle w:val="Voetnootmarkering"/>
          <w:rFonts w:ascii="Calibri" w:hAnsi="Calibri" w:cs="Calibri"/>
        </w:rPr>
        <w:footnoteReference w:id="5"/>
      </w:r>
      <w:r w:rsidRPr="002234AF">
        <w:rPr>
          <w:rFonts w:ascii="Calibri" w:hAnsi="Calibri" w:cs="Calibri"/>
        </w:rPr>
        <w:t xml:space="preserve"> over de </w:t>
      </w:r>
      <w:proofErr w:type="spellStart"/>
      <w:r w:rsidRPr="002234AF">
        <w:rPr>
          <w:rFonts w:ascii="Calibri" w:hAnsi="Calibri" w:cs="Calibri"/>
        </w:rPr>
        <w:t>OOR’s</w:t>
      </w:r>
      <w:proofErr w:type="spellEnd"/>
      <w:r w:rsidRPr="002234AF">
        <w:rPr>
          <w:rFonts w:ascii="Calibri" w:hAnsi="Calibri" w:cs="Calibri"/>
        </w:rPr>
        <w:t xml:space="preserve"> een verdeling op basis van het criterium 100% </w:t>
      </w:r>
      <w:proofErr w:type="spellStart"/>
      <w:r w:rsidRPr="002234AF">
        <w:rPr>
          <w:rFonts w:ascii="Calibri" w:hAnsi="Calibri" w:cs="Calibri"/>
        </w:rPr>
        <w:t>adherentie</w:t>
      </w:r>
      <w:proofErr w:type="spellEnd"/>
      <w:r w:rsidRPr="002234AF">
        <w:rPr>
          <w:rFonts w:ascii="Calibri" w:hAnsi="Calibri" w:cs="Calibri"/>
        </w:rPr>
        <w:t xml:space="preserve"> alle instellingen (de basisverdeling). Dit houdt in dat bij de verdeling van de medisch-specialistische instroomplaatsen over de </w:t>
      </w:r>
      <w:proofErr w:type="spellStart"/>
      <w:r w:rsidRPr="002234AF">
        <w:rPr>
          <w:rFonts w:ascii="Calibri" w:hAnsi="Calibri" w:cs="Calibri"/>
        </w:rPr>
        <w:t>OOR’s</w:t>
      </w:r>
      <w:proofErr w:type="spellEnd"/>
      <w:r w:rsidRPr="002234AF">
        <w:rPr>
          <w:rFonts w:ascii="Calibri" w:hAnsi="Calibri" w:cs="Calibri"/>
        </w:rPr>
        <w:t xml:space="preserve"> wordt gekeken naar de omvang van de zorgvraag van de bevolking in het verzorgingsgebied voor alle instellingen binnen de </w:t>
      </w:r>
      <w:proofErr w:type="spellStart"/>
      <w:r w:rsidRPr="002234AF">
        <w:rPr>
          <w:rFonts w:ascii="Calibri" w:hAnsi="Calibri" w:cs="Calibri"/>
        </w:rPr>
        <w:t>OOR’s</w:t>
      </w:r>
      <w:proofErr w:type="spellEnd"/>
      <w:r w:rsidRPr="002234AF">
        <w:rPr>
          <w:rFonts w:ascii="Calibri" w:hAnsi="Calibri" w:cs="Calibri"/>
        </w:rPr>
        <w:t>.</w:t>
      </w:r>
    </w:p>
    <w:p w:rsidRPr="002234AF" w:rsidR="00C65BA8" w:rsidP="00C65BA8" w:rsidRDefault="00C65BA8" w14:paraId="3DEA2DC5" w14:textId="77777777">
      <w:pPr>
        <w:suppressAutoHyphens/>
        <w:rPr>
          <w:rFonts w:ascii="Calibri" w:hAnsi="Calibri" w:cs="Calibri"/>
        </w:rPr>
      </w:pPr>
      <w:r w:rsidRPr="002234AF">
        <w:rPr>
          <w:rFonts w:ascii="Calibri" w:hAnsi="Calibri" w:cs="Calibri"/>
        </w:rPr>
        <w:t xml:space="preserve">Om grote schommelingen in de instroomverdeling per OOR per jaar te voorkomen houdt de </w:t>
      </w:r>
      <w:proofErr w:type="spellStart"/>
      <w:r w:rsidRPr="002234AF">
        <w:rPr>
          <w:rFonts w:ascii="Calibri" w:hAnsi="Calibri" w:cs="Calibri"/>
        </w:rPr>
        <w:t>NZa</w:t>
      </w:r>
      <w:proofErr w:type="spellEnd"/>
      <w:r w:rsidRPr="002234AF">
        <w:rPr>
          <w:rFonts w:ascii="Calibri" w:hAnsi="Calibri" w:cs="Calibri"/>
        </w:rPr>
        <w:t xml:space="preserve"> bij de invulling van het criterium 100% </w:t>
      </w:r>
      <w:proofErr w:type="spellStart"/>
      <w:r w:rsidRPr="002234AF">
        <w:rPr>
          <w:rFonts w:ascii="Calibri" w:hAnsi="Calibri" w:cs="Calibri"/>
        </w:rPr>
        <w:t>adherentie</w:t>
      </w:r>
      <w:proofErr w:type="spellEnd"/>
      <w:r w:rsidRPr="002234AF">
        <w:rPr>
          <w:rFonts w:ascii="Calibri" w:hAnsi="Calibri" w:cs="Calibri"/>
        </w:rPr>
        <w:t xml:space="preserve"> alle instellingen rekening met: </w:t>
      </w:r>
    </w:p>
    <w:p w:rsidRPr="002234AF" w:rsidR="00C65BA8" w:rsidP="00C65BA8" w:rsidRDefault="00C65BA8" w14:paraId="5BEAA49F" w14:textId="77777777">
      <w:pPr>
        <w:pStyle w:val="Lijstalinea"/>
        <w:numPr>
          <w:ilvl w:val="0"/>
          <w:numId w:val="1"/>
        </w:numPr>
        <w:suppressAutoHyphens/>
        <w:autoSpaceDN w:val="0"/>
        <w:spacing w:after="0" w:line="240" w:lineRule="atLeast"/>
        <w:textAlignment w:val="baseline"/>
        <w:rPr>
          <w:rFonts w:ascii="Calibri" w:hAnsi="Calibri" w:cs="Calibri"/>
        </w:rPr>
      </w:pPr>
      <w:r w:rsidRPr="002234AF">
        <w:rPr>
          <w:rFonts w:ascii="Calibri" w:hAnsi="Calibri" w:cs="Calibri"/>
        </w:rPr>
        <w:t xml:space="preserve">een ondergrens van 10% van de landelijke instroom per OOR voor het in stand houden van de infrastructuur die nodig is voor het opleiden van artsen in opleiding tot (medisch) specialist. Als deze grens in een OOR niet wordt bereikt, dient de </w:t>
      </w:r>
      <w:proofErr w:type="spellStart"/>
      <w:r w:rsidRPr="002234AF">
        <w:rPr>
          <w:rFonts w:ascii="Calibri" w:hAnsi="Calibri" w:cs="Calibri"/>
        </w:rPr>
        <w:t>NZa</w:t>
      </w:r>
      <w:proofErr w:type="spellEnd"/>
      <w:r w:rsidRPr="002234AF">
        <w:rPr>
          <w:rFonts w:ascii="Calibri" w:hAnsi="Calibri" w:cs="Calibri"/>
        </w:rPr>
        <w:t xml:space="preserve"> aan de betreffende OOR instroomplaatsen van andere </w:t>
      </w:r>
      <w:proofErr w:type="spellStart"/>
      <w:r w:rsidRPr="002234AF">
        <w:rPr>
          <w:rFonts w:ascii="Calibri" w:hAnsi="Calibri" w:cs="Calibri"/>
        </w:rPr>
        <w:t>OOR's</w:t>
      </w:r>
      <w:proofErr w:type="spellEnd"/>
      <w:r w:rsidRPr="002234AF">
        <w:rPr>
          <w:rFonts w:ascii="Calibri" w:hAnsi="Calibri" w:cs="Calibri"/>
        </w:rPr>
        <w:t xml:space="preserve"> toe te wijzen. Dit dient naar rato verrekend te worden over de andere </w:t>
      </w:r>
      <w:proofErr w:type="spellStart"/>
      <w:r w:rsidRPr="002234AF">
        <w:rPr>
          <w:rFonts w:ascii="Calibri" w:hAnsi="Calibri" w:cs="Calibri"/>
        </w:rPr>
        <w:t>OOR's</w:t>
      </w:r>
      <w:proofErr w:type="spellEnd"/>
      <w:r w:rsidRPr="002234AF">
        <w:rPr>
          <w:rFonts w:ascii="Calibri" w:hAnsi="Calibri" w:cs="Calibri"/>
        </w:rPr>
        <w:t xml:space="preserve">. </w:t>
      </w:r>
    </w:p>
    <w:p w:rsidRPr="002234AF" w:rsidR="00C65BA8" w:rsidP="00C65BA8" w:rsidRDefault="00C65BA8" w14:paraId="53BA6198" w14:textId="77777777">
      <w:pPr>
        <w:pStyle w:val="Lijstalinea"/>
        <w:numPr>
          <w:ilvl w:val="0"/>
          <w:numId w:val="1"/>
        </w:numPr>
        <w:suppressAutoHyphens/>
        <w:autoSpaceDN w:val="0"/>
        <w:spacing w:after="0" w:line="240" w:lineRule="atLeast"/>
        <w:textAlignment w:val="baseline"/>
        <w:rPr>
          <w:rFonts w:ascii="Calibri" w:hAnsi="Calibri" w:cs="Calibri"/>
        </w:rPr>
      </w:pPr>
      <w:r w:rsidRPr="002234AF">
        <w:rPr>
          <w:rFonts w:ascii="Calibri" w:hAnsi="Calibri" w:cs="Calibri"/>
        </w:rPr>
        <w:t xml:space="preserve">de mogelijkheid om te schuiven met maximaal 30 instroomplaatsen tussen </w:t>
      </w:r>
      <w:proofErr w:type="spellStart"/>
      <w:r w:rsidRPr="002234AF">
        <w:rPr>
          <w:rFonts w:ascii="Calibri" w:hAnsi="Calibri" w:cs="Calibri"/>
        </w:rPr>
        <w:t>OORs</w:t>
      </w:r>
      <w:proofErr w:type="spellEnd"/>
      <w:r w:rsidRPr="002234AF">
        <w:rPr>
          <w:rFonts w:ascii="Calibri" w:hAnsi="Calibri" w:cs="Calibri"/>
        </w:rPr>
        <w:t xml:space="preserve"> ten opzichte van de basisverdeling, met een bandbreedte van maximaal -8 tot +10 plaatsen per OOR. Het criterium 100% </w:t>
      </w:r>
      <w:proofErr w:type="spellStart"/>
      <w:r w:rsidRPr="002234AF">
        <w:rPr>
          <w:rFonts w:ascii="Calibri" w:hAnsi="Calibri" w:cs="Calibri"/>
        </w:rPr>
        <w:t>adherentie</w:t>
      </w:r>
      <w:proofErr w:type="spellEnd"/>
      <w:r w:rsidRPr="002234AF">
        <w:rPr>
          <w:rFonts w:ascii="Calibri" w:hAnsi="Calibri" w:cs="Calibri"/>
        </w:rPr>
        <w:t xml:space="preserve"> alle instellingen, met de daarbij behorende aandachtspunten, geldt niet voor de opleidingen psychiatrie, sportgeneeskunde en orthodontie.</w:t>
      </w:r>
    </w:p>
    <w:p w:rsidRPr="002234AF" w:rsidR="00C65BA8" w:rsidP="00C65BA8" w:rsidRDefault="00C65BA8" w14:paraId="303EEB65" w14:textId="77777777">
      <w:pPr>
        <w:pStyle w:val="Lijstalinea"/>
        <w:suppressAutoHyphens/>
        <w:rPr>
          <w:rFonts w:ascii="Calibri" w:hAnsi="Calibri" w:cs="Calibri"/>
        </w:rPr>
      </w:pPr>
    </w:p>
    <w:p w:rsidRPr="002234AF" w:rsidR="00C65BA8" w:rsidP="00C65BA8" w:rsidRDefault="00C65BA8" w14:paraId="78D96019" w14:textId="77777777">
      <w:pPr>
        <w:suppressAutoHyphens/>
        <w:rPr>
          <w:rFonts w:ascii="Calibri" w:hAnsi="Calibri" w:cs="Calibri"/>
        </w:rPr>
      </w:pPr>
      <w:r w:rsidRPr="002234AF">
        <w:rPr>
          <w:rFonts w:ascii="Calibri" w:hAnsi="Calibri" w:cs="Calibri"/>
        </w:rPr>
        <w:t xml:space="preserve">Voor de verdeling van instroomplaatsen voor de opleidingen tot gezondheidszorgpsycholoog, klinisch psycholoog, klinisch neuropsycholoog, psychotherapeut en verpleegkundig specialist GGZ houdt de </w:t>
      </w:r>
      <w:proofErr w:type="spellStart"/>
      <w:r w:rsidRPr="002234AF">
        <w:rPr>
          <w:rFonts w:ascii="Calibri" w:hAnsi="Calibri" w:cs="Calibri"/>
        </w:rPr>
        <w:t>NZa</w:t>
      </w:r>
      <w:proofErr w:type="spellEnd"/>
      <w:r w:rsidRPr="002234AF">
        <w:rPr>
          <w:rFonts w:ascii="Calibri" w:hAnsi="Calibri" w:cs="Calibri"/>
        </w:rPr>
        <w:t xml:space="preserve"> rekening met de volgende uitgangspunten:</w:t>
      </w:r>
    </w:p>
    <w:p w:rsidRPr="002234AF" w:rsidR="00C65BA8" w:rsidP="00C65BA8" w:rsidRDefault="00C65BA8" w14:paraId="46489A30" w14:textId="77777777">
      <w:pPr>
        <w:pStyle w:val="Lijstalinea"/>
        <w:numPr>
          <w:ilvl w:val="0"/>
          <w:numId w:val="3"/>
        </w:numPr>
        <w:suppressAutoHyphens/>
        <w:autoSpaceDN w:val="0"/>
        <w:spacing w:after="0" w:line="240" w:lineRule="atLeast"/>
        <w:textAlignment w:val="baseline"/>
        <w:rPr>
          <w:rFonts w:ascii="Calibri" w:hAnsi="Calibri" w:cs="Calibri"/>
        </w:rPr>
      </w:pPr>
      <w:r w:rsidRPr="002234AF">
        <w:rPr>
          <w:rFonts w:ascii="Calibri" w:hAnsi="Calibri" w:cs="Calibri"/>
        </w:rPr>
        <w:t>de instroomplaatsen worden verdeeld per sector, gebruikmakend van de ramingen van het Capaciteitsorgaan;</w:t>
      </w:r>
    </w:p>
    <w:p w:rsidRPr="002234AF" w:rsidR="00C65BA8" w:rsidP="00C65BA8" w:rsidRDefault="00C65BA8" w14:paraId="6A500E0F" w14:textId="77777777">
      <w:pPr>
        <w:pStyle w:val="Lijstalinea"/>
        <w:numPr>
          <w:ilvl w:val="0"/>
          <w:numId w:val="3"/>
        </w:numPr>
        <w:suppressAutoHyphens/>
        <w:autoSpaceDN w:val="0"/>
        <w:spacing w:after="0" w:line="240" w:lineRule="atLeast"/>
        <w:textAlignment w:val="baseline"/>
        <w:rPr>
          <w:rFonts w:ascii="Calibri" w:hAnsi="Calibri" w:cs="Calibri"/>
        </w:rPr>
      </w:pPr>
      <w:r w:rsidRPr="002234AF">
        <w:rPr>
          <w:rFonts w:ascii="Calibri" w:hAnsi="Calibri" w:cs="Calibri"/>
        </w:rPr>
        <w:t xml:space="preserve">instroomplaatsen waarvoor in een voorgaand jaar geen </w:t>
      </w:r>
      <w:proofErr w:type="spellStart"/>
      <w:r w:rsidRPr="002234AF">
        <w:rPr>
          <w:rFonts w:ascii="Calibri" w:hAnsi="Calibri" w:cs="Calibri"/>
        </w:rPr>
        <w:t>beschikbaarheidbijdrage</w:t>
      </w:r>
      <w:proofErr w:type="spellEnd"/>
      <w:r w:rsidRPr="002234AF">
        <w:rPr>
          <w:rFonts w:ascii="Calibri" w:hAnsi="Calibri" w:cs="Calibri"/>
        </w:rPr>
        <w:t xml:space="preserve"> is verleend, worden niet meegeteld indien bij de verdeling van de instroomplaatsen rekening wordt gehouden met het historisch opleidingsvolume;</w:t>
      </w:r>
    </w:p>
    <w:p w:rsidRPr="002234AF" w:rsidR="00C65BA8" w:rsidP="00C65BA8" w:rsidRDefault="00C65BA8" w14:paraId="1C384180" w14:textId="77777777">
      <w:pPr>
        <w:pStyle w:val="Lijstalinea"/>
        <w:numPr>
          <w:ilvl w:val="0"/>
          <w:numId w:val="3"/>
        </w:numPr>
        <w:suppressAutoHyphens/>
        <w:autoSpaceDN w:val="0"/>
        <w:spacing w:after="0" w:line="240" w:lineRule="atLeast"/>
        <w:textAlignment w:val="baseline"/>
        <w:rPr>
          <w:rFonts w:ascii="Calibri" w:hAnsi="Calibri" w:cs="Calibri"/>
        </w:rPr>
      </w:pPr>
      <w:r w:rsidRPr="002234AF">
        <w:rPr>
          <w:rFonts w:ascii="Calibri" w:hAnsi="Calibri" w:cs="Calibri"/>
        </w:rPr>
        <w:lastRenderedPageBreak/>
        <w:t>zowel bestaande als nieuwe opleidende zorgaanbieders komen in aanmerking voor instroomplaatsen.</w:t>
      </w:r>
    </w:p>
    <w:p w:rsidRPr="002234AF" w:rsidR="00C65BA8" w:rsidP="00C65BA8" w:rsidRDefault="00C65BA8" w14:paraId="35357C21" w14:textId="77777777">
      <w:pPr>
        <w:suppressAutoHyphens/>
        <w:rPr>
          <w:rFonts w:ascii="Calibri" w:hAnsi="Calibri" w:cs="Calibri"/>
        </w:rPr>
      </w:pPr>
    </w:p>
    <w:p w:rsidRPr="002234AF" w:rsidR="00C65BA8" w:rsidP="00C65BA8" w:rsidRDefault="00C65BA8" w14:paraId="5FE7D368" w14:textId="77777777">
      <w:pPr>
        <w:suppressAutoHyphens/>
        <w:rPr>
          <w:rFonts w:ascii="Calibri" w:hAnsi="Calibri" w:cs="Calibri"/>
        </w:rPr>
      </w:pPr>
      <w:r w:rsidRPr="002234AF">
        <w:rPr>
          <w:rFonts w:ascii="Calibri" w:hAnsi="Calibri" w:cs="Calibri"/>
        </w:rPr>
        <w:t>Voor de verdeling van 2025 is een extra uitgangspunt genomen, naar aanleiding van de motie-Van den Berg</w:t>
      </w:r>
      <w:r w:rsidRPr="002234AF">
        <w:rPr>
          <w:rStyle w:val="Voetnootmarkering"/>
          <w:rFonts w:ascii="Calibri" w:hAnsi="Calibri" w:cs="Calibri"/>
        </w:rPr>
        <w:footnoteReference w:id="6"/>
      </w:r>
      <w:r w:rsidRPr="002234AF">
        <w:rPr>
          <w:rFonts w:ascii="Calibri" w:hAnsi="Calibri" w:cs="Calibri"/>
        </w:rPr>
        <w:t xml:space="preserve">, waarin bij de allocatie van instroomplaatsen in de verdeelsleutel de voorkeur wordt gegeven aan ggz-aanbieders die deelnemen aan crisisdiensten, </w:t>
      </w:r>
      <w:proofErr w:type="spellStart"/>
      <w:r w:rsidRPr="002234AF">
        <w:rPr>
          <w:rFonts w:ascii="Calibri" w:hAnsi="Calibri" w:cs="Calibri"/>
        </w:rPr>
        <w:t>hoogcomplexe</w:t>
      </w:r>
      <w:proofErr w:type="spellEnd"/>
      <w:r w:rsidRPr="002234AF">
        <w:rPr>
          <w:rFonts w:ascii="Calibri" w:hAnsi="Calibri" w:cs="Calibri"/>
        </w:rPr>
        <w:t xml:space="preserve"> zorg en </w:t>
      </w:r>
      <w:proofErr w:type="spellStart"/>
      <w:r w:rsidRPr="002234AF">
        <w:rPr>
          <w:rFonts w:ascii="Calibri" w:hAnsi="Calibri" w:cs="Calibri"/>
        </w:rPr>
        <w:t>multizorg</w:t>
      </w:r>
      <w:proofErr w:type="spellEnd"/>
      <w:r w:rsidRPr="002234AF">
        <w:rPr>
          <w:rFonts w:ascii="Calibri" w:hAnsi="Calibri" w:cs="Calibri"/>
        </w:rPr>
        <w:t xml:space="preserve"> leveren en afspraken maken over kwantiteit in relatie tot kwaliteit, voordat vrijgevestigde praktijken opleidingsplekken toegekend krijgen. Hiermee wordt tegemoetgekomen aan de eerder ingeslagen richting om opleiden binnen samenwerkingsverbanden te stimuleren. De insteek is om </w:t>
      </w:r>
      <w:proofErr w:type="spellStart"/>
      <w:r w:rsidRPr="002234AF">
        <w:rPr>
          <w:rFonts w:ascii="Calibri" w:hAnsi="Calibri" w:cs="Calibri"/>
        </w:rPr>
        <w:t>gz</w:t>
      </w:r>
      <w:proofErr w:type="spellEnd"/>
      <w:r w:rsidRPr="002234AF">
        <w:rPr>
          <w:rFonts w:ascii="Calibri" w:hAnsi="Calibri" w:cs="Calibri"/>
        </w:rPr>
        <w:t>-psychologen in opleiding in meerdere sectoren hun ervaring te kunnen laten op doen en met name in die sectoren waar zij ervaring kunnen opdoen met gespecialiseerde en geïntegreerde geestelijke gezondheidszorg (ambulante en klinische zorg).</w:t>
      </w:r>
    </w:p>
    <w:p w:rsidRPr="002234AF" w:rsidR="00C65BA8" w:rsidP="00C65BA8" w:rsidRDefault="00C65BA8" w14:paraId="0E261EC8" w14:textId="77777777">
      <w:pPr>
        <w:suppressAutoHyphens/>
        <w:rPr>
          <w:rFonts w:ascii="Calibri" w:hAnsi="Calibri" w:cs="Calibri"/>
        </w:rPr>
      </w:pPr>
      <w:r w:rsidRPr="002234AF">
        <w:rPr>
          <w:rFonts w:ascii="Calibri" w:hAnsi="Calibri" w:cs="Calibri"/>
        </w:rPr>
        <w:t xml:space="preserve">In aanvulling op de voorgaande uitgangspunten houdt de </w:t>
      </w:r>
      <w:proofErr w:type="spellStart"/>
      <w:r w:rsidRPr="002234AF">
        <w:rPr>
          <w:rFonts w:ascii="Calibri" w:hAnsi="Calibri" w:cs="Calibri"/>
        </w:rPr>
        <w:t>NZa</w:t>
      </w:r>
      <w:proofErr w:type="spellEnd"/>
      <w:r w:rsidRPr="002234AF">
        <w:rPr>
          <w:rFonts w:ascii="Calibri" w:hAnsi="Calibri" w:cs="Calibri"/>
        </w:rPr>
        <w:t xml:space="preserve"> tevens rekening met:</w:t>
      </w:r>
    </w:p>
    <w:p w:rsidRPr="002234AF" w:rsidR="00C65BA8" w:rsidP="00C65BA8" w:rsidRDefault="00C65BA8" w14:paraId="677796C7" w14:textId="77777777">
      <w:pPr>
        <w:pStyle w:val="Lijstalinea"/>
        <w:numPr>
          <w:ilvl w:val="0"/>
          <w:numId w:val="3"/>
        </w:numPr>
        <w:suppressAutoHyphens/>
        <w:autoSpaceDN w:val="0"/>
        <w:spacing w:after="0" w:line="240" w:lineRule="atLeast"/>
        <w:textAlignment w:val="baseline"/>
        <w:rPr>
          <w:rFonts w:ascii="Calibri" w:hAnsi="Calibri" w:cs="Calibri"/>
        </w:rPr>
      </w:pPr>
      <w:r w:rsidRPr="002234AF">
        <w:rPr>
          <w:rFonts w:ascii="Calibri" w:hAnsi="Calibri" w:cs="Calibri"/>
        </w:rPr>
        <w:t>gestimuleerd wordt dat in samenwerkingsverbanden wordt opgeleid waaraan ten minste één zorgaanbieder deelneemt die gespecialiseerde geïntegreerde ggz (specialistische ggz – ambulante en klinische zorg) levert en beschikt over een geldig kwaliteitsstatuut, sectie III (Instellingen).</w:t>
      </w:r>
    </w:p>
    <w:p w:rsidRPr="002234AF" w:rsidR="00C65BA8" w:rsidP="00C65BA8" w:rsidRDefault="00C65BA8" w14:paraId="71E02C01" w14:textId="77777777">
      <w:pPr>
        <w:suppressAutoHyphens/>
        <w:rPr>
          <w:rFonts w:ascii="Calibri" w:hAnsi="Calibri" w:cs="Calibri"/>
        </w:rPr>
      </w:pPr>
    </w:p>
    <w:p w:rsidRPr="002234AF" w:rsidR="00C65BA8" w:rsidP="00C65BA8" w:rsidRDefault="00C65BA8" w14:paraId="400508CA" w14:textId="77777777">
      <w:pPr>
        <w:suppressAutoHyphens/>
        <w:rPr>
          <w:rFonts w:ascii="Calibri" w:hAnsi="Calibri" w:cs="Calibri"/>
          <w:b/>
          <w:bCs/>
        </w:rPr>
      </w:pPr>
      <w:r w:rsidRPr="002234AF">
        <w:rPr>
          <w:rFonts w:ascii="Calibri" w:hAnsi="Calibri" w:cs="Calibri"/>
          <w:b/>
          <w:bCs/>
        </w:rPr>
        <w:t>Ten slotte</w:t>
      </w:r>
    </w:p>
    <w:p w:rsidRPr="002234AF" w:rsidR="00C65BA8" w:rsidP="00C65BA8" w:rsidRDefault="00C65BA8" w14:paraId="1C2F12EA" w14:textId="77777777">
      <w:pPr>
        <w:suppressAutoHyphens/>
        <w:rPr>
          <w:rFonts w:ascii="Calibri" w:hAnsi="Calibri" w:cs="Calibri"/>
        </w:rPr>
      </w:pPr>
      <w:r w:rsidRPr="002234AF">
        <w:rPr>
          <w:rFonts w:ascii="Calibri" w:hAnsi="Calibri" w:cs="Calibri"/>
        </w:rPr>
        <w:t>Ik ben verheugd dat we met deze aanwijzing de juridische grondslag voor de verdeling van de instroomplaatsen voor de jaren 2024 en 2025 adequaat hebben hersteld. Hiermee bieden we de noodzakelijke duidelijkheid en stabiliteit aan de zorgaanbieders en opleidingsregio's. Zo borgen we gezamenlijk dat de (medische) vervolgopleidingen onverminderd en zorgvuldig doorgang kunnen vinden, wat essentieel is voor de toekomstige kwaliteit en toegankelijkheid van onze zorg.</w:t>
      </w:r>
    </w:p>
    <w:p w:rsidRPr="002234AF" w:rsidR="00C65BA8" w:rsidP="00C65BA8" w:rsidRDefault="00C65BA8" w14:paraId="54F55334" w14:textId="77777777">
      <w:pPr>
        <w:suppressAutoHyphens/>
        <w:rPr>
          <w:rFonts w:ascii="Calibri" w:hAnsi="Calibri" w:cs="Calibri"/>
        </w:rPr>
      </w:pPr>
    </w:p>
    <w:p w:rsidRPr="002234AF" w:rsidR="00C65BA8" w:rsidP="002234AF" w:rsidRDefault="002234AF" w14:paraId="7E42462D" w14:textId="1575D8E4">
      <w:pPr>
        <w:pStyle w:val="Geenafstand"/>
      </w:pPr>
      <w:r>
        <w:t>D</w:t>
      </w:r>
      <w:r w:rsidRPr="002234AF" w:rsidR="00C65BA8">
        <w:t>e minister van Langdurige Zorg, Jeugd en Sport,</w:t>
      </w:r>
    </w:p>
    <w:p w:rsidRPr="002234AF" w:rsidR="00C65BA8" w:rsidP="002234AF" w:rsidRDefault="002234AF" w14:paraId="0C789831" w14:textId="2F06B18A">
      <w:pPr>
        <w:pStyle w:val="Geenafstand"/>
      </w:pPr>
      <w:r>
        <w:rPr>
          <w:iCs/>
        </w:rPr>
        <w:t xml:space="preserve">W.R.C. </w:t>
      </w:r>
      <w:r w:rsidRPr="002234AF" w:rsidR="00C65BA8">
        <w:rPr>
          <w:iCs/>
        </w:rPr>
        <w:t>Sterk</w:t>
      </w:r>
    </w:p>
    <w:p w:rsidRPr="002234AF" w:rsidR="00C65BA8" w:rsidP="00C65BA8" w:rsidRDefault="00C65BA8" w14:paraId="09735424" w14:textId="77777777">
      <w:pPr>
        <w:suppressAutoHyphens/>
        <w:rPr>
          <w:rFonts w:ascii="Calibri" w:hAnsi="Calibri" w:cs="Calibri"/>
          <w:sz w:val="20"/>
          <w:szCs w:val="20"/>
        </w:rPr>
      </w:pPr>
    </w:p>
    <w:p w:rsidRPr="002234AF" w:rsidR="0056689E" w:rsidP="0056689E" w:rsidRDefault="0056689E" w14:paraId="5973253F" w14:textId="209ED091">
      <w:pPr>
        <w:rPr>
          <w:rFonts w:ascii="Calibri" w:hAnsi="Calibri" w:cs="Calibri"/>
          <w:sz w:val="20"/>
          <w:szCs w:val="20"/>
        </w:rPr>
      </w:pPr>
      <w:r w:rsidRPr="002234AF">
        <w:rPr>
          <w:rFonts w:ascii="Calibri" w:hAnsi="Calibri" w:cs="Calibri"/>
          <w:sz w:val="20"/>
          <w:szCs w:val="20"/>
        </w:rPr>
        <w:t>Ontvangen ter Griffie op 2 april 2026.</w:t>
      </w:r>
    </w:p>
    <w:p w:rsidRPr="002234AF" w:rsidR="00C65BA8" w:rsidP="00C65BA8" w:rsidRDefault="00C65BA8" w14:paraId="4CB58F71" w14:textId="200FE57F">
      <w:pPr>
        <w:suppressAutoHyphens/>
        <w:spacing w:line="240" w:lineRule="auto"/>
        <w:rPr>
          <w:rFonts w:ascii="Calibri" w:hAnsi="Calibri" w:cs="Calibri"/>
          <w:sz w:val="20"/>
          <w:szCs w:val="20"/>
        </w:rPr>
      </w:pPr>
      <w:r w:rsidRPr="002234AF">
        <w:rPr>
          <w:rFonts w:ascii="Calibri" w:hAnsi="Calibri" w:cs="Calibri"/>
          <w:sz w:val="20"/>
          <w:szCs w:val="20"/>
        </w:rPr>
        <w:t xml:space="preserve">Het besluit tot het doen van een </w:t>
      </w:r>
      <w:r w:rsidRPr="002234AF">
        <w:rPr>
          <w:rFonts w:ascii="Calibri" w:hAnsi="Calibri" w:cs="Calibri"/>
          <w:b/>
          <w:bCs/>
          <w:sz w:val="20"/>
          <w:szCs w:val="20"/>
        </w:rPr>
        <w:t>aanwijzing</w:t>
      </w:r>
      <w:r w:rsidRPr="002234AF">
        <w:rPr>
          <w:rFonts w:ascii="Calibri" w:hAnsi="Calibri" w:cs="Calibri"/>
          <w:sz w:val="20"/>
          <w:szCs w:val="20"/>
        </w:rPr>
        <w:br/>
        <w:t>kan niet eerder worden genomen dan op</w:t>
      </w:r>
      <w:r w:rsidRPr="002234AF" w:rsidR="0056689E">
        <w:rPr>
          <w:rFonts w:ascii="Calibri" w:hAnsi="Calibri" w:cs="Calibri"/>
          <w:sz w:val="20"/>
          <w:szCs w:val="20"/>
        </w:rPr>
        <w:t xml:space="preserve"> </w:t>
      </w:r>
      <w:r w:rsidRPr="002234AF" w:rsidR="0056689E">
        <w:rPr>
          <w:rFonts w:ascii="Calibri" w:hAnsi="Calibri" w:cs="Calibri"/>
          <w:sz w:val="20"/>
          <w:szCs w:val="20"/>
        </w:rPr>
        <w:br/>
        <w:t>3 mei</w:t>
      </w:r>
      <w:r w:rsidRPr="002234AF">
        <w:rPr>
          <w:rFonts w:ascii="Calibri" w:hAnsi="Calibri" w:cs="Calibri"/>
          <w:sz w:val="20"/>
          <w:szCs w:val="20"/>
        </w:rPr>
        <w:t xml:space="preserve"> 2026.</w:t>
      </w:r>
    </w:p>
    <w:p w:rsidRPr="002234AF" w:rsidR="006F53E6" w:rsidRDefault="006F53E6" w14:paraId="286F8F5E" w14:textId="77777777">
      <w:pPr>
        <w:rPr>
          <w:rFonts w:ascii="Calibri" w:hAnsi="Calibri" w:cs="Calibri"/>
        </w:rPr>
      </w:pPr>
    </w:p>
    <w:sectPr w:rsidRPr="002234AF" w:rsidR="006F53E6" w:rsidSect="00C65BA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EE92" w14:textId="77777777" w:rsidR="00C46836" w:rsidRDefault="00C46836" w:rsidP="00C65BA8">
      <w:pPr>
        <w:spacing w:after="0" w:line="240" w:lineRule="auto"/>
      </w:pPr>
      <w:r>
        <w:separator/>
      </w:r>
    </w:p>
  </w:endnote>
  <w:endnote w:type="continuationSeparator" w:id="0">
    <w:p w14:paraId="0A86D460" w14:textId="77777777" w:rsidR="00C46836" w:rsidRDefault="00C46836" w:rsidP="00C6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FAA" w14:textId="77777777" w:rsidR="00C65BA8" w:rsidRPr="00C65BA8" w:rsidRDefault="00C65BA8" w:rsidP="00C65B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C900" w14:textId="77777777" w:rsidR="007F5E59" w:rsidRPr="00C65BA8" w:rsidRDefault="007F5E59" w:rsidP="00C65B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7C4" w14:textId="77777777" w:rsidR="00C65BA8" w:rsidRPr="00C65BA8" w:rsidRDefault="00C65BA8" w:rsidP="00C65B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B1FA" w14:textId="77777777" w:rsidR="00C46836" w:rsidRDefault="00C46836" w:rsidP="00C65BA8">
      <w:pPr>
        <w:spacing w:after="0" w:line="240" w:lineRule="auto"/>
      </w:pPr>
      <w:r>
        <w:separator/>
      </w:r>
    </w:p>
  </w:footnote>
  <w:footnote w:type="continuationSeparator" w:id="0">
    <w:p w14:paraId="7C339CE1" w14:textId="77777777" w:rsidR="00C46836" w:rsidRDefault="00C46836" w:rsidP="00C65BA8">
      <w:pPr>
        <w:spacing w:after="0" w:line="240" w:lineRule="auto"/>
      </w:pPr>
      <w:r>
        <w:continuationSeparator/>
      </w:r>
    </w:p>
  </w:footnote>
  <w:footnote w:id="1">
    <w:p w14:paraId="1B39EEF6" w14:textId="77777777" w:rsidR="00C65BA8" w:rsidRPr="002139F7" w:rsidRDefault="00C65BA8" w:rsidP="00C65BA8">
      <w:pPr>
        <w:pStyle w:val="Voetnoottekst"/>
        <w:rPr>
          <w:sz w:val="16"/>
          <w:szCs w:val="16"/>
          <w:lang w:val="nl-NL"/>
        </w:rPr>
      </w:pPr>
      <w:r w:rsidRPr="002139F7">
        <w:rPr>
          <w:rStyle w:val="Voetnootmarkering"/>
          <w:sz w:val="16"/>
          <w:szCs w:val="16"/>
        </w:rPr>
        <w:footnoteRef/>
      </w:r>
      <w:r w:rsidRPr="002139F7">
        <w:rPr>
          <w:sz w:val="16"/>
          <w:szCs w:val="16"/>
          <w:lang w:val="nl-NL"/>
        </w:rPr>
        <w:t xml:space="preserve"> ECLI:NL:CBB:2025:550.</w:t>
      </w:r>
    </w:p>
  </w:footnote>
  <w:footnote w:id="2">
    <w:p w14:paraId="189101E7" w14:textId="77777777" w:rsidR="00C65BA8" w:rsidRPr="002139F7" w:rsidRDefault="00C65BA8" w:rsidP="00C65BA8">
      <w:pPr>
        <w:pStyle w:val="Voetnoottekst"/>
        <w:rPr>
          <w:sz w:val="16"/>
          <w:szCs w:val="16"/>
          <w:lang w:val="nl-NL"/>
        </w:rPr>
      </w:pPr>
      <w:r w:rsidRPr="002139F7">
        <w:rPr>
          <w:rStyle w:val="Voetnootmarkering"/>
          <w:sz w:val="16"/>
          <w:szCs w:val="16"/>
        </w:rPr>
        <w:footnoteRef/>
      </w:r>
      <w:r w:rsidRPr="002139F7">
        <w:rPr>
          <w:sz w:val="16"/>
          <w:szCs w:val="16"/>
          <w:lang w:val="nl-NL"/>
        </w:rPr>
        <w:t xml:space="preserve"> ECLI:NL:CBB:2025:550.</w:t>
      </w:r>
    </w:p>
  </w:footnote>
  <w:footnote w:id="3">
    <w:p w14:paraId="0E02A6AE" w14:textId="77777777" w:rsidR="00C65BA8" w:rsidRPr="00932C02" w:rsidRDefault="00C65BA8" w:rsidP="00C65BA8">
      <w:pPr>
        <w:pStyle w:val="Voetnoottekst"/>
        <w:rPr>
          <w:lang w:val="nl-NL"/>
        </w:rPr>
      </w:pPr>
      <w:r w:rsidRPr="002139F7">
        <w:rPr>
          <w:rStyle w:val="Voetnootmarkering"/>
          <w:sz w:val="16"/>
          <w:szCs w:val="16"/>
        </w:rPr>
        <w:footnoteRef/>
      </w:r>
      <w:r w:rsidRPr="002139F7">
        <w:rPr>
          <w:sz w:val="16"/>
          <w:szCs w:val="16"/>
          <w:lang w:val="nl-NL"/>
        </w:rPr>
        <w:t xml:space="preserve"> Kamerstuk 29 282, nr. 617.</w:t>
      </w:r>
    </w:p>
  </w:footnote>
  <w:footnote w:id="4">
    <w:p w14:paraId="16C117B0" w14:textId="77777777" w:rsidR="00C65BA8" w:rsidRPr="002139F7" w:rsidRDefault="00C65BA8" w:rsidP="00C65BA8">
      <w:pPr>
        <w:pStyle w:val="Voetnoottekst"/>
        <w:rPr>
          <w:lang w:val="nl-NL"/>
        </w:rPr>
      </w:pPr>
      <w:r>
        <w:rPr>
          <w:rStyle w:val="Voetnootmarkering"/>
        </w:rPr>
        <w:footnoteRef/>
      </w:r>
      <w:r w:rsidRPr="002139F7">
        <w:rPr>
          <w:lang w:val="nl-NL"/>
        </w:rPr>
        <w:t xml:space="preserve"> </w:t>
      </w:r>
      <w:r w:rsidRPr="002139F7">
        <w:rPr>
          <w:sz w:val="16"/>
          <w:szCs w:val="16"/>
          <w:lang w:val="nl-NL"/>
        </w:rPr>
        <w:t xml:space="preserve">Onder B van de Bijlage behorende bij de artikelen 2 en 4 van het Besluit </w:t>
      </w:r>
      <w:proofErr w:type="spellStart"/>
      <w:r w:rsidRPr="002139F7">
        <w:rPr>
          <w:sz w:val="16"/>
          <w:szCs w:val="16"/>
          <w:lang w:val="nl-NL"/>
        </w:rPr>
        <w:t>beschikbaarheidbijdrage</w:t>
      </w:r>
      <w:proofErr w:type="spellEnd"/>
      <w:r w:rsidRPr="002139F7">
        <w:rPr>
          <w:sz w:val="16"/>
          <w:szCs w:val="16"/>
          <w:lang w:val="nl-NL"/>
        </w:rPr>
        <w:t xml:space="preserve"> WMG, onder 1.a, 1, 2 en 3.</w:t>
      </w:r>
    </w:p>
  </w:footnote>
  <w:footnote w:id="5">
    <w:p w14:paraId="08B67071" w14:textId="77777777" w:rsidR="00C65BA8" w:rsidRPr="002139F7" w:rsidRDefault="00C65BA8" w:rsidP="00C65BA8">
      <w:pPr>
        <w:pStyle w:val="Voetnoottekst"/>
        <w:rPr>
          <w:lang w:val="nl-NL"/>
        </w:rPr>
      </w:pPr>
      <w:r>
        <w:rPr>
          <w:rStyle w:val="Voetnootmarkering"/>
        </w:rPr>
        <w:footnoteRef/>
      </w:r>
      <w:r w:rsidRPr="002139F7">
        <w:rPr>
          <w:lang w:val="nl-NL"/>
        </w:rPr>
        <w:t xml:space="preserve"> </w:t>
      </w:r>
      <w:r w:rsidRPr="002139F7">
        <w:rPr>
          <w:sz w:val="16"/>
          <w:szCs w:val="16"/>
          <w:lang w:val="nl-NL"/>
        </w:rPr>
        <w:t xml:space="preserve">Onder B van de Bijlage behorende bij de artikelen 2 en 4 van het Besluit </w:t>
      </w:r>
      <w:proofErr w:type="spellStart"/>
      <w:r w:rsidRPr="002139F7">
        <w:rPr>
          <w:sz w:val="16"/>
          <w:szCs w:val="16"/>
          <w:lang w:val="nl-NL"/>
        </w:rPr>
        <w:t>beschikbaarheidbijdrage</w:t>
      </w:r>
      <w:proofErr w:type="spellEnd"/>
      <w:r w:rsidRPr="002139F7">
        <w:rPr>
          <w:sz w:val="16"/>
          <w:szCs w:val="16"/>
          <w:lang w:val="nl-NL"/>
        </w:rPr>
        <w:t xml:space="preserve"> WMG, onder 1.a, 1, 2 en 3.</w:t>
      </w:r>
    </w:p>
  </w:footnote>
  <w:footnote w:id="6">
    <w:p w14:paraId="5A0446B0" w14:textId="77777777" w:rsidR="00C65BA8" w:rsidRPr="00901F2F" w:rsidRDefault="00C65BA8" w:rsidP="00C65BA8">
      <w:pPr>
        <w:pStyle w:val="Voetnoottekst"/>
        <w:rPr>
          <w:lang w:val="nl-NL"/>
        </w:rPr>
      </w:pPr>
      <w:r w:rsidRPr="002234AF">
        <w:rPr>
          <w:rStyle w:val="Voetnootmarkering"/>
          <w:sz w:val="16"/>
          <w:szCs w:val="16"/>
        </w:rPr>
        <w:footnoteRef/>
      </w:r>
      <w:r w:rsidRPr="002234AF">
        <w:rPr>
          <w:sz w:val="16"/>
          <w:szCs w:val="16"/>
        </w:rPr>
        <w:t xml:space="preserve"> Kamerstuk 29 282, nr. 543.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EADA" w14:textId="77777777" w:rsidR="00C65BA8" w:rsidRPr="00C65BA8" w:rsidRDefault="00C65BA8" w:rsidP="00C65B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84AF" w14:textId="77777777" w:rsidR="007F5E59" w:rsidRPr="00C65BA8" w:rsidRDefault="007F5E59" w:rsidP="00C65B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6FD" w14:textId="77777777" w:rsidR="007F5E59" w:rsidRPr="00C65BA8" w:rsidRDefault="007F5E59" w:rsidP="00C65B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A27E4"/>
    <w:multiLevelType w:val="hybridMultilevel"/>
    <w:tmpl w:val="00BEE7D0"/>
    <w:lvl w:ilvl="0" w:tplc="C638CE2C">
      <w:start w:val="1"/>
      <w:numFmt w:val="lowerLetter"/>
      <w:lvlText w:val="%1."/>
      <w:lvlJc w:val="left"/>
      <w:pPr>
        <w:ind w:left="720" w:hanging="360"/>
      </w:pPr>
    </w:lvl>
    <w:lvl w:ilvl="1" w:tplc="2C845316" w:tentative="1">
      <w:start w:val="1"/>
      <w:numFmt w:val="lowerLetter"/>
      <w:lvlText w:val="%2."/>
      <w:lvlJc w:val="left"/>
      <w:pPr>
        <w:ind w:left="1440" w:hanging="360"/>
      </w:pPr>
    </w:lvl>
    <w:lvl w:ilvl="2" w:tplc="E6C00910" w:tentative="1">
      <w:start w:val="1"/>
      <w:numFmt w:val="lowerRoman"/>
      <w:lvlText w:val="%3."/>
      <w:lvlJc w:val="right"/>
      <w:pPr>
        <w:ind w:left="2160" w:hanging="180"/>
      </w:pPr>
    </w:lvl>
    <w:lvl w:ilvl="3" w:tplc="EFF40E38" w:tentative="1">
      <w:start w:val="1"/>
      <w:numFmt w:val="decimal"/>
      <w:lvlText w:val="%4."/>
      <w:lvlJc w:val="left"/>
      <w:pPr>
        <w:ind w:left="2880" w:hanging="360"/>
      </w:pPr>
    </w:lvl>
    <w:lvl w:ilvl="4" w:tplc="F9721F08" w:tentative="1">
      <w:start w:val="1"/>
      <w:numFmt w:val="lowerLetter"/>
      <w:lvlText w:val="%5."/>
      <w:lvlJc w:val="left"/>
      <w:pPr>
        <w:ind w:left="3600" w:hanging="360"/>
      </w:pPr>
    </w:lvl>
    <w:lvl w:ilvl="5" w:tplc="E8549DF0" w:tentative="1">
      <w:start w:val="1"/>
      <w:numFmt w:val="lowerRoman"/>
      <w:lvlText w:val="%6."/>
      <w:lvlJc w:val="right"/>
      <w:pPr>
        <w:ind w:left="4320" w:hanging="180"/>
      </w:pPr>
    </w:lvl>
    <w:lvl w:ilvl="6" w:tplc="B218CFC8" w:tentative="1">
      <w:start w:val="1"/>
      <w:numFmt w:val="decimal"/>
      <w:lvlText w:val="%7."/>
      <w:lvlJc w:val="left"/>
      <w:pPr>
        <w:ind w:left="5040" w:hanging="360"/>
      </w:pPr>
    </w:lvl>
    <w:lvl w:ilvl="7" w:tplc="EC840B92" w:tentative="1">
      <w:start w:val="1"/>
      <w:numFmt w:val="lowerLetter"/>
      <w:lvlText w:val="%8."/>
      <w:lvlJc w:val="left"/>
      <w:pPr>
        <w:ind w:left="5760" w:hanging="360"/>
      </w:pPr>
    </w:lvl>
    <w:lvl w:ilvl="8" w:tplc="1FD4767C" w:tentative="1">
      <w:start w:val="1"/>
      <w:numFmt w:val="lowerRoman"/>
      <w:lvlText w:val="%9."/>
      <w:lvlJc w:val="right"/>
      <w:pPr>
        <w:ind w:left="6480" w:hanging="180"/>
      </w:pPr>
    </w:lvl>
  </w:abstractNum>
  <w:abstractNum w:abstractNumId="1" w15:restartNumberingAfterBreak="0">
    <w:nsid w:val="4D126F54"/>
    <w:multiLevelType w:val="hybridMultilevel"/>
    <w:tmpl w:val="5462CD4C"/>
    <w:lvl w:ilvl="0" w:tplc="8A0C968C">
      <w:start w:val="1"/>
      <w:numFmt w:val="lowerLetter"/>
      <w:lvlText w:val="%1."/>
      <w:lvlJc w:val="left"/>
      <w:pPr>
        <w:ind w:left="720" w:hanging="360"/>
      </w:pPr>
    </w:lvl>
    <w:lvl w:ilvl="1" w:tplc="F2A89A42" w:tentative="1">
      <w:start w:val="1"/>
      <w:numFmt w:val="lowerLetter"/>
      <w:lvlText w:val="%2."/>
      <w:lvlJc w:val="left"/>
      <w:pPr>
        <w:ind w:left="1440" w:hanging="360"/>
      </w:pPr>
    </w:lvl>
    <w:lvl w:ilvl="2" w:tplc="4F7806EA" w:tentative="1">
      <w:start w:val="1"/>
      <w:numFmt w:val="lowerRoman"/>
      <w:lvlText w:val="%3."/>
      <w:lvlJc w:val="right"/>
      <w:pPr>
        <w:ind w:left="2160" w:hanging="180"/>
      </w:pPr>
    </w:lvl>
    <w:lvl w:ilvl="3" w:tplc="BAB8BFA0" w:tentative="1">
      <w:start w:val="1"/>
      <w:numFmt w:val="decimal"/>
      <w:lvlText w:val="%4."/>
      <w:lvlJc w:val="left"/>
      <w:pPr>
        <w:ind w:left="2880" w:hanging="360"/>
      </w:pPr>
    </w:lvl>
    <w:lvl w:ilvl="4" w:tplc="DE62D066" w:tentative="1">
      <w:start w:val="1"/>
      <w:numFmt w:val="lowerLetter"/>
      <w:lvlText w:val="%5."/>
      <w:lvlJc w:val="left"/>
      <w:pPr>
        <w:ind w:left="3600" w:hanging="360"/>
      </w:pPr>
    </w:lvl>
    <w:lvl w:ilvl="5" w:tplc="5B4CE9D2" w:tentative="1">
      <w:start w:val="1"/>
      <w:numFmt w:val="lowerRoman"/>
      <w:lvlText w:val="%6."/>
      <w:lvlJc w:val="right"/>
      <w:pPr>
        <w:ind w:left="4320" w:hanging="180"/>
      </w:pPr>
    </w:lvl>
    <w:lvl w:ilvl="6" w:tplc="A79A6054" w:tentative="1">
      <w:start w:val="1"/>
      <w:numFmt w:val="decimal"/>
      <w:lvlText w:val="%7."/>
      <w:lvlJc w:val="left"/>
      <w:pPr>
        <w:ind w:left="5040" w:hanging="360"/>
      </w:pPr>
    </w:lvl>
    <w:lvl w:ilvl="7" w:tplc="F5346A7E" w:tentative="1">
      <w:start w:val="1"/>
      <w:numFmt w:val="lowerLetter"/>
      <w:lvlText w:val="%8."/>
      <w:lvlJc w:val="left"/>
      <w:pPr>
        <w:ind w:left="5760" w:hanging="360"/>
      </w:pPr>
    </w:lvl>
    <w:lvl w:ilvl="8" w:tplc="06649AA0" w:tentative="1">
      <w:start w:val="1"/>
      <w:numFmt w:val="lowerRoman"/>
      <w:lvlText w:val="%9."/>
      <w:lvlJc w:val="right"/>
      <w:pPr>
        <w:ind w:left="6480" w:hanging="180"/>
      </w:pPr>
    </w:lvl>
  </w:abstractNum>
  <w:abstractNum w:abstractNumId="2" w15:restartNumberingAfterBreak="0">
    <w:nsid w:val="783730B4"/>
    <w:multiLevelType w:val="hybridMultilevel"/>
    <w:tmpl w:val="FA8A077A"/>
    <w:lvl w:ilvl="0" w:tplc="D590AA1C">
      <w:start w:val="3"/>
      <w:numFmt w:val="bullet"/>
      <w:lvlText w:val="-"/>
      <w:lvlJc w:val="left"/>
      <w:pPr>
        <w:ind w:left="720" w:hanging="360"/>
      </w:pPr>
      <w:rPr>
        <w:rFonts w:ascii="Verdana" w:eastAsia="DejaVu Sans" w:hAnsi="Verdana" w:cs="Lohit Hindi" w:hint="default"/>
      </w:rPr>
    </w:lvl>
    <w:lvl w:ilvl="1" w:tplc="6FAEC93E" w:tentative="1">
      <w:start w:val="1"/>
      <w:numFmt w:val="bullet"/>
      <w:lvlText w:val="o"/>
      <w:lvlJc w:val="left"/>
      <w:pPr>
        <w:ind w:left="1440" w:hanging="360"/>
      </w:pPr>
      <w:rPr>
        <w:rFonts w:ascii="Courier New" w:hAnsi="Courier New" w:cs="Courier New" w:hint="default"/>
      </w:rPr>
    </w:lvl>
    <w:lvl w:ilvl="2" w:tplc="EDEE5508" w:tentative="1">
      <w:start w:val="1"/>
      <w:numFmt w:val="bullet"/>
      <w:lvlText w:val=""/>
      <w:lvlJc w:val="left"/>
      <w:pPr>
        <w:ind w:left="2160" w:hanging="360"/>
      </w:pPr>
      <w:rPr>
        <w:rFonts w:ascii="Wingdings" w:hAnsi="Wingdings" w:hint="default"/>
      </w:rPr>
    </w:lvl>
    <w:lvl w:ilvl="3" w:tplc="99EC615E" w:tentative="1">
      <w:start w:val="1"/>
      <w:numFmt w:val="bullet"/>
      <w:lvlText w:val=""/>
      <w:lvlJc w:val="left"/>
      <w:pPr>
        <w:ind w:left="2880" w:hanging="360"/>
      </w:pPr>
      <w:rPr>
        <w:rFonts w:ascii="Symbol" w:hAnsi="Symbol" w:hint="default"/>
      </w:rPr>
    </w:lvl>
    <w:lvl w:ilvl="4" w:tplc="E0522AD8" w:tentative="1">
      <w:start w:val="1"/>
      <w:numFmt w:val="bullet"/>
      <w:lvlText w:val="o"/>
      <w:lvlJc w:val="left"/>
      <w:pPr>
        <w:ind w:left="3600" w:hanging="360"/>
      </w:pPr>
      <w:rPr>
        <w:rFonts w:ascii="Courier New" w:hAnsi="Courier New" w:cs="Courier New" w:hint="default"/>
      </w:rPr>
    </w:lvl>
    <w:lvl w:ilvl="5" w:tplc="F9C6A380" w:tentative="1">
      <w:start w:val="1"/>
      <w:numFmt w:val="bullet"/>
      <w:lvlText w:val=""/>
      <w:lvlJc w:val="left"/>
      <w:pPr>
        <w:ind w:left="4320" w:hanging="360"/>
      </w:pPr>
      <w:rPr>
        <w:rFonts w:ascii="Wingdings" w:hAnsi="Wingdings" w:hint="default"/>
      </w:rPr>
    </w:lvl>
    <w:lvl w:ilvl="6" w:tplc="ECBCADF0" w:tentative="1">
      <w:start w:val="1"/>
      <w:numFmt w:val="bullet"/>
      <w:lvlText w:val=""/>
      <w:lvlJc w:val="left"/>
      <w:pPr>
        <w:ind w:left="5040" w:hanging="360"/>
      </w:pPr>
      <w:rPr>
        <w:rFonts w:ascii="Symbol" w:hAnsi="Symbol" w:hint="default"/>
      </w:rPr>
    </w:lvl>
    <w:lvl w:ilvl="7" w:tplc="4D0E8FE0" w:tentative="1">
      <w:start w:val="1"/>
      <w:numFmt w:val="bullet"/>
      <w:lvlText w:val="o"/>
      <w:lvlJc w:val="left"/>
      <w:pPr>
        <w:ind w:left="5760" w:hanging="360"/>
      </w:pPr>
      <w:rPr>
        <w:rFonts w:ascii="Courier New" w:hAnsi="Courier New" w:cs="Courier New" w:hint="default"/>
      </w:rPr>
    </w:lvl>
    <w:lvl w:ilvl="8" w:tplc="28884818" w:tentative="1">
      <w:start w:val="1"/>
      <w:numFmt w:val="bullet"/>
      <w:lvlText w:val=""/>
      <w:lvlJc w:val="left"/>
      <w:pPr>
        <w:ind w:left="6480" w:hanging="360"/>
      </w:pPr>
      <w:rPr>
        <w:rFonts w:ascii="Wingdings" w:hAnsi="Wingdings" w:hint="default"/>
      </w:rPr>
    </w:lvl>
  </w:abstractNum>
  <w:num w:numId="1" w16cid:durableId="898515533">
    <w:abstractNumId w:val="2"/>
  </w:num>
  <w:num w:numId="2" w16cid:durableId="476534128">
    <w:abstractNumId w:val="0"/>
  </w:num>
  <w:num w:numId="3" w16cid:durableId="1058095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A8"/>
    <w:rsid w:val="002234AF"/>
    <w:rsid w:val="002A2013"/>
    <w:rsid w:val="0056689E"/>
    <w:rsid w:val="006F53E6"/>
    <w:rsid w:val="007F5E59"/>
    <w:rsid w:val="00932D73"/>
    <w:rsid w:val="00C46836"/>
    <w:rsid w:val="00C65BA8"/>
    <w:rsid w:val="00E27568"/>
    <w:rsid w:val="00E35A24"/>
    <w:rsid w:val="00E56FC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B8FD"/>
  <w15:chartTrackingRefBased/>
  <w15:docId w15:val="{09697E7B-399E-44DC-80F4-D6028FB4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5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5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5B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5B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5B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5B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5B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5B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5B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B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5B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5B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5B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5B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5B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B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B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BA8"/>
    <w:rPr>
      <w:rFonts w:eastAsiaTheme="majorEastAsia" w:cstheme="majorBidi"/>
      <w:color w:val="272727" w:themeColor="text1" w:themeTint="D8"/>
    </w:rPr>
  </w:style>
  <w:style w:type="paragraph" w:styleId="Titel">
    <w:name w:val="Title"/>
    <w:basedOn w:val="Standaard"/>
    <w:next w:val="Standaard"/>
    <w:link w:val="TitelChar"/>
    <w:uiPriority w:val="10"/>
    <w:qFormat/>
    <w:rsid w:val="00C65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B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B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5B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B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5BA8"/>
    <w:rPr>
      <w:i/>
      <w:iCs/>
      <w:color w:val="404040" w:themeColor="text1" w:themeTint="BF"/>
    </w:rPr>
  </w:style>
  <w:style w:type="paragraph" w:styleId="Lijstalinea">
    <w:name w:val="List Paragraph"/>
    <w:basedOn w:val="Standaard"/>
    <w:uiPriority w:val="34"/>
    <w:qFormat/>
    <w:rsid w:val="00C65BA8"/>
    <w:pPr>
      <w:ind w:left="720"/>
      <w:contextualSpacing/>
    </w:pPr>
  </w:style>
  <w:style w:type="character" w:styleId="Intensievebenadrukking">
    <w:name w:val="Intense Emphasis"/>
    <w:basedOn w:val="Standaardalinea-lettertype"/>
    <w:uiPriority w:val="21"/>
    <w:qFormat/>
    <w:rsid w:val="00C65BA8"/>
    <w:rPr>
      <w:i/>
      <w:iCs/>
      <w:color w:val="0F4761" w:themeColor="accent1" w:themeShade="BF"/>
    </w:rPr>
  </w:style>
  <w:style w:type="paragraph" w:styleId="Duidelijkcitaat">
    <w:name w:val="Intense Quote"/>
    <w:basedOn w:val="Standaard"/>
    <w:next w:val="Standaard"/>
    <w:link w:val="DuidelijkcitaatChar"/>
    <w:uiPriority w:val="30"/>
    <w:qFormat/>
    <w:rsid w:val="00C65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5BA8"/>
    <w:rPr>
      <w:i/>
      <w:iCs/>
      <w:color w:val="0F4761" w:themeColor="accent1" w:themeShade="BF"/>
    </w:rPr>
  </w:style>
  <w:style w:type="character" w:styleId="Intensieveverwijzing">
    <w:name w:val="Intense Reference"/>
    <w:basedOn w:val="Standaardalinea-lettertype"/>
    <w:uiPriority w:val="32"/>
    <w:qFormat/>
    <w:rsid w:val="00C65BA8"/>
    <w:rPr>
      <w:b/>
      <w:bCs/>
      <w:smallCaps/>
      <w:color w:val="0F4761" w:themeColor="accent1" w:themeShade="BF"/>
      <w:spacing w:val="5"/>
    </w:rPr>
  </w:style>
  <w:style w:type="paragraph" w:customStyle="1" w:styleId="Referentiegegevens">
    <w:name w:val="Referentiegegevens"/>
    <w:basedOn w:val="Standaard"/>
    <w:next w:val="Standaard"/>
    <w:rsid w:val="00C65BA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65BA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65BA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65BA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65BA8"/>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C65BA8"/>
    <w:rPr>
      <w:rFonts w:ascii="Verdana" w:hAnsi="Verdana"/>
      <w:sz w:val="20"/>
      <w:szCs w:val="20"/>
      <w:lang w:val="en-US"/>
    </w:rPr>
  </w:style>
  <w:style w:type="character" w:styleId="Voetnootmarkering">
    <w:name w:val="footnote reference"/>
    <w:basedOn w:val="Standaardalinea-lettertype"/>
    <w:uiPriority w:val="99"/>
    <w:semiHidden/>
    <w:unhideWhenUsed/>
    <w:rsid w:val="00C65BA8"/>
    <w:rPr>
      <w:vertAlign w:val="superscript"/>
    </w:rPr>
  </w:style>
  <w:style w:type="paragraph" w:customStyle="1" w:styleId="Afzendgegevens">
    <w:name w:val="Afzendgegevens"/>
    <w:basedOn w:val="Standaard"/>
    <w:rsid w:val="00C65BA8"/>
    <w:pPr>
      <w:spacing w:after="0" w:line="180" w:lineRule="atLeast"/>
    </w:pPr>
    <w:rPr>
      <w:rFonts w:ascii="Verdana" w:eastAsia="Times New Roman" w:hAnsi="Verdana" w:cs="Times New Roman"/>
      <w:kern w:val="0"/>
      <w:sz w:val="13"/>
      <w:szCs w:val="20"/>
      <w:lang w:eastAsia="nl-NL"/>
      <w14:ligatures w14:val="none"/>
    </w:rPr>
  </w:style>
  <w:style w:type="paragraph" w:customStyle="1" w:styleId="Huisstijl-Ondertekeningvervolg">
    <w:name w:val="Huisstijl - Ondertekening vervolg"/>
    <w:basedOn w:val="Standaard"/>
    <w:rsid w:val="00C65BA8"/>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C65B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5BA8"/>
  </w:style>
  <w:style w:type="paragraph" w:styleId="Voettekst">
    <w:name w:val="footer"/>
    <w:basedOn w:val="Standaard"/>
    <w:link w:val="VoettekstChar"/>
    <w:uiPriority w:val="99"/>
    <w:unhideWhenUsed/>
    <w:rsid w:val="00C65B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5BA8"/>
  </w:style>
  <w:style w:type="paragraph" w:styleId="Geenafstand">
    <w:name w:val="No Spacing"/>
    <w:uiPriority w:val="1"/>
    <w:qFormat/>
    <w:rsid w:val="00223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1320</ap:Words>
  <ap:Characters>7260</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2026-04-07T07:35:00.0000000Z</dcterms:created>
  <dcterms:modified xsi:type="dcterms:W3CDTF">2026-04-07T07:35:00.0000000Z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